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9" w:type="pct"/>
        <w:shd w:val="clear" w:color="auto" w:fill="CCFFCC"/>
        <w:tblLayout w:type="fixed"/>
        <w:tblCellMar>
          <w:top w:w="15" w:type="dxa"/>
          <w:left w:w="15" w:type="dxa"/>
          <w:bottom w:w="15" w:type="dxa"/>
          <w:right w:w="15" w:type="dxa"/>
        </w:tblCellMar>
        <w:tblLook w:val="00BF" w:firstRow="1" w:lastRow="0" w:firstColumn="1" w:lastColumn="0" w:noHBand="0" w:noVBand="0"/>
      </w:tblPr>
      <w:tblGrid>
        <w:gridCol w:w="1134"/>
        <w:gridCol w:w="172"/>
        <w:gridCol w:w="6670"/>
        <w:gridCol w:w="752"/>
        <w:gridCol w:w="110"/>
        <w:gridCol w:w="34"/>
      </w:tblGrid>
      <w:tr w:rsidR="005B7DB1" w:rsidRPr="005B7DB1" w:rsidTr="005B7DB1">
        <w:trPr>
          <w:gridAfter w:val="1"/>
          <w:wAfter w:w="19" w:type="pct"/>
        </w:trPr>
        <w:tc>
          <w:tcPr>
            <w:tcW w:w="4981" w:type="pct"/>
            <w:gridSpan w:val="5"/>
            <w:shd w:val="clear" w:color="auto" w:fill="CCFFCC"/>
            <w:vAlign w:val="center"/>
          </w:tcPr>
          <w:p w:rsidR="005B7DB1" w:rsidRPr="005B7DB1" w:rsidRDefault="005B7DB1">
            <w:pPr>
              <w:keepNext/>
              <w:keepLines/>
              <w:autoSpaceDE w:val="0"/>
              <w:autoSpaceDN w:val="0"/>
              <w:adjustRightInd w:val="0"/>
              <w:spacing w:after="0" w:line="240" w:lineRule="auto"/>
              <w:jc w:val="center"/>
              <w:rPr>
                <w:rFonts w:ascii="Tms Rmn" w:hAnsi="Tms Rmn" w:cs="Tms Rmn"/>
                <w:b/>
                <w:bCs/>
                <w:color w:val="000000"/>
                <w:sz w:val="40"/>
                <w:szCs w:val="40"/>
              </w:rPr>
            </w:pPr>
            <w:r w:rsidRPr="005B7DB1">
              <w:rPr>
                <w:rFonts w:ascii="Tms Rmn" w:hAnsi="Tms Rmn" w:cs="Tms Rmn"/>
                <w:b/>
                <w:bCs/>
                <w:color w:val="000000"/>
                <w:sz w:val="40"/>
                <w:szCs w:val="40"/>
              </w:rPr>
              <w:t>Sistematización - Acta - 08/2023</w:t>
            </w:r>
          </w:p>
        </w:tc>
      </w:tr>
      <w:tr w:rsidR="005B7DB1" w:rsidRPr="005B7DB1" w:rsidTr="005B7DB1">
        <w:trPr>
          <w:gridAfter w:val="1"/>
          <w:wAfter w:w="19" w:type="pct"/>
        </w:trPr>
        <w:tc>
          <w:tcPr>
            <w:tcW w:w="639" w:type="pct"/>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Órgano:</w:t>
            </w:r>
          </w:p>
        </w:tc>
        <w:tc>
          <w:tcPr>
            <w:tcW w:w="4280" w:type="pct"/>
            <w:gridSpan w:val="3"/>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Comisión de Representantes Permanentes del MERCOSUR (CRPM)</w:t>
            </w:r>
          </w:p>
        </w:tc>
        <w:tc>
          <w:tcPr>
            <w:tcW w:w="62" w:type="pct"/>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 xml:space="preserve"> </w:t>
            </w:r>
          </w:p>
        </w:tc>
      </w:tr>
      <w:tr w:rsidR="005B7DB1" w:rsidRPr="005B7DB1" w:rsidTr="005B7DB1">
        <w:trPr>
          <w:gridAfter w:val="1"/>
          <w:wAfter w:w="19" w:type="pct"/>
        </w:trPr>
        <w:tc>
          <w:tcPr>
            <w:tcW w:w="639" w:type="pct"/>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Reunión:</w:t>
            </w:r>
          </w:p>
        </w:tc>
        <w:tc>
          <w:tcPr>
            <w:tcW w:w="4280" w:type="pct"/>
            <w:gridSpan w:val="3"/>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CCLXII</w:t>
            </w:r>
          </w:p>
        </w:tc>
        <w:tc>
          <w:tcPr>
            <w:tcW w:w="62" w:type="pct"/>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 xml:space="preserve"> </w:t>
            </w:r>
          </w:p>
        </w:tc>
      </w:tr>
      <w:tr w:rsidR="005B7DB1" w:rsidRPr="005B7DB1" w:rsidTr="005B7DB1">
        <w:trPr>
          <w:gridAfter w:val="1"/>
          <w:wAfter w:w="19" w:type="pct"/>
        </w:trPr>
        <w:tc>
          <w:tcPr>
            <w:tcW w:w="639" w:type="pct"/>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Fecha:</w:t>
            </w:r>
          </w:p>
        </w:tc>
        <w:tc>
          <w:tcPr>
            <w:tcW w:w="4280" w:type="pct"/>
            <w:gridSpan w:val="3"/>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08/08/2023</w:t>
            </w:r>
          </w:p>
        </w:tc>
        <w:tc>
          <w:tcPr>
            <w:tcW w:w="62" w:type="pct"/>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 xml:space="preserve"> </w:t>
            </w:r>
          </w:p>
        </w:tc>
      </w:tr>
      <w:tr w:rsidR="005B7DB1" w:rsidRPr="005B7DB1" w:rsidTr="005B7DB1">
        <w:trPr>
          <w:gridAfter w:val="1"/>
          <w:wAfter w:w="19" w:type="pct"/>
        </w:trPr>
        <w:tc>
          <w:tcPr>
            <w:tcW w:w="639" w:type="pct"/>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Lugar:</w:t>
            </w:r>
          </w:p>
        </w:tc>
        <w:tc>
          <w:tcPr>
            <w:tcW w:w="4280" w:type="pct"/>
            <w:gridSpan w:val="3"/>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Montevideo-Uruguay</w:t>
            </w:r>
          </w:p>
        </w:tc>
        <w:tc>
          <w:tcPr>
            <w:tcW w:w="62" w:type="pct"/>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 xml:space="preserve"> </w:t>
            </w:r>
          </w:p>
        </w:tc>
      </w:tr>
      <w:tr w:rsidR="005B7DB1" w:rsidRPr="005B7DB1" w:rsidTr="005B7DB1">
        <w:trPr>
          <w:gridAfter w:val="1"/>
          <w:wAfter w:w="19" w:type="pct"/>
        </w:trPr>
        <w:tc>
          <w:tcPr>
            <w:tcW w:w="639" w:type="pct"/>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Acta:</w:t>
            </w:r>
          </w:p>
        </w:tc>
        <w:tc>
          <w:tcPr>
            <w:tcW w:w="4280" w:type="pct"/>
            <w:gridSpan w:val="3"/>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08/2023</w:t>
            </w:r>
          </w:p>
        </w:tc>
        <w:tc>
          <w:tcPr>
            <w:tcW w:w="62" w:type="pct"/>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 xml:space="preserve"> </w:t>
            </w:r>
          </w:p>
        </w:tc>
      </w:tr>
      <w:tr w:rsidR="005B7DB1" w:rsidRPr="005B7DB1" w:rsidTr="005B7DB1">
        <w:trPr>
          <w:gridAfter w:val="1"/>
          <w:wAfter w:w="19" w:type="pct"/>
        </w:trPr>
        <w:tc>
          <w:tcPr>
            <w:tcW w:w="639" w:type="pct"/>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Fecha de Ingreso:</w:t>
            </w:r>
          </w:p>
        </w:tc>
        <w:tc>
          <w:tcPr>
            <w:tcW w:w="4280" w:type="pct"/>
            <w:gridSpan w:val="3"/>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08/08/2023</w:t>
            </w:r>
          </w:p>
        </w:tc>
        <w:tc>
          <w:tcPr>
            <w:tcW w:w="62" w:type="pct"/>
            <w:shd w:val="clear" w:color="auto" w:fill="CCFFCC"/>
            <w:vAlign w:val="center"/>
          </w:tcPr>
          <w:p w:rsidR="005B7DB1" w:rsidRPr="005B7DB1" w:rsidRDefault="005B7DB1">
            <w:pPr>
              <w:keepNext/>
              <w:keepLines/>
              <w:autoSpaceDE w:val="0"/>
              <w:autoSpaceDN w:val="0"/>
              <w:adjustRightInd w:val="0"/>
              <w:spacing w:after="0" w:line="240" w:lineRule="auto"/>
              <w:rPr>
                <w:rFonts w:ascii="Tms Rmn" w:hAnsi="Tms Rmn" w:cs="Tms Rmn"/>
                <w:b/>
                <w:bCs/>
                <w:color w:val="000000"/>
                <w:sz w:val="24"/>
                <w:szCs w:val="24"/>
              </w:rPr>
            </w:pPr>
            <w:r w:rsidRPr="005B7DB1">
              <w:rPr>
                <w:rFonts w:ascii="Tms Rmn" w:hAnsi="Tms Rmn" w:cs="Tms Rmn"/>
                <w:b/>
                <w:bCs/>
                <w:color w:val="000000"/>
                <w:sz w:val="24"/>
                <w:szCs w:val="24"/>
              </w:rPr>
              <w:t xml:space="preserve"> </w:t>
            </w:r>
          </w:p>
        </w:tc>
      </w:tr>
      <w:tr w:rsidR="005B7DB1" w:rsidTr="005B7DB1">
        <w:tblPrEx>
          <w:shd w:val="clear" w:color="auto" w:fill="auto"/>
        </w:tblPrEx>
        <w:tc>
          <w:tcPr>
            <w:tcW w:w="736" w:type="pct"/>
            <w:gridSpan w:val="2"/>
            <w:vAlign w:val="center"/>
          </w:tcPr>
          <w:p w:rsidR="005B7DB1" w:rsidRDefault="005B7DB1">
            <w:pPr>
              <w:keepNext/>
              <w:keepLines/>
              <w:autoSpaceDE w:val="0"/>
              <w:autoSpaceDN w:val="0"/>
              <w:adjustRightInd w:val="0"/>
              <w:spacing w:after="0" w:line="240" w:lineRule="auto"/>
              <w:rPr>
                <w:rFonts w:ascii="Tms Rmn" w:hAnsi="Tms Rmn" w:cs="Tms Rmn"/>
                <w:b/>
                <w:bCs/>
                <w:color w:val="000000"/>
                <w:sz w:val="24"/>
                <w:szCs w:val="24"/>
              </w:rPr>
            </w:pPr>
            <w:bookmarkStart w:id="0" w:name="_GoBack"/>
            <w:bookmarkEnd w:id="0"/>
            <w:r>
              <w:rPr>
                <w:rFonts w:ascii="Tms Rmn" w:hAnsi="Tms Rmn" w:cs="Tms Rmn"/>
                <w:b/>
                <w:bCs/>
                <w:color w:val="000000"/>
                <w:sz w:val="24"/>
                <w:szCs w:val="24"/>
              </w:rPr>
              <w:t>Acta,</w:t>
            </w:r>
          </w:p>
        </w:tc>
        <w:tc>
          <w:tcPr>
            <w:tcW w:w="3759" w:type="pct"/>
            <w:vAlign w:val="center"/>
          </w:tcPr>
          <w:p w:rsidR="005B7DB1" w:rsidRDefault="005B7DB1" w:rsidP="005B7DB1">
            <w:pPr>
              <w:keepNext/>
              <w:keepLines/>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 xml:space="preserve"> </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rPr>
            </w:pPr>
            <w:r>
              <w:rPr>
                <w:rFonts w:ascii="Tms Rmn" w:hAnsi="Tms Rmn" w:cs="Tms Rmn"/>
                <w:b/>
                <w:bCs/>
                <w:color w:val="000000"/>
                <w:sz w:val="24"/>
                <w:szCs w:val="24"/>
              </w:rPr>
              <w:t>p.1</w:t>
            </w:r>
          </w:p>
        </w:tc>
      </w:tr>
      <w:tr w:rsidR="005B7DB1" w:rsidTr="005B7DB1">
        <w:tblPrEx>
          <w:shd w:val="clear" w:color="auto" w:fill="auto"/>
        </w:tblPrEx>
        <w:tc>
          <w:tcPr>
            <w:tcW w:w="736" w:type="pct"/>
            <w:gridSpan w:val="2"/>
            <w:vAlign w:val="center"/>
          </w:tcPr>
          <w:p w:rsidR="005B7DB1" w:rsidRPr="005B7DB1" w:rsidRDefault="005B7DB1">
            <w:pPr>
              <w:keepNext/>
              <w:keepLines/>
              <w:autoSpaceDE w:val="0"/>
              <w:autoSpaceDN w:val="0"/>
              <w:adjustRightInd w:val="0"/>
              <w:spacing w:after="0" w:line="240" w:lineRule="auto"/>
              <w:rPr>
                <w:rFonts w:ascii="Tms Rmn" w:hAnsi="Tms Rmn" w:cs="Tms Rmn"/>
                <w:b/>
                <w:bCs/>
                <w:i/>
                <w:iCs/>
                <w:color w:val="000000"/>
                <w:sz w:val="24"/>
                <w:szCs w:val="24"/>
              </w:rPr>
            </w:pPr>
            <w:r w:rsidRPr="005B7DB1">
              <w:rPr>
                <w:rFonts w:ascii="Tms Rmn" w:hAnsi="Tms Rmn" w:cs="Tms Rmn"/>
                <w:b/>
                <w:bCs/>
                <w:i/>
                <w:iCs/>
                <w:color w:val="000000"/>
                <w:sz w:val="24"/>
                <w:szCs w:val="24"/>
              </w:rPr>
              <w:t>Ata</w:t>
            </w:r>
            <w:r w:rsidRPr="005B7DB1">
              <w:rPr>
                <w:rFonts w:ascii="Tms Rmn" w:hAnsi="Tms Rmn" w:cs="Tms Rmn"/>
                <w:b/>
                <w:bCs/>
                <w:i/>
                <w:iCs/>
                <w:color w:val="000000"/>
                <w:sz w:val="24"/>
                <w:szCs w:val="24"/>
              </w:rPr>
              <w:t>,</w:t>
            </w:r>
          </w:p>
        </w:tc>
        <w:tc>
          <w:tcPr>
            <w:tcW w:w="3759" w:type="pct"/>
            <w:vAlign w:val="center"/>
          </w:tcPr>
          <w:p w:rsidR="005B7DB1" w:rsidRDefault="005B7DB1" w:rsidP="005B7DB1">
            <w:pPr>
              <w:keepNext/>
              <w:keepLines/>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 xml:space="preserve"> </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rPr>
            </w:pPr>
          </w:p>
        </w:tc>
      </w:tr>
      <w:tr w:rsidR="005B7DB1" w:rsidTr="005B7DB1">
        <w:tblPrEx>
          <w:shd w:val="clear" w:color="auto" w:fill="auto"/>
        </w:tblPrEx>
        <w:tc>
          <w:tcPr>
            <w:tcW w:w="736" w:type="pct"/>
            <w:gridSpan w:val="2"/>
          </w:tcPr>
          <w:p w:rsidR="005B7DB1" w:rsidRDefault="005B7DB1">
            <w:pPr>
              <w:keepNext/>
              <w:keepLines/>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Anexo I</w:t>
            </w:r>
            <w:r>
              <w:rPr>
                <w:rFonts w:ascii="Tms Rmn" w:hAnsi="Tms Rmn" w:cs="Tms Rmn"/>
                <w:b/>
                <w:bCs/>
                <w:color w:val="000000"/>
                <w:sz w:val="24"/>
                <w:szCs w:val="24"/>
              </w:rPr>
              <w:t>:</w:t>
            </w:r>
          </w:p>
        </w:tc>
        <w:tc>
          <w:tcPr>
            <w:tcW w:w="3759" w:type="pct"/>
          </w:tcPr>
          <w:p w:rsidR="005B7DB1" w:rsidRDefault="005B7DB1" w:rsidP="005B7DB1">
            <w:pPr>
              <w:keepNext/>
              <w:keepLines/>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Lista de Participantes</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rPr>
            </w:pPr>
            <w:r>
              <w:rPr>
                <w:rFonts w:ascii="Tms Rmn" w:hAnsi="Tms Rmn" w:cs="Tms Rmn"/>
                <w:b/>
                <w:bCs/>
                <w:color w:val="000000"/>
                <w:sz w:val="24"/>
                <w:szCs w:val="24"/>
              </w:rPr>
              <w:t>digital</w:t>
            </w:r>
          </w:p>
        </w:tc>
      </w:tr>
      <w:tr w:rsidR="005B7DB1" w:rsidTr="005B7DB1">
        <w:tblPrEx>
          <w:shd w:val="clear" w:color="auto" w:fill="auto"/>
        </w:tblPrEx>
        <w:tc>
          <w:tcPr>
            <w:tcW w:w="736" w:type="pct"/>
            <w:gridSpan w:val="2"/>
            <w:vAlign w:val="center"/>
          </w:tcPr>
          <w:p w:rsidR="005B7DB1" w:rsidRDefault="005B7DB1">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tc>
        <w:tc>
          <w:tcPr>
            <w:tcW w:w="3759" w:type="pct"/>
          </w:tcPr>
          <w:p w:rsidR="005B7DB1" w:rsidRPr="005B7DB1" w:rsidRDefault="005B7DB1" w:rsidP="005B7DB1">
            <w:pPr>
              <w:keepNext/>
              <w:keepLines/>
              <w:autoSpaceDE w:val="0"/>
              <w:autoSpaceDN w:val="0"/>
              <w:adjustRightInd w:val="0"/>
              <w:spacing w:after="0" w:line="240" w:lineRule="auto"/>
              <w:jc w:val="both"/>
              <w:rPr>
                <w:rFonts w:ascii="Tms Rmn" w:hAnsi="Tms Rmn" w:cs="Tms Rmn"/>
                <w:i/>
                <w:iCs/>
                <w:color w:val="000000"/>
                <w:sz w:val="24"/>
                <w:szCs w:val="24"/>
              </w:rPr>
            </w:pPr>
            <w:r w:rsidRPr="005B7DB1">
              <w:rPr>
                <w:rFonts w:ascii="Tms Rmn" w:hAnsi="Tms Rmn" w:cs="Tms Rmn"/>
                <w:i/>
                <w:iCs/>
                <w:color w:val="000000"/>
                <w:sz w:val="24"/>
                <w:szCs w:val="24"/>
              </w:rPr>
              <w:t>Lista de Participantes</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rPr>
            </w:pPr>
          </w:p>
        </w:tc>
      </w:tr>
      <w:tr w:rsidR="005B7DB1" w:rsidTr="005B7DB1">
        <w:tblPrEx>
          <w:shd w:val="clear" w:color="auto" w:fill="auto"/>
        </w:tblPrEx>
        <w:tc>
          <w:tcPr>
            <w:tcW w:w="736" w:type="pct"/>
            <w:gridSpan w:val="2"/>
          </w:tcPr>
          <w:p w:rsidR="005B7DB1" w:rsidRDefault="005B7DB1">
            <w:pPr>
              <w:keepNext/>
              <w:keepLines/>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Anexo II</w:t>
            </w:r>
            <w:r>
              <w:rPr>
                <w:rFonts w:ascii="Tms Rmn" w:hAnsi="Tms Rmn" w:cs="Tms Rmn"/>
                <w:b/>
                <w:bCs/>
                <w:color w:val="000000"/>
                <w:sz w:val="24"/>
                <w:szCs w:val="24"/>
              </w:rPr>
              <w:t>:</w:t>
            </w:r>
          </w:p>
        </w:tc>
        <w:tc>
          <w:tcPr>
            <w:tcW w:w="3759" w:type="pct"/>
          </w:tcPr>
          <w:p w:rsidR="005B7DB1" w:rsidRDefault="005B7DB1" w:rsidP="005B7DB1">
            <w:pPr>
              <w:keepNext/>
              <w:keepLines/>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Agenda</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rPr>
            </w:pPr>
            <w:r>
              <w:rPr>
                <w:rFonts w:ascii="Tms Rmn" w:hAnsi="Tms Rmn" w:cs="Tms Rmn"/>
                <w:b/>
                <w:bCs/>
                <w:color w:val="000000"/>
                <w:sz w:val="24"/>
                <w:szCs w:val="24"/>
              </w:rPr>
              <w:t>digital</w:t>
            </w:r>
          </w:p>
        </w:tc>
      </w:tr>
      <w:tr w:rsidR="005B7DB1" w:rsidTr="005B7DB1">
        <w:tblPrEx>
          <w:shd w:val="clear" w:color="auto" w:fill="auto"/>
        </w:tblPrEx>
        <w:tc>
          <w:tcPr>
            <w:tcW w:w="736" w:type="pct"/>
            <w:gridSpan w:val="2"/>
            <w:vAlign w:val="center"/>
          </w:tcPr>
          <w:p w:rsidR="005B7DB1" w:rsidRDefault="005B7DB1">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tc>
        <w:tc>
          <w:tcPr>
            <w:tcW w:w="3759" w:type="pct"/>
          </w:tcPr>
          <w:p w:rsidR="005B7DB1" w:rsidRPr="005B7DB1" w:rsidRDefault="005B7DB1" w:rsidP="005B7DB1">
            <w:pPr>
              <w:keepNext/>
              <w:keepLines/>
              <w:autoSpaceDE w:val="0"/>
              <w:autoSpaceDN w:val="0"/>
              <w:adjustRightInd w:val="0"/>
              <w:spacing w:after="0" w:line="240" w:lineRule="auto"/>
              <w:jc w:val="both"/>
              <w:rPr>
                <w:rFonts w:ascii="Tms Rmn" w:hAnsi="Tms Rmn" w:cs="Tms Rmn"/>
                <w:i/>
                <w:iCs/>
                <w:color w:val="000000"/>
                <w:sz w:val="24"/>
                <w:szCs w:val="24"/>
              </w:rPr>
            </w:pPr>
            <w:r w:rsidRPr="005B7DB1">
              <w:rPr>
                <w:rFonts w:ascii="Tms Rmn" w:hAnsi="Tms Rmn" w:cs="Tms Rmn"/>
                <w:i/>
                <w:iCs/>
                <w:color w:val="000000"/>
                <w:sz w:val="24"/>
                <w:szCs w:val="24"/>
              </w:rPr>
              <w:t>Agenda</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rPr>
            </w:pPr>
          </w:p>
        </w:tc>
      </w:tr>
      <w:tr w:rsidR="005B7DB1" w:rsidTr="005B7DB1">
        <w:tblPrEx>
          <w:shd w:val="clear" w:color="auto" w:fill="auto"/>
        </w:tblPrEx>
        <w:tc>
          <w:tcPr>
            <w:tcW w:w="736" w:type="pct"/>
            <w:gridSpan w:val="2"/>
          </w:tcPr>
          <w:p w:rsidR="005B7DB1" w:rsidRDefault="005B7DB1">
            <w:pPr>
              <w:keepNext/>
              <w:keepLines/>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Anexo III</w:t>
            </w:r>
            <w:r>
              <w:rPr>
                <w:rFonts w:ascii="Tms Rmn" w:hAnsi="Tms Rmn" w:cs="Tms Rmn"/>
                <w:b/>
                <w:bCs/>
                <w:color w:val="000000"/>
                <w:sz w:val="24"/>
                <w:szCs w:val="24"/>
              </w:rPr>
              <w:t>:</w:t>
            </w:r>
          </w:p>
        </w:tc>
        <w:tc>
          <w:tcPr>
            <w:tcW w:w="3759" w:type="pct"/>
          </w:tcPr>
          <w:p w:rsidR="005B7DB1" w:rsidRDefault="005B7DB1" w:rsidP="005B7DB1">
            <w:pPr>
              <w:keepNext/>
              <w:keepLines/>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Resumen del Acta</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rPr>
            </w:pPr>
            <w:r>
              <w:rPr>
                <w:rFonts w:ascii="Tms Rmn" w:hAnsi="Tms Rmn" w:cs="Tms Rmn"/>
                <w:b/>
                <w:bCs/>
                <w:color w:val="000000"/>
                <w:sz w:val="24"/>
                <w:szCs w:val="24"/>
              </w:rPr>
              <w:t>digital</w:t>
            </w:r>
          </w:p>
        </w:tc>
      </w:tr>
      <w:tr w:rsidR="005B7DB1" w:rsidTr="005B7DB1">
        <w:tblPrEx>
          <w:shd w:val="clear" w:color="auto" w:fill="auto"/>
        </w:tblPrEx>
        <w:tc>
          <w:tcPr>
            <w:tcW w:w="736" w:type="pct"/>
            <w:gridSpan w:val="2"/>
            <w:vAlign w:val="center"/>
          </w:tcPr>
          <w:p w:rsidR="005B7DB1" w:rsidRDefault="005B7DB1">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tc>
        <w:tc>
          <w:tcPr>
            <w:tcW w:w="3759" w:type="pct"/>
          </w:tcPr>
          <w:p w:rsidR="005B7DB1" w:rsidRPr="005B7DB1" w:rsidRDefault="005B7DB1" w:rsidP="005B7DB1">
            <w:pPr>
              <w:keepNext/>
              <w:keepLines/>
              <w:autoSpaceDE w:val="0"/>
              <w:autoSpaceDN w:val="0"/>
              <w:adjustRightInd w:val="0"/>
              <w:spacing w:after="0" w:line="240" w:lineRule="auto"/>
              <w:jc w:val="both"/>
              <w:rPr>
                <w:rFonts w:ascii="Tms Rmn" w:hAnsi="Tms Rmn" w:cs="Tms Rmn"/>
                <w:i/>
                <w:iCs/>
                <w:color w:val="000000"/>
                <w:sz w:val="24"/>
                <w:szCs w:val="24"/>
              </w:rPr>
            </w:pPr>
            <w:r w:rsidRPr="005B7DB1">
              <w:rPr>
                <w:rFonts w:ascii="Tms Rmn" w:hAnsi="Tms Rmn" w:cs="Tms Rmn"/>
                <w:i/>
                <w:iCs/>
                <w:color w:val="000000"/>
                <w:sz w:val="24"/>
                <w:szCs w:val="24"/>
              </w:rPr>
              <w:t>Resumo da Ata</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rPr>
            </w:pPr>
          </w:p>
        </w:tc>
      </w:tr>
      <w:tr w:rsidR="005B7DB1" w:rsidTr="005B7DB1">
        <w:tblPrEx>
          <w:shd w:val="clear" w:color="auto" w:fill="auto"/>
        </w:tblPrEx>
        <w:tc>
          <w:tcPr>
            <w:tcW w:w="736" w:type="pct"/>
            <w:gridSpan w:val="2"/>
          </w:tcPr>
          <w:p w:rsidR="005B7DB1" w:rsidRDefault="005B7DB1">
            <w:pPr>
              <w:keepNext/>
              <w:keepLines/>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Anexo IV</w:t>
            </w:r>
            <w:r>
              <w:rPr>
                <w:rFonts w:ascii="Tms Rmn" w:hAnsi="Tms Rmn" w:cs="Tms Rmn"/>
                <w:b/>
                <w:bCs/>
                <w:color w:val="000000"/>
                <w:sz w:val="24"/>
                <w:szCs w:val="24"/>
              </w:rPr>
              <w:t>:</w:t>
            </w:r>
          </w:p>
        </w:tc>
        <w:tc>
          <w:tcPr>
            <w:tcW w:w="3759" w:type="pct"/>
          </w:tcPr>
          <w:p w:rsidR="005B7DB1" w:rsidRDefault="005B7DB1" w:rsidP="005B7DB1">
            <w:pPr>
              <w:keepNext/>
              <w:keepLines/>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 xml:space="preserve">Comunicaciones UTF </w:t>
            </w:r>
            <w:proofErr w:type="spellStart"/>
            <w:r>
              <w:rPr>
                <w:rFonts w:ascii="Tms Rmn" w:hAnsi="Tms Rmn" w:cs="Tms Rmn"/>
                <w:color w:val="000000"/>
                <w:sz w:val="24"/>
                <w:szCs w:val="24"/>
              </w:rPr>
              <w:t>Nº</w:t>
            </w:r>
            <w:proofErr w:type="spellEnd"/>
            <w:r>
              <w:rPr>
                <w:rFonts w:ascii="Tms Rmn" w:hAnsi="Tms Rmn" w:cs="Tms Rmn"/>
                <w:color w:val="000000"/>
                <w:sz w:val="24"/>
                <w:szCs w:val="24"/>
              </w:rPr>
              <w:t xml:space="preserve"> 49/23, 50/23, 51/23 y 52/23 – Informes de las Auditorías Externas Integrales Finales realizadas a los Proyectos “Rehabilitación de la Carretera 30 del Uruguay” (Tramos I a IV)</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rPr>
            </w:pPr>
            <w:r>
              <w:rPr>
                <w:rFonts w:ascii="Tms Rmn" w:hAnsi="Tms Rmn" w:cs="Tms Rmn"/>
                <w:b/>
                <w:bCs/>
                <w:color w:val="000000"/>
                <w:sz w:val="24"/>
                <w:szCs w:val="24"/>
              </w:rPr>
              <w:t>digital</w:t>
            </w:r>
          </w:p>
        </w:tc>
      </w:tr>
      <w:tr w:rsidR="005B7DB1" w:rsidRPr="005B7DB1" w:rsidTr="005B7DB1">
        <w:tblPrEx>
          <w:shd w:val="clear" w:color="auto" w:fill="auto"/>
        </w:tblPrEx>
        <w:tc>
          <w:tcPr>
            <w:tcW w:w="736" w:type="pct"/>
            <w:gridSpan w:val="2"/>
            <w:vAlign w:val="center"/>
          </w:tcPr>
          <w:p w:rsidR="005B7DB1" w:rsidRDefault="005B7DB1">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tc>
        <w:tc>
          <w:tcPr>
            <w:tcW w:w="3759" w:type="pct"/>
          </w:tcPr>
          <w:p w:rsidR="005B7DB1" w:rsidRPr="005B7DB1" w:rsidRDefault="005B7DB1" w:rsidP="005B7DB1">
            <w:pPr>
              <w:keepNext/>
              <w:keepLines/>
              <w:autoSpaceDE w:val="0"/>
              <w:autoSpaceDN w:val="0"/>
              <w:adjustRightInd w:val="0"/>
              <w:spacing w:after="0" w:line="240" w:lineRule="auto"/>
              <w:jc w:val="both"/>
              <w:rPr>
                <w:rFonts w:ascii="Tms Rmn" w:hAnsi="Tms Rmn" w:cs="Tms Rmn"/>
                <w:i/>
                <w:iCs/>
                <w:color w:val="000000"/>
                <w:sz w:val="24"/>
                <w:szCs w:val="24"/>
                <w:lang w:val="pt-BR"/>
              </w:rPr>
            </w:pPr>
            <w:r w:rsidRPr="005B7DB1">
              <w:rPr>
                <w:rFonts w:ascii="Tms Rmn" w:hAnsi="Tms Rmn" w:cs="Tms Rmn"/>
                <w:i/>
                <w:iCs/>
                <w:color w:val="000000"/>
                <w:sz w:val="24"/>
                <w:szCs w:val="24"/>
                <w:lang w:val="pt-BR"/>
              </w:rPr>
              <w:t>Comunicações UTF Nº 49/23, 50/23, 51/23 e 52/23 – Relatórios das auditorias externas integrais finais realizadas aos projetos “Reabilitação da Rodovia 30 do Uruguai” (Trechos I a IV)</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lang w:val="pt-BR"/>
              </w:rPr>
            </w:pPr>
          </w:p>
        </w:tc>
      </w:tr>
      <w:tr w:rsidR="005B7DB1" w:rsidTr="005B7DB1">
        <w:tblPrEx>
          <w:shd w:val="clear" w:color="auto" w:fill="auto"/>
        </w:tblPrEx>
        <w:tc>
          <w:tcPr>
            <w:tcW w:w="736" w:type="pct"/>
            <w:gridSpan w:val="2"/>
          </w:tcPr>
          <w:p w:rsidR="005B7DB1" w:rsidRDefault="005B7DB1">
            <w:pPr>
              <w:keepNext/>
              <w:keepLines/>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Anexo V</w:t>
            </w:r>
            <w:r>
              <w:rPr>
                <w:rFonts w:ascii="Tms Rmn" w:hAnsi="Tms Rmn" w:cs="Tms Rmn"/>
                <w:b/>
                <w:bCs/>
                <w:color w:val="000000"/>
                <w:sz w:val="24"/>
                <w:szCs w:val="24"/>
              </w:rPr>
              <w:t>:</w:t>
            </w:r>
          </w:p>
        </w:tc>
        <w:tc>
          <w:tcPr>
            <w:tcW w:w="3759" w:type="pct"/>
          </w:tcPr>
          <w:p w:rsidR="005B7DB1" w:rsidRDefault="005B7DB1" w:rsidP="005B7DB1">
            <w:pPr>
              <w:keepNext/>
              <w:keepLines/>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 xml:space="preserve">Comunicación UTF </w:t>
            </w:r>
            <w:proofErr w:type="spellStart"/>
            <w:r>
              <w:rPr>
                <w:rFonts w:ascii="Tms Rmn" w:hAnsi="Tms Rmn" w:cs="Tms Rmn"/>
                <w:color w:val="000000"/>
                <w:sz w:val="24"/>
                <w:szCs w:val="24"/>
              </w:rPr>
              <w:t>Nº</w:t>
            </w:r>
            <w:proofErr w:type="spellEnd"/>
            <w:r>
              <w:rPr>
                <w:rFonts w:ascii="Tms Rmn" w:hAnsi="Tms Rmn" w:cs="Tms Rmn"/>
                <w:color w:val="000000"/>
                <w:sz w:val="24"/>
                <w:szCs w:val="24"/>
              </w:rPr>
              <w:t xml:space="preserve"> 60/23 – Informe de la 6ª inspección técnica de las obras de construcción del laboratorio tipo II en el Laboratorio Central de Salud Pública de Paraguay (LCSP), del proyecto pluriestatal “Investigación, educación y biotecnologías aplicadas a la salud”</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rPr>
            </w:pPr>
            <w:r>
              <w:rPr>
                <w:rFonts w:ascii="Tms Rmn" w:hAnsi="Tms Rmn" w:cs="Tms Rmn"/>
                <w:b/>
                <w:bCs/>
                <w:color w:val="000000"/>
                <w:sz w:val="24"/>
                <w:szCs w:val="24"/>
              </w:rPr>
              <w:t>digital</w:t>
            </w:r>
          </w:p>
        </w:tc>
      </w:tr>
      <w:tr w:rsidR="005B7DB1" w:rsidRPr="005B7DB1" w:rsidTr="005B7DB1">
        <w:tblPrEx>
          <w:shd w:val="clear" w:color="auto" w:fill="auto"/>
        </w:tblPrEx>
        <w:tc>
          <w:tcPr>
            <w:tcW w:w="736" w:type="pct"/>
            <w:gridSpan w:val="2"/>
            <w:vAlign w:val="center"/>
          </w:tcPr>
          <w:p w:rsidR="005B7DB1" w:rsidRDefault="005B7DB1">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tc>
        <w:tc>
          <w:tcPr>
            <w:tcW w:w="3759" w:type="pct"/>
          </w:tcPr>
          <w:p w:rsidR="005B7DB1" w:rsidRPr="005B7DB1" w:rsidRDefault="005B7DB1" w:rsidP="005B7DB1">
            <w:pPr>
              <w:keepNext/>
              <w:keepLines/>
              <w:autoSpaceDE w:val="0"/>
              <w:autoSpaceDN w:val="0"/>
              <w:adjustRightInd w:val="0"/>
              <w:spacing w:after="0" w:line="240" w:lineRule="auto"/>
              <w:jc w:val="both"/>
              <w:rPr>
                <w:rFonts w:ascii="Tms Rmn" w:hAnsi="Tms Rmn" w:cs="Tms Rmn"/>
                <w:i/>
                <w:iCs/>
                <w:color w:val="000000"/>
                <w:sz w:val="24"/>
                <w:szCs w:val="24"/>
                <w:lang w:val="pt-BR"/>
              </w:rPr>
            </w:pPr>
            <w:r w:rsidRPr="005B7DB1">
              <w:rPr>
                <w:rFonts w:ascii="Tms Rmn" w:hAnsi="Tms Rmn" w:cs="Tms Rmn"/>
                <w:i/>
                <w:iCs/>
                <w:color w:val="000000"/>
                <w:sz w:val="24"/>
                <w:szCs w:val="24"/>
                <w:lang w:val="pt-BR"/>
              </w:rPr>
              <w:t>Comunicação UTF Nº 60/23 – Relatório da 6ª inspeção técnica das obras de construção do laboratório tipo II no Laboratório Central de Saúde Pública do Paraguai (LCSP), do projeto pluriestatal “Investigação, educação e biotecnologias aplicadas à saúde”</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lang w:val="pt-BR"/>
              </w:rPr>
            </w:pPr>
          </w:p>
        </w:tc>
      </w:tr>
      <w:tr w:rsidR="005B7DB1" w:rsidTr="005B7DB1">
        <w:tblPrEx>
          <w:shd w:val="clear" w:color="auto" w:fill="auto"/>
        </w:tblPrEx>
        <w:tc>
          <w:tcPr>
            <w:tcW w:w="736" w:type="pct"/>
            <w:gridSpan w:val="2"/>
          </w:tcPr>
          <w:p w:rsidR="005B7DB1" w:rsidRDefault="005B7DB1">
            <w:pPr>
              <w:keepNext/>
              <w:keepLines/>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Anexo VI</w:t>
            </w:r>
            <w:r>
              <w:rPr>
                <w:rFonts w:ascii="Tms Rmn" w:hAnsi="Tms Rmn" w:cs="Tms Rmn"/>
                <w:b/>
                <w:bCs/>
                <w:color w:val="000000"/>
                <w:sz w:val="24"/>
                <w:szCs w:val="24"/>
              </w:rPr>
              <w:t>:</w:t>
            </w:r>
          </w:p>
        </w:tc>
        <w:tc>
          <w:tcPr>
            <w:tcW w:w="3759" w:type="pct"/>
          </w:tcPr>
          <w:p w:rsidR="005B7DB1" w:rsidRDefault="005B7DB1" w:rsidP="005B7DB1">
            <w:pPr>
              <w:keepNext/>
              <w:keepLines/>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 xml:space="preserve">Comunicación UTF </w:t>
            </w:r>
            <w:proofErr w:type="spellStart"/>
            <w:r>
              <w:rPr>
                <w:rFonts w:ascii="Tms Rmn" w:hAnsi="Tms Rmn" w:cs="Tms Rmn"/>
                <w:color w:val="000000"/>
                <w:sz w:val="24"/>
                <w:szCs w:val="24"/>
              </w:rPr>
              <w:t>Nº</w:t>
            </w:r>
            <w:proofErr w:type="spellEnd"/>
            <w:r>
              <w:rPr>
                <w:rFonts w:ascii="Tms Rmn" w:hAnsi="Tms Rmn" w:cs="Tms Rmn"/>
                <w:color w:val="000000"/>
                <w:sz w:val="24"/>
                <w:szCs w:val="24"/>
              </w:rPr>
              <w:t xml:space="preserve"> 58/23 – Informe de FONPLATA sobre el desempeño de la cartera de inversiones de los recursos FOCEM al 30/06/23</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rPr>
            </w:pPr>
            <w:r>
              <w:rPr>
                <w:rFonts w:ascii="Tms Rmn" w:hAnsi="Tms Rmn" w:cs="Tms Rmn"/>
                <w:b/>
                <w:bCs/>
                <w:color w:val="000000"/>
                <w:sz w:val="24"/>
                <w:szCs w:val="24"/>
              </w:rPr>
              <w:t>digital</w:t>
            </w:r>
          </w:p>
        </w:tc>
      </w:tr>
      <w:tr w:rsidR="005B7DB1" w:rsidRPr="005B7DB1" w:rsidTr="005B7DB1">
        <w:tblPrEx>
          <w:shd w:val="clear" w:color="auto" w:fill="auto"/>
        </w:tblPrEx>
        <w:tc>
          <w:tcPr>
            <w:tcW w:w="736" w:type="pct"/>
            <w:gridSpan w:val="2"/>
            <w:vAlign w:val="center"/>
          </w:tcPr>
          <w:p w:rsidR="005B7DB1" w:rsidRDefault="005B7DB1">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tc>
        <w:tc>
          <w:tcPr>
            <w:tcW w:w="3759" w:type="pct"/>
          </w:tcPr>
          <w:p w:rsidR="005B7DB1" w:rsidRPr="005B7DB1" w:rsidRDefault="005B7DB1" w:rsidP="005B7DB1">
            <w:pPr>
              <w:keepNext/>
              <w:keepLines/>
              <w:autoSpaceDE w:val="0"/>
              <w:autoSpaceDN w:val="0"/>
              <w:adjustRightInd w:val="0"/>
              <w:spacing w:after="0" w:line="240" w:lineRule="auto"/>
              <w:jc w:val="both"/>
              <w:rPr>
                <w:rFonts w:ascii="Tms Rmn" w:hAnsi="Tms Rmn" w:cs="Tms Rmn"/>
                <w:i/>
                <w:iCs/>
                <w:color w:val="000000"/>
                <w:sz w:val="24"/>
                <w:szCs w:val="24"/>
                <w:lang w:val="pt-BR"/>
              </w:rPr>
            </w:pPr>
            <w:r w:rsidRPr="005B7DB1">
              <w:rPr>
                <w:rFonts w:ascii="Tms Rmn" w:hAnsi="Tms Rmn" w:cs="Tms Rmn"/>
                <w:i/>
                <w:iCs/>
                <w:color w:val="000000"/>
                <w:sz w:val="24"/>
                <w:szCs w:val="24"/>
                <w:lang w:val="pt-BR"/>
              </w:rPr>
              <w:t>Comunicação UTF Nº 58/23 – Relatório do FONPLATA sobre o desempenho da carteira de investimentos dos recursos FOCEM ao 30/06/23</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lang w:val="pt-BR"/>
              </w:rPr>
            </w:pPr>
          </w:p>
        </w:tc>
      </w:tr>
      <w:tr w:rsidR="005B7DB1" w:rsidTr="005B7DB1">
        <w:tblPrEx>
          <w:shd w:val="clear" w:color="auto" w:fill="auto"/>
        </w:tblPrEx>
        <w:tc>
          <w:tcPr>
            <w:tcW w:w="736" w:type="pct"/>
            <w:gridSpan w:val="2"/>
          </w:tcPr>
          <w:p w:rsidR="005B7DB1" w:rsidRDefault="005B7DB1">
            <w:pPr>
              <w:keepNext/>
              <w:keepLines/>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Anexo VII</w:t>
            </w:r>
            <w:r>
              <w:rPr>
                <w:rFonts w:ascii="Tms Rmn" w:hAnsi="Tms Rmn" w:cs="Tms Rmn"/>
                <w:b/>
                <w:bCs/>
                <w:color w:val="000000"/>
                <w:sz w:val="24"/>
                <w:szCs w:val="24"/>
              </w:rPr>
              <w:t>:</w:t>
            </w:r>
          </w:p>
        </w:tc>
        <w:tc>
          <w:tcPr>
            <w:tcW w:w="3759" w:type="pct"/>
          </w:tcPr>
          <w:p w:rsidR="005B7DB1" w:rsidRDefault="005B7DB1" w:rsidP="005B7DB1">
            <w:pPr>
              <w:keepNext/>
              <w:keepLines/>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 xml:space="preserve">Comunicación UTF </w:t>
            </w:r>
            <w:proofErr w:type="spellStart"/>
            <w:r>
              <w:rPr>
                <w:rFonts w:ascii="Tms Rmn" w:hAnsi="Tms Rmn" w:cs="Tms Rmn"/>
                <w:color w:val="000000"/>
                <w:sz w:val="24"/>
                <w:szCs w:val="24"/>
              </w:rPr>
              <w:t>Nº</w:t>
            </w:r>
            <w:proofErr w:type="spellEnd"/>
            <w:r>
              <w:rPr>
                <w:rFonts w:ascii="Tms Rmn" w:hAnsi="Tms Rmn" w:cs="Tms Rmn"/>
                <w:color w:val="000000"/>
                <w:sz w:val="24"/>
                <w:szCs w:val="24"/>
              </w:rPr>
              <w:t xml:space="preserve"> 57/23 – Resultados de la auditoría externa de la administración fiduciaria de FONPLATA correspondiente al ejercicio 2022</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rPr>
            </w:pPr>
            <w:r>
              <w:rPr>
                <w:rFonts w:ascii="Tms Rmn" w:hAnsi="Tms Rmn" w:cs="Tms Rmn"/>
                <w:b/>
                <w:bCs/>
                <w:color w:val="000000"/>
                <w:sz w:val="24"/>
                <w:szCs w:val="24"/>
              </w:rPr>
              <w:t>digital</w:t>
            </w:r>
          </w:p>
        </w:tc>
      </w:tr>
      <w:tr w:rsidR="005B7DB1" w:rsidRPr="005B7DB1" w:rsidTr="005B7DB1">
        <w:tblPrEx>
          <w:shd w:val="clear" w:color="auto" w:fill="auto"/>
        </w:tblPrEx>
        <w:tc>
          <w:tcPr>
            <w:tcW w:w="736" w:type="pct"/>
            <w:gridSpan w:val="2"/>
            <w:vAlign w:val="center"/>
          </w:tcPr>
          <w:p w:rsidR="005B7DB1" w:rsidRDefault="005B7DB1">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tc>
        <w:tc>
          <w:tcPr>
            <w:tcW w:w="3759" w:type="pct"/>
          </w:tcPr>
          <w:p w:rsidR="005B7DB1" w:rsidRPr="005B7DB1" w:rsidRDefault="005B7DB1" w:rsidP="005B7DB1">
            <w:pPr>
              <w:keepNext/>
              <w:keepLines/>
              <w:autoSpaceDE w:val="0"/>
              <w:autoSpaceDN w:val="0"/>
              <w:adjustRightInd w:val="0"/>
              <w:spacing w:after="0" w:line="240" w:lineRule="auto"/>
              <w:jc w:val="both"/>
              <w:rPr>
                <w:rFonts w:ascii="Tms Rmn" w:hAnsi="Tms Rmn" w:cs="Tms Rmn"/>
                <w:i/>
                <w:iCs/>
                <w:color w:val="000000"/>
                <w:sz w:val="24"/>
                <w:szCs w:val="24"/>
                <w:lang w:val="pt-BR"/>
              </w:rPr>
            </w:pPr>
            <w:r w:rsidRPr="005B7DB1">
              <w:rPr>
                <w:rFonts w:ascii="Tms Rmn" w:hAnsi="Tms Rmn" w:cs="Tms Rmn"/>
                <w:i/>
                <w:iCs/>
                <w:color w:val="000000"/>
                <w:sz w:val="24"/>
                <w:szCs w:val="24"/>
                <w:lang w:val="pt-BR"/>
              </w:rPr>
              <w:t>Comunicação UTF Nº 57/23 – Resultados de auditoria externa realizada à administração fiduciária do FONPLATA correspondente ao exercício 2022</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lang w:val="pt-BR"/>
              </w:rPr>
            </w:pPr>
          </w:p>
        </w:tc>
      </w:tr>
      <w:tr w:rsidR="005B7DB1" w:rsidTr="005B7DB1">
        <w:tblPrEx>
          <w:shd w:val="clear" w:color="auto" w:fill="auto"/>
        </w:tblPrEx>
        <w:tc>
          <w:tcPr>
            <w:tcW w:w="736" w:type="pct"/>
            <w:gridSpan w:val="2"/>
          </w:tcPr>
          <w:p w:rsidR="005B7DB1" w:rsidRDefault="005B7DB1">
            <w:pPr>
              <w:keepNext/>
              <w:keepLines/>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lastRenderedPageBreak/>
              <w:t>Anexo VIII</w:t>
            </w:r>
            <w:r>
              <w:rPr>
                <w:rFonts w:ascii="Tms Rmn" w:hAnsi="Tms Rmn" w:cs="Tms Rmn"/>
                <w:b/>
                <w:bCs/>
                <w:color w:val="000000"/>
                <w:sz w:val="24"/>
                <w:szCs w:val="24"/>
              </w:rPr>
              <w:t>:</w:t>
            </w:r>
          </w:p>
        </w:tc>
        <w:tc>
          <w:tcPr>
            <w:tcW w:w="3759" w:type="pct"/>
          </w:tcPr>
          <w:p w:rsidR="005B7DB1" w:rsidRDefault="005B7DB1" w:rsidP="005B7DB1">
            <w:pPr>
              <w:keepNext/>
              <w:keepLines/>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 xml:space="preserve">Comunicación UTF </w:t>
            </w:r>
            <w:proofErr w:type="spellStart"/>
            <w:r>
              <w:rPr>
                <w:rFonts w:ascii="Tms Rmn" w:hAnsi="Tms Rmn" w:cs="Tms Rmn"/>
                <w:color w:val="000000"/>
                <w:sz w:val="24"/>
                <w:szCs w:val="24"/>
              </w:rPr>
              <w:t>Nº</w:t>
            </w:r>
            <w:proofErr w:type="spellEnd"/>
            <w:r>
              <w:rPr>
                <w:rFonts w:ascii="Tms Rmn" w:hAnsi="Tms Rmn" w:cs="Tms Rmn"/>
                <w:color w:val="000000"/>
                <w:sz w:val="24"/>
                <w:szCs w:val="24"/>
              </w:rPr>
              <w:t xml:space="preserve"> 61/23 – Solicitud de autorización para utilizar recursos provenientes de préstamos del Fondo de la OPEP para el Desarrollo Internacional como contrapartida local del proyecto “Mejoras en la conectividad física del Departamento de San Pedro”</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rPr>
            </w:pPr>
            <w:r>
              <w:rPr>
                <w:rFonts w:ascii="Tms Rmn" w:hAnsi="Tms Rmn" w:cs="Tms Rmn"/>
                <w:b/>
                <w:bCs/>
                <w:color w:val="000000"/>
                <w:sz w:val="24"/>
                <w:szCs w:val="24"/>
              </w:rPr>
              <w:t>digital</w:t>
            </w:r>
          </w:p>
        </w:tc>
      </w:tr>
      <w:tr w:rsidR="005B7DB1" w:rsidRPr="005B7DB1" w:rsidTr="005B7DB1">
        <w:tblPrEx>
          <w:shd w:val="clear" w:color="auto" w:fill="auto"/>
        </w:tblPrEx>
        <w:tc>
          <w:tcPr>
            <w:tcW w:w="736" w:type="pct"/>
            <w:gridSpan w:val="2"/>
            <w:vAlign w:val="center"/>
          </w:tcPr>
          <w:p w:rsidR="005B7DB1" w:rsidRDefault="005B7DB1">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tc>
        <w:tc>
          <w:tcPr>
            <w:tcW w:w="3759" w:type="pct"/>
          </w:tcPr>
          <w:p w:rsidR="005B7DB1" w:rsidRPr="005B7DB1" w:rsidRDefault="005B7DB1" w:rsidP="005B7DB1">
            <w:pPr>
              <w:keepNext/>
              <w:keepLines/>
              <w:autoSpaceDE w:val="0"/>
              <w:autoSpaceDN w:val="0"/>
              <w:adjustRightInd w:val="0"/>
              <w:spacing w:after="0" w:line="240" w:lineRule="auto"/>
              <w:jc w:val="both"/>
              <w:rPr>
                <w:rFonts w:ascii="Tms Rmn" w:hAnsi="Tms Rmn" w:cs="Tms Rmn"/>
                <w:i/>
                <w:iCs/>
                <w:color w:val="000000"/>
                <w:sz w:val="24"/>
                <w:szCs w:val="24"/>
                <w:lang w:val="pt-BR"/>
              </w:rPr>
            </w:pPr>
            <w:r w:rsidRPr="005B7DB1">
              <w:rPr>
                <w:rFonts w:ascii="Tms Rmn" w:hAnsi="Tms Rmn" w:cs="Tms Rmn"/>
                <w:i/>
                <w:iCs/>
                <w:color w:val="000000"/>
                <w:sz w:val="24"/>
                <w:szCs w:val="24"/>
                <w:lang w:val="pt-BR"/>
              </w:rPr>
              <w:t>Comunicação UTF Nº 61/23 – Pedido de autorização para a utilização de recursos provenientes de empréstimo do Fundo da OPEP para o Desenvolvimento Internacional como contrapartida local do projeto “Melhorias na conectividade física do Departamento de San Pedro”</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lang w:val="pt-BR"/>
              </w:rPr>
            </w:pPr>
          </w:p>
        </w:tc>
      </w:tr>
      <w:tr w:rsidR="005B7DB1" w:rsidTr="005B7DB1">
        <w:tblPrEx>
          <w:shd w:val="clear" w:color="auto" w:fill="auto"/>
        </w:tblPrEx>
        <w:tc>
          <w:tcPr>
            <w:tcW w:w="736" w:type="pct"/>
            <w:gridSpan w:val="2"/>
          </w:tcPr>
          <w:p w:rsidR="005B7DB1" w:rsidRDefault="005B7DB1">
            <w:pPr>
              <w:keepNext/>
              <w:keepLines/>
              <w:autoSpaceDE w:val="0"/>
              <w:autoSpaceDN w:val="0"/>
              <w:adjustRightInd w:val="0"/>
              <w:spacing w:after="0" w:line="240" w:lineRule="auto"/>
              <w:rPr>
                <w:rFonts w:ascii="Tms Rmn" w:hAnsi="Tms Rmn" w:cs="Tms Rmn"/>
                <w:b/>
                <w:bCs/>
                <w:color w:val="000000"/>
                <w:sz w:val="24"/>
                <w:szCs w:val="24"/>
              </w:rPr>
            </w:pPr>
            <w:r>
              <w:rPr>
                <w:rFonts w:ascii="Tms Rmn" w:hAnsi="Tms Rmn" w:cs="Tms Rmn"/>
                <w:b/>
                <w:bCs/>
                <w:color w:val="000000"/>
                <w:sz w:val="24"/>
                <w:szCs w:val="24"/>
              </w:rPr>
              <w:t>Anexo IX</w:t>
            </w:r>
            <w:r>
              <w:rPr>
                <w:rFonts w:ascii="Tms Rmn" w:hAnsi="Tms Rmn" w:cs="Tms Rmn"/>
                <w:b/>
                <w:bCs/>
                <w:color w:val="000000"/>
                <w:sz w:val="24"/>
                <w:szCs w:val="24"/>
              </w:rPr>
              <w:t>:</w:t>
            </w:r>
          </w:p>
        </w:tc>
        <w:tc>
          <w:tcPr>
            <w:tcW w:w="3759" w:type="pct"/>
          </w:tcPr>
          <w:p w:rsidR="005B7DB1" w:rsidRDefault="005B7DB1" w:rsidP="005B7DB1">
            <w:pPr>
              <w:keepNext/>
              <w:keepLines/>
              <w:autoSpaceDE w:val="0"/>
              <w:autoSpaceDN w:val="0"/>
              <w:adjustRightInd w:val="0"/>
              <w:spacing w:after="0" w:line="240" w:lineRule="auto"/>
              <w:jc w:val="both"/>
              <w:rPr>
                <w:rFonts w:ascii="Tms Rmn" w:hAnsi="Tms Rmn" w:cs="Tms Rmn"/>
                <w:color w:val="000000"/>
                <w:sz w:val="24"/>
                <w:szCs w:val="24"/>
              </w:rPr>
            </w:pPr>
            <w:r>
              <w:rPr>
                <w:rFonts w:ascii="Tms Rmn" w:hAnsi="Tms Rmn" w:cs="Tms Rmn"/>
                <w:color w:val="000000"/>
                <w:sz w:val="24"/>
                <w:szCs w:val="24"/>
              </w:rPr>
              <w:t>Información facilitada por el Director de SM</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rPr>
            </w:pPr>
            <w:r>
              <w:rPr>
                <w:rFonts w:ascii="Tms Rmn" w:hAnsi="Tms Rmn" w:cs="Tms Rmn"/>
                <w:b/>
                <w:bCs/>
                <w:color w:val="000000"/>
                <w:sz w:val="24"/>
                <w:szCs w:val="24"/>
              </w:rPr>
              <w:t>digital</w:t>
            </w:r>
          </w:p>
        </w:tc>
      </w:tr>
      <w:tr w:rsidR="005B7DB1" w:rsidRPr="005B7DB1" w:rsidTr="005B7DB1">
        <w:tblPrEx>
          <w:shd w:val="clear" w:color="auto" w:fill="auto"/>
        </w:tblPrEx>
        <w:tc>
          <w:tcPr>
            <w:tcW w:w="736" w:type="pct"/>
            <w:gridSpan w:val="2"/>
            <w:vAlign w:val="center"/>
          </w:tcPr>
          <w:p w:rsidR="005B7DB1" w:rsidRDefault="005B7DB1">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tc>
        <w:tc>
          <w:tcPr>
            <w:tcW w:w="3759" w:type="pct"/>
          </w:tcPr>
          <w:p w:rsidR="005B7DB1" w:rsidRPr="005B7DB1" w:rsidRDefault="005B7DB1" w:rsidP="005B7DB1">
            <w:pPr>
              <w:keepNext/>
              <w:keepLines/>
              <w:autoSpaceDE w:val="0"/>
              <w:autoSpaceDN w:val="0"/>
              <w:adjustRightInd w:val="0"/>
              <w:spacing w:after="0" w:line="240" w:lineRule="auto"/>
              <w:jc w:val="both"/>
              <w:rPr>
                <w:rFonts w:ascii="Tms Rmn" w:hAnsi="Tms Rmn" w:cs="Tms Rmn"/>
                <w:i/>
                <w:iCs/>
                <w:color w:val="000000"/>
                <w:sz w:val="24"/>
                <w:szCs w:val="24"/>
                <w:lang w:val="pt-BR"/>
              </w:rPr>
            </w:pPr>
            <w:r w:rsidRPr="005B7DB1">
              <w:rPr>
                <w:rFonts w:ascii="Tms Rmn" w:hAnsi="Tms Rmn" w:cs="Tms Rmn"/>
                <w:i/>
                <w:iCs/>
                <w:color w:val="000000"/>
                <w:sz w:val="24"/>
                <w:szCs w:val="24"/>
                <w:lang w:val="pt-BR"/>
              </w:rPr>
              <w:t>Informações fornecidas pelo Diretor da SM</w:t>
            </w:r>
          </w:p>
        </w:tc>
        <w:tc>
          <w:tcPr>
            <w:tcW w:w="505" w:type="pct"/>
            <w:gridSpan w:val="3"/>
            <w:shd w:val="clear" w:color="auto" w:fill="auto"/>
            <w:vAlign w:val="center"/>
          </w:tcPr>
          <w:p w:rsidR="005B7DB1" w:rsidRPr="005B7DB1" w:rsidRDefault="005B7DB1" w:rsidP="005B7DB1">
            <w:pPr>
              <w:keepNext/>
              <w:keepLines/>
              <w:autoSpaceDE w:val="0"/>
              <w:autoSpaceDN w:val="0"/>
              <w:adjustRightInd w:val="0"/>
              <w:spacing w:after="0" w:line="240" w:lineRule="auto"/>
              <w:jc w:val="center"/>
              <w:rPr>
                <w:rFonts w:ascii="Tms Rmn" w:hAnsi="Tms Rmn" w:cs="Tms Rmn"/>
                <w:b/>
                <w:bCs/>
                <w:color w:val="000000"/>
                <w:sz w:val="24"/>
                <w:szCs w:val="24"/>
                <w:lang w:val="pt-BR"/>
              </w:rPr>
            </w:pPr>
          </w:p>
        </w:tc>
      </w:tr>
    </w:tbl>
    <w:p w:rsidR="005B7DB1" w:rsidRPr="005B7DB1" w:rsidRDefault="005B7DB1" w:rsidP="005B7DB1">
      <w:pPr>
        <w:autoSpaceDE w:val="0"/>
        <w:autoSpaceDN w:val="0"/>
        <w:adjustRightInd w:val="0"/>
        <w:spacing w:after="0" w:line="240" w:lineRule="auto"/>
        <w:rPr>
          <w:rFonts w:ascii="Tms Rmn" w:hAnsi="Tms Rmn" w:cs="Tms Rmn"/>
          <w:color w:val="000000"/>
          <w:sz w:val="24"/>
          <w:szCs w:val="24"/>
          <w:lang w:val="pt-BR"/>
        </w:rPr>
      </w:pPr>
    </w:p>
    <w:p w:rsidR="005B7DB1" w:rsidRPr="005B7DB1" w:rsidRDefault="005B7DB1" w:rsidP="005B7DB1">
      <w:pPr>
        <w:autoSpaceDE w:val="0"/>
        <w:autoSpaceDN w:val="0"/>
        <w:adjustRightInd w:val="0"/>
        <w:spacing w:after="0" w:line="240" w:lineRule="auto"/>
        <w:rPr>
          <w:rFonts w:ascii="Tms Rmn" w:hAnsi="Tms Rmn" w:cs="Tms Rmn"/>
          <w:color w:val="000000"/>
          <w:sz w:val="24"/>
          <w:szCs w:val="24"/>
          <w:lang w:val="pt-BR"/>
        </w:rPr>
      </w:pPr>
      <w:r w:rsidRPr="005B7DB1">
        <w:rPr>
          <w:rFonts w:ascii="Tms Rmn" w:hAnsi="Tms Rmn" w:cs="Tms Rmn"/>
          <w:color w:val="000000"/>
          <w:sz w:val="24"/>
          <w:szCs w:val="24"/>
          <w:lang w:val="pt-BR"/>
        </w:rPr>
        <w:br/>
      </w:r>
    </w:p>
    <w:p w:rsidR="005B7DB1" w:rsidRPr="005B7DB1" w:rsidRDefault="005B7DB1">
      <w:pPr>
        <w:rPr>
          <w:lang w:val="pt-BR"/>
        </w:rPr>
      </w:pPr>
    </w:p>
    <w:sectPr w:rsidR="005B7DB1" w:rsidRPr="005B7DB1" w:rsidSect="00E12BC1">
      <w:footerReference w:type="default" r:id="rId6"/>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DB1" w:rsidRDefault="005B7DB1" w:rsidP="005B7DB1">
      <w:pPr>
        <w:spacing w:after="0" w:line="240" w:lineRule="auto"/>
      </w:pPr>
      <w:r>
        <w:separator/>
      </w:r>
    </w:p>
  </w:endnote>
  <w:endnote w:type="continuationSeparator" w:id="0">
    <w:p w:rsidR="005B7DB1" w:rsidRDefault="005B7DB1" w:rsidP="005B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DB1" w:rsidRPr="005B7DB1" w:rsidRDefault="005B7DB1" w:rsidP="005B7DB1">
    <w:pPr>
      <w:pStyle w:val="Piedepgina"/>
      <w:jc w:val="right"/>
      <w:rPr>
        <w:rFonts w:ascii="Times New Roman" w:hAnsi="Times New Roman" w:cs="Times New Roman"/>
        <w:sz w:val="24"/>
        <w:szCs w:val="24"/>
      </w:rPr>
    </w:pPr>
    <w:r>
      <w:rPr>
        <w:rFonts w:ascii="Times New Roman" w:hAnsi="Times New Roman" w:cs="Times New Roman"/>
        <w:sz w:val="24"/>
        <w:szCs w:val="24"/>
      </w:rPr>
      <w:t>MM – 08/08/2023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DB1" w:rsidRDefault="005B7DB1" w:rsidP="005B7DB1">
      <w:pPr>
        <w:spacing w:after="0" w:line="240" w:lineRule="auto"/>
      </w:pPr>
      <w:r>
        <w:separator/>
      </w:r>
    </w:p>
  </w:footnote>
  <w:footnote w:type="continuationSeparator" w:id="0">
    <w:p w:rsidR="005B7DB1" w:rsidRDefault="005B7DB1" w:rsidP="005B7D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B1"/>
    <w:rsid w:val="005B7DB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292E"/>
  <w15:chartTrackingRefBased/>
  <w15:docId w15:val="{BE1C683A-3B7C-45C3-BFC9-E88428D3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7D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7DB1"/>
  </w:style>
  <w:style w:type="paragraph" w:styleId="Piedepgina">
    <w:name w:val="footer"/>
    <w:basedOn w:val="Normal"/>
    <w:link w:val="PiedepginaCar"/>
    <w:uiPriority w:val="99"/>
    <w:unhideWhenUsed/>
    <w:rsid w:val="005B7D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2200</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Melgarejo</dc:creator>
  <cp:keywords/>
  <dc:description/>
  <cp:lastModifiedBy>Mario Melgarejo</cp:lastModifiedBy>
  <cp:revision>1</cp:revision>
  <dcterms:created xsi:type="dcterms:W3CDTF">2023-08-08T16:59:00Z</dcterms:created>
  <dcterms:modified xsi:type="dcterms:W3CDTF">2023-08-08T17:03:00Z</dcterms:modified>
</cp:coreProperties>
</file>