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4E0D" w:rsidR="00EA60D0" w:rsidRDefault="00EA60D0" w14:paraId="49F1CC7C" w14:textId="77777777">
      <w:pPr>
        <w:spacing w:after="0" w:line="240" w:lineRule="auto"/>
        <w:rPr>
          <w:rFonts w:ascii="Arial" w:hAnsi="Arial" w:eastAsia="Arial" w:cs="Arial"/>
          <w:sz w:val="24"/>
          <w:szCs w:val="24"/>
          <w:lang w:val="es-PY"/>
        </w:rPr>
      </w:pPr>
    </w:p>
    <w:p w:rsidRPr="00ED4E0D" w:rsidR="00EA60D0" w:rsidRDefault="00EA60D0" w14:paraId="5C3E9526" w14:textId="77777777">
      <w:pPr>
        <w:spacing w:after="0" w:line="240" w:lineRule="auto"/>
        <w:rPr>
          <w:rFonts w:ascii="Arial" w:hAnsi="Arial" w:eastAsia="Arial" w:cs="Arial"/>
          <w:b/>
          <w:sz w:val="24"/>
          <w:szCs w:val="24"/>
          <w:lang w:val="es-PY"/>
        </w:rPr>
      </w:pPr>
    </w:p>
    <w:p w:rsidRPr="00734EB8" w:rsidR="00EA60D0" w:rsidP="05FCA12D" w:rsidRDefault="05FCA12D" w14:paraId="67ECC66B" w14:textId="2EB20064">
      <w:pPr>
        <w:spacing w:after="0" w:line="240" w:lineRule="auto"/>
        <w:rPr>
          <w:rFonts w:ascii="Arial" w:hAnsi="Arial" w:eastAsia="Arial" w:cs="Arial"/>
          <w:b/>
          <w:bCs/>
          <w:sz w:val="24"/>
          <w:szCs w:val="24"/>
          <w:lang w:val="pt-PT"/>
        </w:rPr>
      </w:pPr>
      <w:r w:rsidRPr="05FCA12D">
        <w:rPr>
          <w:rFonts w:ascii="Arial" w:hAnsi="Arial" w:eastAsia="Arial" w:cs="Arial"/>
          <w:b/>
          <w:bCs/>
          <w:sz w:val="24"/>
          <w:szCs w:val="24"/>
          <w:lang w:val="pt-PT"/>
        </w:rPr>
        <w:t>MERCOSUR/CT N° 8/ACTA N° 03/24</w:t>
      </w:r>
    </w:p>
    <w:p w:rsidRPr="00734EB8" w:rsidR="00EA60D0" w:rsidRDefault="00EA60D0" w14:paraId="0184DB21" w14:textId="77777777">
      <w:pPr>
        <w:widowControl/>
        <w:spacing w:after="0" w:line="240" w:lineRule="auto"/>
        <w:jc w:val="center"/>
        <w:rPr>
          <w:rFonts w:ascii="Arial" w:hAnsi="Arial" w:eastAsia="Arial" w:cs="Arial"/>
          <w:b/>
          <w:sz w:val="24"/>
          <w:szCs w:val="24"/>
          <w:lang w:val="pt-PT"/>
        </w:rPr>
      </w:pPr>
    </w:p>
    <w:p w:rsidRPr="00ED4E0D" w:rsidR="00EA60D0" w:rsidRDefault="00047399" w14:paraId="60D735D0" w14:textId="08E8DAE5">
      <w:pPr>
        <w:widowControl/>
        <w:spacing w:after="160" w:line="259" w:lineRule="auto"/>
        <w:jc w:val="center"/>
        <w:rPr>
          <w:rFonts w:ascii="Arial" w:hAnsi="Arial" w:eastAsia="Arial" w:cs="Arial"/>
          <w:b/>
          <w:sz w:val="24"/>
          <w:szCs w:val="24"/>
          <w:lang w:val="es-PY"/>
        </w:rPr>
      </w:pPr>
      <w:bookmarkStart w:name="_heading=h.gjdgxs" w:colFirst="0" w:colLast="0" w:id="0"/>
      <w:bookmarkEnd w:id="0"/>
      <w:r w:rsidRPr="00ED4E0D">
        <w:rPr>
          <w:rFonts w:ascii="Arial" w:hAnsi="Arial" w:eastAsia="Arial" w:cs="Arial"/>
          <w:b/>
          <w:sz w:val="24"/>
          <w:szCs w:val="24"/>
          <w:lang w:val="es-PY"/>
        </w:rPr>
        <w:t>I</w:t>
      </w:r>
      <w:r w:rsidRPr="00ED4E0D" w:rsidR="00EA6A50">
        <w:rPr>
          <w:rFonts w:ascii="Arial" w:hAnsi="Arial" w:eastAsia="Arial" w:cs="Arial"/>
          <w:b/>
          <w:sz w:val="24"/>
          <w:szCs w:val="24"/>
          <w:lang w:val="es-PY"/>
        </w:rPr>
        <w:t xml:space="preserve"> REUNIÓN </w:t>
      </w:r>
      <w:r w:rsidRPr="00ED4E0D">
        <w:rPr>
          <w:rFonts w:ascii="Arial" w:hAnsi="Arial" w:eastAsia="Arial" w:cs="Arial"/>
          <w:b/>
          <w:sz w:val="24"/>
          <w:szCs w:val="24"/>
          <w:lang w:val="es-PY"/>
        </w:rPr>
        <w:t xml:space="preserve">EXTRAORDINARIA </w:t>
      </w:r>
      <w:r w:rsidRPr="00ED4E0D" w:rsidR="00EA6A50">
        <w:rPr>
          <w:rFonts w:ascii="Arial" w:hAnsi="Arial" w:eastAsia="Arial" w:cs="Arial"/>
          <w:b/>
          <w:sz w:val="24"/>
          <w:szCs w:val="24"/>
          <w:lang w:val="es-PY"/>
        </w:rPr>
        <w:t>DEL COMITÉ TÉCNICO N° 8 “TRANSPOSICIÓN DE NOMENCLATURA DE ACUERDOS COMERCIALES CON TERCEROS PAÍSES Y GRUPO DE PAÍSES”</w:t>
      </w:r>
    </w:p>
    <w:p w:rsidRPr="00ED4E0D" w:rsidR="00EA60D0" w:rsidRDefault="00EA60D0" w14:paraId="3B384894" w14:textId="77777777">
      <w:pPr>
        <w:widowControl/>
        <w:spacing w:after="0" w:line="240" w:lineRule="auto"/>
        <w:jc w:val="center"/>
        <w:rPr>
          <w:rFonts w:ascii="Arial" w:hAnsi="Arial" w:eastAsia="Arial" w:cs="Arial"/>
          <w:b/>
          <w:sz w:val="24"/>
          <w:szCs w:val="24"/>
          <w:lang w:val="es-PY"/>
        </w:rPr>
      </w:pPr>
    </w:p>
    <w:p w:rsidRPr="00ED4E0D" w:rsidR="00EA60D0" w:rsidRDefault="37D857A4" w14:paraId="794516CD" w14:textId="598D3EB2">
      <w:pPr>
        <w:widowControl/>
        <w:spacing w:after="0" w:line="240" w:lineRule="auto"/>
        <w:jc w:val="both"/>
        <w:rPr>
          <w:rFonts w:ascii="Arial" w:hAnsi="Arial" w:eastAsia="Arial" w:cs="Arial"/>
          <w:sz w:val="24"/>
          <w:szCs w:val="24"/>
          <w:lang w:val="es-PY"/>
        </w:rPr>
      </w:pPr>
      <w:bookmarkStart w:name="_heading=h.30j0zll" w:id="1"/>
      <w:bookmarkEnd w:id="1"/>
      <w:r w:rsidRPr="00ED4E0D">
        <w:rPr>
          <w:rFonts w:ascii="Arial" w:hAnsi="Arial" w:eastAsia="Arial" w:cs="Arial"/>
          <w:sz w:val="24"/>
          <w:szCs w:val="24"/>
          <w:lang w:val="es-PY"/>
        </w:rPr>
        <w:t xml:space="preserve">Se realizó el día </w:t>
      </w:r>
      <w:r w:rsidRPr="00ED4E0D" w:rsidR="004223DB">
        <w:rPr>
          <w:rFonts w:ascii="Arial" w:hAnsi="Arial" w:eastAsia="Arial" w:cs="Arial"/>
          <w:sz w:val="24"/>
          <w:szCs w:val="24"/>
          <w:lang w:val="es-PY"/>
        </w:rPr>
        <w:t>06</w:t>
      </w:r>
      <w:r w:rsidRPr="00ED4E0D">
        <w:rPr>
          <w:rFonts w:ascii="Arial" w:hAnsi="Arial" w:eastAsia="Arial" w:cs="Arial"/>
          <w:sz w:val="24"/>
          <w:szCs w:val="24"/>
          <w:lang w:val="es-PY"/>
        </w:rPr>
        <w:t xml:space="preserve"> de </w:t>
      </w:r>
      <w:r w:rsidRPr="00ED4E0D" w:rsidR="004223DB">
        <w:rPr>
          <w:rFonts w:ascii="Arial" w:hAnsi="Arial" w:eastAsia="Arial" w:cs="Arial"/>
          <w:sz w:val="24"/>
          <w:szCs w:val="24"/>
          <w:lang w:val="es-PY"/>
        </w:rPr>
        <w:t>mayo</w:t>
      </w:r>
      <w:r w:rsidRPr="00ED4E0D">
        <w:rPr>
          <w:rFonts w:ascii="Arial" w:hAnsi="Arial" w:eastAsia="Arial" w:cs="Arial"/>
          <w:sz w:val="24"/>
          <w:szCs w:val="24"/>
          <w:lang w:val="es-PY"/>
        </w:rPr>
        <w:t xml:space="preserve"> de 2024, en ejercicio de la </w:t>
      </w:r>
      <w:r w:rsidRPr="00ED4E0D">
        <w:rPr>
          <w:rFonts w:ascii="Arial" w:hAnsi="Arial" w:eastAsia="Arial" w:cs="Arial"/>
          <w:i/>
          <w:iCs/>
          <w:sz w:val="24"/>
          <w:szCs w:val="24"/>
          <w:lang w:val="es-PY"/>
        </w:rPr>
        <w:t>Presidencia Pro Tempore</w:t>
      </w:r>
      <w:r w:rsidRPr="00ED4E0D">
        <w:rPr>
          <w:rFonts w:ascii="Arial" w:hAnsi="Arial" w:eastAsia="Arial" w:cs="Arial"/>
          <w:sz w:val="24"/>
          <w:szCs w:val="24"/>
          <w:lang w:val="es-PY"/>
        </w:rPr>
        <w:t xml:space="preserve"> de Paraguay (PPTP), la </w:t>
      </w:r>
      <w:r w:rsidRPr="00ED4E0D" w:rsidR="004223DB">
        <w:rPr>
          <w:rFonts w:ascii="Arial" w:hAnsi="Arial" w:eastAsia="Arial" w:cs="Arial"/>
          <w:sz w:val="24"/>
          <w:szCs w:val="24"/>
          <w:lang w:val="es-PY"/>
        </w:rPr>
        <w:t>I</w:t>
      </w:r>
      <w:r w:rsidRPr="00ED4E0D">
        <w:rPr>
          <w:rFonts w:ascii="Arial" w:hAnsi="Arial" w:eastAsia="Arial" w:cs="Arial"/>
          <w:sz w:val="24"/>
          <w:szCs w:val="24"/>
          <w:lang w:val="es-PY"/>
        </w:rPr>
        <w:t xml:space="preserve"> Reunión </w:t>
      </w:r>
      <w:r w:rsidRPr="00ED4E0D" w:rsidR="004223DB">
        <w:rPr>
          <w:rFonts w:ascii="Arial" w:hAnsi="Arial" w:eastAsia="Arial" w:cs="Arial"/>
          <w:sz w:val="24"/>
          <w:szCs w:val="24"/>
          <w:lang w:val="es-PY"/>
        </w:rPr>
        <w:t>Extrao</w:t>
      </w:r>
      <w:r w:rsidRPr="00ED4E0D">
        <w:rPr>
          <w:rFonts w:ascii="Arial" w:hAnsi="Arial" w:eastAsia="Arial" w:cs="Arial"/>
          <w:sz w:val="24"/>
          <w:szCs w:val="24"/>
          <w:lang w:val="es-PY"/>
        </w:rPr>
        <w:t xml:space="preserve">rdinaria del </w:t>
      </w:r>
      <w:r w:rsidRPr="00ED4E0D">
        <w:rPr>
          <w:rFonts w:ascii="Arial" w:hAnsi="Arial" w:eastAsia="Arial" w:cs="Arial"/>
          <w:color w:val="000000" w:themeColor="text1"/>
          <w:sz w:val="24"/>
          <w:szCs w:val="24"/>
          <w:lang w:val="es-PY"/>
        </w:rPr>
        <w:t>Comité Técnico N.º 8 “Transposición de Nomenclatura de Acuerdos Comerciales con Terceros Países”</w:t>
      </w:r>
      <w:r w:rsidRPr="00ED4E0D">
        <w:rPr>
          <w:rFonts w:ascii="Arial" w:hAnsi="Arial" w:eastAsia="Arial" w:cs="Arial"/>
          <w:sz w:val="24"/>
          <w:szCs w:val="24"/>
          <w:lang w:val="es-PY"/>
        </w:rPr>
        <w:t>, por sistema de videoconferencia de conformidad con lo dispuesto en la Resolución GMC N° 19/12, con la presencia de las delegaciones de Argentina, Brasil, Paraguay y Uruguay, y de funcionarios de la Secretaría del MERCOSUR (SM).</w:t>
      </w:r>
    </w:p>
    <w:p w:rsidRPr="00ED4E0D" w:rsidR="00EA60D0" w:rsidRDefault="00EA60D0" w14:paraId="6A88A9C9" w14:textId="77777777">
      <w:pPr>
        <w:widowControl/>
        <w:spacing w:after="0" w:line="240" w:lineRule="auto"/>
        <w:jc w:val="both"/>
        <w:rPr>
          <w:rFonts w:ascii="Arial" w:hAnsi="Arial" w:eastAsia="Arial" w:cs="Arial"/>
          <w:sz w:val="24"/>
          <w:szCs w:val="24"/>
          <w:lang w:val="es-PY"/>
        </w:rPr>
      </w:pPr>
    </w:p>
    <w:p w:rsidRPr="00ED4E0D" w:rsidR="00EA60D0" w:rsidP="001C3B63" w:rsidRDefault="00EA6A50" w14:paraId="7ED06E61" w14:textId="79CDBE1E">
      <w:pPr>
        <w:widowControl/>
        <w:spacing w:after="0" w:line="240" w:lineRule="auto"/>
        <w:jc w:val="both"/>
        <w:rPr>
          <w:rFonts w:ascii="Arial" w:hAnsi="Arial" w:eastAsia="Arial" w:cs="Arial"/>
          <w:sz w:val="24"/>
          <w:szCs w:val="24"/>
          <w:lang w:val="es-PY"/>
        </w:rPr>
      </w:pPr>
      <w:r w:rsidRPr="00ED4E0D">
        <w:rPr>
          <w:rFonts w:ascii="Arial" w:hAnsi="Arial" w:eastAsia="Arial" w:cs="Arial"/>
          <w:sz w:val="24"/>
          <w:szCs w:val="24"/>
          <w:lang w:val="es-PY"/>
        </w:rPr>
        <w:t xml:space="preserve">El Coordinador del CT N° 8, Luis Ojeda, en su carácter de Presidencia </w:t>
      </w:r>
      <w:r w:rsidRPr="00ED4E0D">
        <w:rPr>
          <w:rFonts w:ascii="Arial" w:hAnsi="Arial" w:eastAsia="Arial" w:cs="Arial"/>
          <w:i/>
          <w:sz w:val="24"/>
          <w:szCs w:val="24"/>
          <w:lang w:val="es-PY"/>
        </w:rPr>
        <w:t>Pro Tempore</w:t>
      </w:r>
      <w:r w:rsidRPr="00ED4E0D">
        <w:rPr>
          <w:rFonts w:ascii="Arial" w:hAnsi="Arial" w:eastAsia="Arial" w:cs="Arial"/>
          <w:sz w:val="24"/>
          <w:szCs w:val="24"/>
          <w:lang w:val="es-PY"/>
        </w:rPr>
        <w:t xml:space="preserve"> dio apertura a la reunión y agradeció la participación de las delegaciones. Seguidamente, expuso la agenda prevista, la que fue aprobada.</w:t>
      </w:r>
    </w:p>
    <w:p w:rsidRPr="00ED4E0D" w:rsidR="00EA60D0" w:rsidRDefault="00EA60D0" w14:paraId="1D277BFF" w14:textId="77777777">
      <w:pPr>
        <w:widowControl/>
        <w:spacing w:after="0" w:line="240" w:lineRule="auto"/>
        <w:jc w:val="both"/>
        <w:rPr>
          <w:rFonts w:ascii="Arial" w:hAnsi="Arial" w:eastAsia="Arial" w:cs="Arial"/>
          <w:sz w:val="24"/>
          <w:szCs w:val="24"/>
          <w:lang w:val="es-PY"/>
        </w:rPr>
      </w:pPr>
    </w:p>
    <w:p w:rsidRPr="00ED4E0D" w:rsidR="00EA60D0" w:rsidRDefault="00EA6A50" w14:paraId="0ECCA9C0" w14:textId="77777777">
      <w:pPr>
        <w:widowControl/>
        <w:spacing w:after="0" w:line="240" w:lineRule="auto"/>
        <w:jc w:val="both"/>
        <w:rPr>
          <w:rFonts w:ascii="Arial" w:hAnsi="Arial" w:eastAsia="Arial" w:cs="Arial"/>
          <w:sz w:val="24"/>
          <w:szCs w:val="24"/>
          <w:lang w:val="es-PY"/>
        </w:rPr>
      </w:pPr>
      <w:r w:rsidRPr="00ED4E0D">
        <w:rPr>
          <w:rFonts w:ascii="Arial" w:hAnsi="Arial" w:eastAsia="Arial" w:cs="Arial"/>
          <w:sz w:val="24"/>
          <w:szCs w:val="24"/>
          <w:lang w:val="es-PY"/>
        </w:rPr>
        <w:t xml:space="preserve">La Lista de Participantes consta como </w:t>
      </w:r>
      <w:r w:rsidRPr="00ED4E0D">
        <w:rPr>
          <w:rFonts w:ascii="Arial" w:hAnsi="Arial" w:eastAsia="Arial" w:cs="Arial"/>
          <w:b/>
          <w:sz w:val="24"/>
          <w:szCs w:val="24"/>
          <w:lang w:val="es-PY"/>
        </w:rPr>
        <w:t>Anexo I</w:t>
      </w:r>
      <w:r w:rsidRPr="00ED4E0D">
        <w:rPr>
          <w:rFonts w:ascii="Arial" w:hAnsi="Arial" w:eastAsia="Arial" w:cs="Arial"/>
          <w:sz w:val="24"/>
          <w:szCs w:val="24"/>
          <w:lang w:val="es-PY"/>
        </w:rPr>
        <w:t>.</w:t>
      </w:r>
    </w:p>
    <w:p w:rsidRPr="00ED4E0D" w:rsidR="00EA60D0" w:rsidRDefault="00EA60D0" w14:paraId="5C98E27F" w14:textId="77777777">
      <w:pPr>
        <w:widowControl/>
        <w:spacing w:after="0" w:line="240" w:lineRule="auto"/>
        <w:jc w:val="both"/>
        <w:rPr>
          <w:rFonts w:ascii="Arial" w:hAnsi="Arial" w:eastAsia="Arial" w:cs="Arial"/>
          <w:sz w:val="24"/>
          <w:szCs w:val="24"/>
          <w:lang w:val="es-PY"/>
        </w:rPr>
      </w:pPr>
    </w:p>
    <w:p w:rsidRPr="00ED4E0D" w:rsidR="00EA60D0" w:rsidRDefault="00EA6A50" w14:paraId="7036015E" w14:textId="77777777">
      <w:pPr>
        <w:widowControl/>
        <w:spacing w:after="0" w:line="240" w:lineRule="auto"/>
        <w:jc w:val="both"/>
        <w:rPr>
          <w:rFonts w:ascii="Arial" w:hAnsi="Arial" w:eastAsia="Arial" w:cs="Arial"/>
          <w:sz w:val="24"/>
          <w:szCs w:val="24"/>
          <w:lang w:val="es-PY"/>
        </w:rPr>
      </w:pPr>
      <w:r w:rsidRPr="00ED4E0D">
        <w:rPr>
          <w:rFonts w:ascii="Arial" w:hAnsi="Arial" w:eastAsia="Arial" w:cs="Arial"/>
          <w:sz w:val="24"/>
          <w:szCs w:val="24"/>
          <w:lang w:val="es-PY"/>
        </w:rPr>
        <w:t xml:space="preserve">La Agenda consta como </w:t>
      </w:r>
      <w:r w:rsidRPr="00ED4E0D">
        <w:rPr>
          <w:rFonts w:ascii="Arial" w:hAnsi="Arial" w:eastAsia="Arial" w:cs="Arial"/>
          <w:b/>
          <w:sz w:val="24"/>
          <w:szCs w:val="24"/>
          <w:lang w:val="es-PY"/>
        </w:rPr>
        <w:t>Anexo II</w:t>
      </w:r>
      <w:r w:rsidRPr="00ED4E0D">
        <w:rPr>
          <w:rFonts w:ascii="Arial" w:hAnsi="Arial" w:eastAsia="Arial" w:cs="Arial"/>
          <w:sz w:val="24"/>
          <w:szCs w:val="24"/>
          <w:lang w:val="es-PY"/>
        </w:rPr>
        <w:t>.</w:t>
      </w:r>
    </w:p>
    <w:p w:rsidRPr="00ED4E0D" w:rsidR="00EA60D0" w:rsidRDefault="00EA60D0" w14:paraId="62DF6E2E" w14:textId="77777777">
      <w:pPr>
        <w:widowControl/>
        <w:spacing w:after="0" w:line="240" w:lineRule="auto"/>
        <w:jc w:val="both"/>
        <w:rPr>
          <w:rFonts w:ascii="Arial" w:hAnsi="Arial" w:eastAsia="Arial" w:cs="Arial"/>
          <w:sz w:val="24"/>
          <w:szCs w:val="24"/>
          <w:lang w:val="es-PY"/>
        </w:rPr>
      </w:pPr>
    </w:p>
    <w:p w:rsidRPr="00ED4E0D" w:rsidR="00EA60D0" w:rsidRDefault="00EA6A50" w14:paraId="3092BE71" w14:textId="77777777">
      <w:pPr>
        <w:widowControl/>
        <w:spacing w:after="0" w:line="240" w:lineRule="auto"/>
        <w:jc w:val="both"/>
        <w:rPr>
          <w:rFonts w:ascii="Arial" w:hAnsi="Arial" w:eastAsia="Arial" w:cs="Arial"/>
          <w:sz w:val="24"/>
          <w:szCs w:val="24"/>
          <w:lang w:val="es-PY"/>
        </w:rPr>
      </w:pPr>
      <w:r w:rsidRPr="00ED4E0D">
        <w:rPr>
          <w:rFonts w:ascii="Arial" w:hAnsi="Arial" w:eastAsia="Arial" w:cs="Arial"/>
          <w:sz w:val="24"/>
          <w:szCs w:val="24"/>
          <w:lang w:val="es-PY"/>
        </w:rPr>
        <w:t xml:space="preserve">El Resumen del Acta consta como </w:t>
      </w:r>
      <w:r w:rsidRPr="00ED4E0D">
        <w:rPr>
          <w:rFonts w:ascii="Arial" w:hAnsi="Arial" w:eastAsia="Arial" w:cs="Arial"/>
          <w:b/>
          <w:sz w:val="24"/>
          <w:szCs w:val="24"/>
          <w:lang w:val="es-PY"/>
        </w:rPr>
        <w:t>Anexo III</w:t>
      </w:r>
      <w:r w:rsidRPr="00ED4E0D">
        <w:rPr>
          <w:rFonts w:ascii="Arial" w:hAnsi="Arial" w:eastAsia="Arial" w:cs="Arial"/>
          <w:sz w:val="24"/>
          <w:szCs w:val="24"/>
          <w:lang w:val="es-PY"/>
        </w:rPr>
        <w:t>.</w:t>
      </w:r>
    </w:p>
    <w:p w:rsidRPr="00ED4E0D" w:rsidR="00EA60D0" w:rsidRDefault="00EA60D0" w14:paraId="08A0C5D4" w14:textId="77777777">
      <w:pPr>
        <w:widowControl/>
        <w:spacing w:after="0" w:line="240" w:lineRule="auto"/>
        <w:jc w:val="both"/>
        <w:rPr>
          <w:rFonts w:ascii="Arial" w:hAnsi="Arial" w:eastAsia="Arial" w:cs="Arial"/>
          <w:sz w:val="24"/>
          <w:szCs w:val="24"/>
          <w:lang w:val="es-PY"/>
        </w:rPr>
      </w:pPr>
    </w:p>
    <w:p w:rsidRPr="00ED4E0D" w:rsidR="00EA60D0" w:rsidRDefault="00EA60D0" w14:paraId="1AD20227" w14:textId="77777777">
      <w:pPr>
        <w:widowControl/>
        <w:spacing w:after="0" w:line="240" w:lineRule="auto"/>
        <w:jc w:val="both"/>
        <w:rPr>
          <w:rFonts w:ascii="Arial" w:hAnsi="Arial" w:eastAsia="Arial" w:cs="Arial"/>
          <w:sz w:val="24"/>
          <w:szCs w:val="24"/>
          <w:lang w:val="es-PY"/>
        </w:rPr>
      </w:pPr>
    </w:p>
    <w:p w:rsidRPr="00ED4E0D" w:rsidR="00EA60D0" w:rsidRDefault="00EA6A50" w14:paraId="05A94520" w14:textId="77777777">
      <w:pPr>
        <w:widowControl/>
        <w:spacing w:after="0" w:line="240" w:lineRule="auto"/>
        <w:jc w:val="both"/>
        <w:rPr>
          <w:rFonts w:ascii="Arial" w:hAnsi="Arial" w:eastAsia="Arial" w:cs="Arial"/>
          <w:sz w:val="24"/>
          <w:szCs w:val="24"/>
          <w:lang w:val="es-PY"/>
        </w:rPr>
      </w:pPr>
      <w:r w:rsidRPr="00ED4E0D">
        <w:rPr>
          <w:rFonts w:ascii="Arial" w:hAnsi="Arial" w:eastAsia="Arial" w:cs="Arial"/>
          <w:sz w:val="24"/>
          <w:szCs w:val="24"/>
          <w:lang w:val="es-PY"/>
        </w:rPr>
        <w:t>Durante la reunión fueron tratados los siguientes temas:</w:t>
      </w:r>
    </w:p>
    <w:p w:rsidRPr="00ED4E0D" w:rsidR="00EA60D0" w:rsidRDefault="00EA60D0" w14:paraId="6B552730" w14:textId="77777777">
      <w:pPr>
        <w:widowControl/>
        <w:spacing w:after="0"/>
        <w:jc w:val="both"/>
        <w:rPr>
          <w:rFonts w:ascii="Times New Roman" w:hAnsi="Times New Roman" w:eastAsia="Times New Roman" w:cs="Times New Roman"/>
          <w:b/>
          <w:sz w:val="24"/>
          <w:szCs w:val="24"/>
          <w:lang w:val="es-PY"/>
        </w:rPr>
      </w:pPr>
    </w:p>
    <w:p w:rsidRPr="00ED4E0D" w:rsidR="00EA60D0" w:rsidRDefault="003F1048" w14:paraId="3CCD4E67" w14:textId="6B49D6E4">
      <w:pPr>
        <w:widowControl/>
        <w:numPr>
          <w:ilvl w:val="0"/>
          <w:numId w:val="3"/>
        </w:numPr>
        <w:spacing w:after="0" w:line="259" w:lineRule="auto"/>
        <w:ind w:left="567" w:hanging="567"/>
        <w:rPr>
          <w:rFonts w:ascii="Arial" w:hAnsi="Arial" w:eastAsia="Arial" w:cs="Arial"/>
          <w:b/>
          <w:sz w:val="24"/>
          <w:szCs w:val="24"/>
          <w:lang w:val="es-PY"/>
        </w:rPr>
      </w:pPr>
      <w:bookmarkStart w:name="_heading=h.1fob9te" w:colFirst="0" w:colLast="0" w:id="2"/>
      <w:bookmarkEnd w:id="2"/>
      <w:r w:rsidRPr="00ED4E0D">
        <w:rPr>
          <w:rFonts w:ascii="Arial" w:hAnsi="Arial" w:eastAsia="Arial" w:cs="Arial"/>
          <w:b/>
          <w:sz w:val="24"/>
          <w:szCs w:val="24"/>
          <w:lang w:val="es-PY"/>
        </w:rPr>
        <w:t>ACUERDO MCS – COLOMBIA (ACE 72)</w:t>
      </w:r>
    </w:p>
    <w:p w:rsidRPr="00ED4E0D" w:rsidR="004223DB" w:rsidP="004223DB" w:rsidRDefault="004223DB" w14:paraId="4415E6C3" w14:textId="77777777">
      <w:pPr>
        <w:widowControl/>
        <w:spacing w:after="0" w:line="259" w:lineRule="auto"/>
        <w:ind w:left="567"/>
        <w:rPr>
          <w:rFonts w:ascii="Arial" w:hAnsi="Arial" w:eastAsia="Arial" w:cs="Arial"/>
          <w:b/>
          <w:sz w:val="24"/>
          <w:szCs w:val="24"/>
          <w:lang w:val="es-PY"/>
        </w:rPr>
      </w:pPr>
    </w:p>
    <w:p w:rsidR="004223DB" w:rsidP="00971420" w:rsidRDefault="0027073C" w14:paraId="324D1D08" w14:textId="36807107">
      <w:pPr>
        <w:pStyle w:val="Prrafodelista"/>
        <w:widowControl/>
        <w:numPr>
          <w:ilvl w:val="1"/>
          <w:numId w:val="3"/>
        </w:numPr>
        <w:spacing w:after="0" w:line="259" w:lineRule="auto"/>
        <w:ind w:left="567" w:hanging="426"/>
        <w:rPr>
          <w:rFonts w:ascii="Arial" w:hAnsi="Arial" w:eastAsia="Arial" w:cs="Arial"/>
          <w:b/>
          <w:sz w:val="24"/>
          <w:szCs w:val="24"/>
          <w:lang w:val="es-PY"/>
        </w:rPr>
      </w:pPr>
      <w:r w:rsidRPr="00ED4E0D">
        <w:rPr>
          <w:rFonts w:ascii="Arial" w:hAnsi="Arial" w:eastAsia="Arial" w:cs="Arial"/>
          <w:b/>
          <w:sz w:val="24"/>
          <w:szCs w:val="24"/>
          <w:lang w:val="es-PY"/>
        </w:rPr>
        <w:t>ESTADO DE SITUACION</w:t>
      </w:r>
      <w:r w:rsidRPr="00ED4E0D" w:rsidR="00055067">
        <w:rPr>
          <w:rFonts w:ascii="Arial" w:hAnsi="Arial" w:eastAsia="Arial" w:cs="Arial"/>
          <w:b/>
          <w:sz w:val="24"/>
          <w:szCs w:val="24"/>
          <w:lang w:val="es-PY"/>
        </w:rPr>
        <w:t xml:space="preserve"> DE TRABAJO CON COLOMBIA (ACE N° 72)</w:t>
      </w:r>
    </w:p>
    <w:p w:rsidR="00971420" w:rsidP="00971420" w:rsidRDefault="00971420" w14:paraId="3EBD811F" w14:textId="77777777">
      <w:pPr>
        <w:pStyle w:val="Prrafodelista"/>
        <w:widowControl/>
        <w:spacing w:after="0" w:line="259" w:lineRule="auto"/>
        <w:ind w:left="567"/>
        <w:rPr>
          <w:rFonts w:ascii="Arial" w:hAnsi="Arial" w:eastAsia="Arial" w:cs="Arial"/>
          <w:b/>
          <w:sz w:val="24"/>
          <w:szCs w:val="24"/>
          <w:lang w:val="es-PY"/>
        </w:rPr>
      </w:pPr>
    </w:p>
    <w:p w:rsidR="00912C9E" w:rsidP="00912C9E" w:rsidRDefault="00912C9E" w14:paraId="57943AB8" w14:textId="1CBF711A">
      <w:pPr>
        <w:pStyle w:val="Prrafodelista"/>
        <w:widowControl/>
        <w:spacing w:after="0" w:line="259" w:lineRule="auto"/>
        <w:ind w:left="567"/>
        <w:jc w:val="both"/>
        <w:rPr>
          <w:rFonts w:ascii="Arial" w:hAnsi="Arial" w:eastAsia="Arial" w:cs="Arial"/>
          <w:bCs/>
          <w:sz w:val="24"/>
          <w:szCs w:val="24"/>
          <w:lang w:val="es-PY"/>
        </w:rPr>
      </w:pPr>
      <w:r w:rsidRPr="00912C9E">
        <w:rPr>
          <w:rFonts w:ascii="Arial" w:hAnsi="Arial" w:eastAsia="Arial" w:cs="Arial"/>
          <w:bCs/>
          <w:sz w:val="24"/>
          <w:szCs w:val="24"/>
          <w:lang w:val="es-PY"/>
        </w:rPr>
        <w:t>Las delegaciones presentes revisaron detalladamente el estado de situación del trabajo con Colombia en relación con el Acuerdo de Complementación Económica (ACE) N° 72. Se compartieron opiniones sobre los avances realizados hasta la fech</w:t>
      </w:r>
      <w:r w:rsidR="00556222">
        <w:rPr>
          <w:rFonts w:ascii="Arial" w:hAnsi="Arial" w:eastAsia="Arial" w:cs="Arial"/>
          <w:bCs/>
          <w:sz w:val="24"/>
          <w:szCs w:val="24"/>
          <w:lang w:val="es-PY"/>
        </w:rPr>
        <w:t>a</w:t>
      </w:r>
      <w:r w:rsidR="00093DB5">
        <w:rPr>
          <w:rFonts w:ascii="Arial" w:hAnsi="Arial" w:eastAsia="Arial" w:cs="Arial"/>
          <w:bCs/>
          <w:sz w:val="24"/>
          <w:szCs w:val="24"/>
          <w:lang w:val="es-PY"/>
        </w:rPr>
        <w:t xml:space="preserve">, incluyendo </w:t>
      </w:r>
      <w:r w:rsidR="0038177D">
        <w:rPr>
          <w:rFonts w:ascii="Arial" w:hAnsi="Arial" w:eastAsia="Arial" w:cs="Arial"/>
          <w:bCs/>
          <w:sz w:val="24"/>
          <w:szCs w:val="24"/>
          <w:lang w:val="es-PY"/>
        </w:rPr>
        <w:t>los últimos documentos compartidos y consultas realizadas.</w:t>
      </w:r>
    </w:p>
    <w:p w:rsidR="0038177D" w:rsidP="00912C9E" w:rsidRDefault="0038177D" w14:paraId="1EAC5E99" w14:textId="77777777">
      <w:pPr>
        <w:pStyle w:val="Prrafodelista"/>
        <w:widowControl/>
        <w:spacing w:after="0" w:line="259" w:lineRule="auto"/>
        <w:ind w:left="567"/>
        <w:jc w:val="both"/>
        <w:rPr>
          <w:rFonts w:ascii="Arial" w:hAnsi="Arial" w:eastAsia="Arial" w:cs="Arial"/>
          <w:bCs/>
          <w:sz w:val="24"/>
          <w:szCs w:val="24"/>
          <w:lang w:val="es-PY"/>
        </w:rPr>
      </w:pPr>
    </w:p>
    <w:p w:rsidRPr="00912C9E" w:rsidR="0038177D" w:rsidP="05FCA12D" w:rsidRDefault="05FCA12D" w14:paraId="3C6B3C0C" w14:textId="1593BF60">
      <w:pPr>
        <w:pStyle w:val="Prrafodelista"/>
        <w:widowControl w:val="1"/>
        <w:spacing w:after="0" w:line="259" w:lineRule="auto"/>
        <w:ind w:left="567"/>
        <w:jc w:val="both"/>
        <w:rPr>
          <w:rFonts w:ascii="Arial" w:hAnsi="Arial" w:eastAsia="Arial" w:cs="Arial"/>
          <w:sz w:val="24"/>
          <w:szCs w:val="24"/>
          <w:lang w:val="es-PY"/>
        </w:rPr>
      </w:pPr>
      <w:r w:rsidRPr="6663D94A" w:rsidR="6663D94A">
        <w:rPr>
          <w:rFonts w:ascii="Arial" w:hAnsi="Arial" w:eastAsia="Arial" w:cs="Arial"/>
          <w:sz w:val="24"/>
          <w:szCs w:val="24"/>
          <w:lang w:val="es-PY"/>
        </w:rPr>
        <w:t>La coordinación del Comité Técnico dio a conocer a todas las delegaciones el contacto con la contraparte de Colombia, para coordinar acciones y continuar con los trabajos pendientes.</w:t>
      </w:r>
    </w:p>
    <w:p w:rsidRPr="00912C9E" w:rsidR="00912C9E" w:rsidP="00912C9E" w:rsidRDefault="00912C9E" w14:paraId="6C9D8A85" w14:textId="77777777">
      <w:pPr>
        <w:pStyle w:val="Prrafodelista"/>
        <w:widowControl/>
        <w:spacing w:after="0" w:line="259" w:lineRule="auto"/>
        <w:ind w:left="567"/>
        <w:jc w:val="both"/>
        <w:rPr>
          <w:rFonts w:ascii="Arial" w:hAnsi="Arial" w:eastAsia="Arial" w:cs="Arial"/>
          <w:bCs/>
          <w:sz w:val="24"/>
          <w:szCs w:val="24"/>
          <w:lang w:val="es-PY"/>
        </w:rPr>
      </w:pPr>
    </w:p>
    <w:p w:rsidR="00971420" w:rsidP="00912C9E" w:rsidRDefault="00912C9E" w14:paraId="57461E2C" w14:textId="74C0C911">
      <w:pPr>
        <w:pStyle w:val="Prrafodelista"/>
        <w:widowControl/>
        <w:spacing w:after="0" w:line="259" w:lineRule="auto"/>
        <w:ind w:left="567"/>
        <w:jc w:val="both"/>
        <w:rPr>
          <w:rFonts w:ascii="Arial" w:hAnsi="Arial" w:eastAsia="Arial" w:cs="Arial"/>
          <w:bCs/>
          <w:sz w:val="24"/>
          <w:szCs w:val="24"/>
          <w:lang w:val="es-PY"/>
        </w:rPr>
      </w:pPr>
      <w:r w:rsidRPr="00912C9E">
        <w:rPr>
          <w:rFonts w:ascii="Arial" w:hAnsi="Arial" w:eastAsia="Arial" w:cs="Arial"/>
          <w:bCs/>
          <w:sz w:val="24"/>
          <w:szCs w:val="24"/>
          <w:lang w:val="es-PY"/>
        </w:rPr>
        <w:t xml:space="preserve">Se destacó la importancia de mantener una estrecha colaboración con Colombia para avanzar en la </w:t>
      </w:r>
      <w:r w:rsidR="00734EB8">
        <w:rPr>
          <w:rFonts w:ascii="Arial" w:hAnsi="Arial" w:eastAsia="Arial" w:cs="Arial"/>
          <w:bCs/>
          <w:sz w:val="24"/>
          <w:szCs w:val="24"/>
          <w:lang w:val="es-PY"/>
        </w:rPr>
        <w:t>transposición y actualización</w:t>
      </w:r>
      <w:r w:rsidRPr="00912C9E">
        <w:rPr>
          <w:rFonts w:ascii="Arial" w:hAnsi="Arial" w:eastAsia="Arial" w:cs="Arial"/>
          <w:bCs/>
          <w:sz w:val="24"/>
          <w:szCs w:val="24"/>
          <w:lang w:val="es-PY"/>
        </w:rPr>
        <w:t xml:space="preserve"> efectiva del acuerdo, y se acordó establecer un plan de acción con plazos y responsabilidades definidas.</w:t>
      </w:r>
    </w:p>
    <w:p w:rsidR="009E63C8" w:rsidP="00912C9E" w:rsidRDefault="009E63C8" w14:paraId="6DA38BC6" w14:textId="77777777">
      <w:pPr>
        <w:pStyle w:val="Prrafodelista"/>
        <w:widowControl/>
        <w:spacing w:after="0" w:line="259" w:lineRule="auto"/>
        <w:ind w:left="567"/>
        <w:jc w:val="both"/>
        <w:rPr>
          <w:rFonts w:ascii="Arial" w:hAnsi="Arial" w:eastAsia="Arial" w:cs="Arial"/>
          <w:bCs/>
          <w:sz w:val="24"/>
          <w:szCs w:val="24"/>
          <w:lang w:val="es-PY"/>
        </w:rPr>
      </w:pPr>
    </w:p>
    <w:p w:rsidRPr="00971420" w:rsidR="009E63C8" w:rsidP="05FCA12D" w:rsidRDefault="05FCA12D" w14:paraId="557DDBFB" w14:textId="2FE4D594">
      <w:pPr>
        <w:pStyle w:val="Prrafodelista"/>
        <w:widowControl w:val="1"/>
        <w:spacing w:after="0" w:line="259" w:lineRule="auto"/>
        <w:ind w:left="567"/>
        <w:jc w:val="both"/>
        <w:rPr>
          <w:rFonts w:ascii="Arial" w:hAnsi="Arial" w:eastAsia="Arial" w:cs="Arial"/>
          <w:sz w:val="24"/>
          <w:szCs w:val="24"/>
          <w:lang w:val="es-PY"/>
        </w:rPr>
      </w:pPr>
      <w:r w:rsidRPr="6663D94A" w:rsidR="6663D94A">
        <w:rPr>
          <w:rFonts w:ascii="Arial" w:hAnsi="Arial" w:eastAsia="Arial" w:cs="Arial"/>
          <w:sz w:val="24"/>
          <w:szCs w:val="24"/>
          <w:lang w:val="es-PY"/>
        </w:rPr>
        <w:t>Adicionalmente se discutieron aspectos sobre la oferta del MERCOSUR a Colombia, que aún no fue tratada por Colombia, Así como, sobre la oferta de Colombia al MERCOSUR, que se encuentra en proceso de análisis por las delegaciones, para la reacción de los países en cuanto a las observaciones realizadas por la contraparte.</w:t>
      </w:r>
    </w:p>
    <w:p w:rsidRPr="00ED4E0D" w:rsidR="00CF1DD0" w:rsidP="00971420" w:rsidRDefault="00CF1DD0" w14:paraId="214DEE72" w14:textId="77777777">
      <w:pPr>
        <w:pStyle w:val="Prrafodelista"/>
        <w:widowControl/>
        <w:spacing w:after="0" w:line="259" w:lineRule="auto"/>
        <w:ind w:left="567" w:hanging="426"/>
        <w:rPr>
          <w:rFonts w:ascii="Arial" w:hAnsi="Arial" w:eastAsia="Arial" w:cs="Arial"/>
          <w:b/>
          <w:sz w:val="24"/>
          <w:szCs w:val="24"/>
          <w:lang w:val="es-PY"/>
        </w:rPr>
      </w:pPr>
    </w:p>
    <w:p w:rsidRPr="00ED4E0D" w:rsidR="00783E1B" w:rsidP="00971420" w:rsidRDefault="00783E1B" w14:paraId="5C303612" w14:textId="3C377D50">
      <w:pPr>
        <w:pStyle w:val="Prrafodelista"/>
        <w:widowControl/>
        <w:numPr>
          <w:ilvl w:val="1"/>
          <w:numId w:val="3"/>
        </w:numPr>
        <w:spacing w:after="0" w:line="259" w:lineRule="auto"/>
        <w:ind w:left="567" w:hanging="426"/>
        <w:rPr>
          <w:rFonts w:ascii="Arial" w:hAnsi="Arial" w:eastAsia="Arial" w:cs="Arial"/>
          <w:b/>
          <w:sz w:val="24"/>
          <w:szCs w:val="24"/>
          <w:lang w:val="es-PY"/>
        </w:rPr>
      </w:pPr>
      <w:r w:rsidRPr="00ED4E0D">
        <w:rPr>
          <w:rFonts w:ascii="Arial" w:hAnsi="Arial" w:eastAsia="Arial" w:cs="Arial"/>
          <w:b/>
          <w:sz w:val="24"/>
          <w:szCs w:val="24"/>
          <w:lang w:val="es-PY"/>
        </w:rPr>
        <w:t>LISTA DE</w:t>
      </w:r>
      <w:r w:rsidRPr="00ED4E0D" w:rsidR="008400CA">
        <w:rPr>
          <w:rFonts w:ascii="Arial" w:hAnsi="Arial" w:eastAsia="Arial" w:cs="Arial"/>
          <w:b/>
          <w:sz w:val="24"/>
          <w:szCs w:val="24"/>
          <w:lang w:val="es-PY"/>
        </w:rPr>
        <w:t xml:space="preserve"> CONTROL DE TRANSPOSICIÓN</w:t>
      </w:r>
      <w:r w:rsidRPr="00ED4E0D">
        <w:rPr>
          <w:rFonts w:ascii="Arial" w:hAnsi="Arial" w:eastAsia="Arial" w:cs="Arial"/>
          <w:b/>
          <w:sz w:val="24"/>
          <w:szCs w:val="24"/>
          <w:lang w:val="es-PY"/>
        </w:rPr>
        <w:t xml:space="preserve"> SAT/SM</w:t>
      </w:r>
    </w:p>
    <w:p w:rsidR="00FC1EB8" w:rsidP="00F3112F" w:rsidRDefault="00FC1EB8" w14:paraId="4058312F" w14:textId="77777777">
      <w:pPr>
        <w:widowControl/>
        <w:spacing w:after="0" w:line="240" w:lineRule="auto"/>
        <w:rPr>
          <w:rFonts w:ascii="Arial" w:hAnsi="Arial" w:eastAsia="Arial" w:cs="Arial"/>
          <w:lang w:val="es-PY"/>
        </w:rPr>
      </w:pPr>
    </w:p>
    <w:p w:rsidR="00FC147A" w:rsidP="05FCA12D" w:rsidRDefault="05FCA12D" w14:paraId="5971EA79" w14:textId="41F24A5F">
      <w:pPr>
        <w:pStyle w:val="Prrafodelista"/>
        <w:widowControl/>
        <w:spacing w:after="0" w:line="259" w:lineRule="auto"/>
        <w:ind w:left="567"/>
        <w:jc w:val="both"/>
        <w:rPr>
          <w:rFonts w:ascii="Arial" w:hAnsi="Arial" w:eastAsia="Arial" w:cs="Arial"/>
          <w:sz w:val="24"/>
          <w:szCs w:val="24"/>
          <w:lang w:val="es-PY"/>
        </w:rPr>
      </w:pPr>
      <w:r w:rsidRPr="05FCA12D">
        <w:rPr>
          <w:rFonts w:ascii="Arial" w:hAnsi="Arial" w:eastAsia="Arial" w:cs="Arial"/>
          <w:sz w:val="24"/>
          <w:szCs w:val="24"/>
          <w:lang w:val="es-PY"/>
        </w:rPr>
        <w:t xml:space="preserve">Los técnicos de SAT/SM mencionaron la entrega de listas por país, del resultado de control de las transposiciones de la Oferta de Colombia a los </w:t>
      </w:r>
      <w:bookmarkStart w:name="_Int_jD6brz2v" w:id="8"/>
      <w:r w:rsidRPr="05FCA12D">
        <w:rPr>
          <w:rFonts w:ascii="Arial" w:hAnsi="Arial" w:eastAsia="Arial" w:cs="Arial"/>
          <w:sz w:val="24"/>
          <w:szCs w:val="24"/>
          <w:lang w:val="es-PY"/>
        </w:rPr>
        <w:t>Estados Partes</w:t>
      </w:r>
      <w:bookmarkEnd w:id="8"/>
      <w:r w:rsidRPr="05FCA12D">
        <w:rPr>
          <w:rFonts w:ascii="Arial" w:hAnsi="Arial" w:eastAsia="Arial" w:cs="Arial"/>
          <w:sz w:val="24"/>
          <w:szCs w:val="24"/>
          <w:lang w:val="es-PY"/>
        </w:rPr>
        <w:t xml:space="preserve">, detallando los trabajos realizados, los productos y los resultados de estos. Se adjunta al presente enlace de la referida información compartida: </w:t>
      </w:r>
      <w:hyperlink r:id="rId9">
        <w:r w:rsidRPr="05FCA12D">
          <w:rPr>
            <w:rFonts w:ascii="Arial" w:hAnsi="Arial" w:eastAsia="Arial" w:cs="Arial"/>
            <w:color w:val="1F497D" w:themeColor="text2"/>
            <w:sz w:val="24"/>
            <w:szCs w:val="24"/>
            <w:u w:val="single"/>
            <w:lang w:val="es-PY"/>
          </w:rPr>
          <w:t>Files - Nube MERCOSUR - Almacenamiento de Archivos</w:t>
        </w:r>
      </w:hyperlink>
      <w:r w:rsidRPr="05FCA12D">
        <w:rPr>
          <w:rFonts w:ascii="Arial" w:hAnsi="Arial" w:eastAsia="Arial" w:cs="Arial"/>
          <w:sz w:val="24"/>
          <w:szCs w:val="24"/>
          <w:lang w:val="es-PY"/>
        </w:rPr>
        <w:t>. Esos archivos están en el Anexo IV de esta Acta.</w:t>
      </w:r>
    </w:p>
    <w:p w:rsidR="00B2075D" w:rsidP="00FC147A" w:rsidRDefault="00B2075D" w14:paraId="77E2A934" w14:textId="77777777">
      <w:pPr>
        <w:pStyle w:val="Prrafodelista"/>
        <w:widowControl/>
        <w:spacing w:after="0" w:line="259" w:lineRule="auto"/>
        <w:ind w:left="567"/>
        <w:jc w:val="both"/>
        <w:rPr>
          <w:rFonts w:ascii="Arial" w:hAnsi="Arial" w:eastAsia="Arial" w:cs="Arial"/>
          <w:bCs/>
          <w:sz w:val="24"/>
          <w:szCs w:val="24"/>
          <w:lang w:val="es-PY"/>
        </w:rPr>
      </w:pPr>
    </w:p>
    <w:p w:rsidRPr="00FC147A" w:rsidR="00B2075D" w:rsidP="05FCA12D" w:rsidRDefault="05FCA12D" w14:paraId="13627E2A" w14:textId="6D3C587D">
      <w:pPr>
        <w:pStyle w:val="Prrafodelista"/>
        <w:widowControl w:val="1"/>
        <w:spacing w:after="0" w:line="259" w:lineRule="auto"/>
        <w:ind w:left="567"/>
        <w:jc w:val="both"/>
        <w:rPr>
          <w:rFonts w:ascii="Arial" w:hAnsi="Arial" w:eastAsia="Arial" w:cs="Arial"/>
          <w:sz w:val="24"/>
          <w:szCs w:val="24"/>
          <w:lang w:val="es-PY"/>
        </w:rPr>
      </w:pPr>
      <w:r w:rsidRPr="6663D94A" w:rsidR="6663D94A">
        <w:rPr>
          <w:rFonts w:ascii="Arial" w:hAnsi="Arial" w:eastAsia="Arial" w:cs="Arial"/>
          <w:sz w:val="24"/>
          <w:szCs w:val="24"/>
          <w:lang w:val="es-PY"/>
        </w:rPr>
        <w:t>Se propuso una categorización de los casos problemáticos. Igualmente se detalla la propuesta de la SM sobre cómo abordar estos casos y se mostraron ejemplos específicos. Se discutió sobre cómo presentar la información de manera que refleje fielmente el espíritu del acuerdo y sea comprensible para los operadores.</w:t>
      </w:r>
    </w:p>
    <w:p w:rsidRPr="003D33C0" w:rsidR="00D37842" w:rsidP="003D33C0" w:rsidRDefault="00D37842" w14:paraId="68EB460E" w14:textId="77777777">
      <w:pPr>
        <w:widowControl/>
        <w:spacing w:after="0" w:line="259" w:lineRule="auto"/>
        <w:jc w:val="both"/>
        <w:rPr>
          <w:rFonts w:ascii="Arial" w:hAnsi="Arial" w:eastAsia="Arial" w:cs="Arial"/>
          <w:bCs/>
          <w:sz w:val="24"/>
          <w:szCs w:val="24"/>
          <w:lang w:val="es-PY"/>
        </w:rPr>
      </w:pPr>
    </w:p>
    <w:p w:rsidR="007C6225" w:rsidP="05FCA12D" w:rsidRDefault="05FCA12D" w14:paraId="5D33271D" w14:textId="75F3FB7D">
      <w:pPr>
        <w:pStyle w:val="Prrafodelista"/>
        <w:widowControl w:val="1"/>
        <w:spacing w:after="0" w:line="259" w:lineRule="auto"/>
        <w:ind w:left="567"/>
        <w:jc w:val="both"/>
        <w:rPr>
          <w:rFonts w:ascii="Arial" w:hAnsi="Arial" w:eastAsia="Arial" w:cs="Arial"/>
          <w:sz w:val="24"/>
          <w:szCs w:val="24"/>
          <w:lang w:val="es-PY"/>
        </w:rPr>
      </w:pPr>
      <w:r w:rsidRPr="6663D94A" w:rsidR="6663D94A">
        <w:rPr>
          <w:rFonts w:ascii="Arial" w:hAnsi="Arial" w:eastAsia="Arial" w:cs="Arial"/>
          <w:sz w:val="24"/>
          <w:szCs w:val="24"/>
          <w:lang w:val="es-PY"/>
        </w:rPr>
        <w:t>Se habló de la importancia de tener un repositorio común en la nube para los archivos de manera que recojan las reacciones de cada país en línea. La SM compartió el documento y se verificó el funcionamiento en línea de los archivos en la nube del MERCOSUR.</w:t>
      </w:r>
    </w:p>
    <w:p w:rsidR="00D13046" w:rsidP="003D33C0" w:rsidRDefault="00D13046" w14:paraId="375D3C03" w14:textId="77777777">
      <w:pPr>
        <w:pStyle w:val="Prrafodelista"/>
        <w:widowControl/>
        <w:spacing w:after="0" w:line="259" w:lineRule="auto"/>
        <w:ind w:left="567"/>
        <w:jc w:val="both"/>
        <w:rPr>
          <w:rFonts w:ascii="Arial" w:hAnsi="Arial" w:eastAsia="Arial" w:cs="Arial"/>
          <w:bCs/>
          <w:sz w:val="24"/>
          <w:szCs w:val="24"/>
          <w:lang w:val="es-PY"/>
        </w:rPr>
      </w:pPr>
    </w:p>
    <w:p w:rsidRPr="003D33C0" w:rsidR="00D13046" w:rsidP="05FCA12D" w:rsidRDefault="05FCA12D" w14:paraId="7AECA732" w14:textId="58E2CA44">
      <w:pPr>
        <w:pStyle w:val="Prrafodelista"/>
        <w:widowControl w:val="1"/>
        <w:spacing w:after="0" w:line="259" w:lineRule="auto"/>
        <w:ind w:left="567"/>
        <w:jc w:val="both"/>
        <w:rPr>
          <w:rFonts w:ascii="Arial" w:hAnsi="Arial" w:eastAsia="Arial" w:cs="Arial"/>
          <w:sz w:val="24"/>
          <w:szCs w:val="24"/>
          <w:lang w:val="es-PY"/>
        </w:rPr>
      </w:pPr>
      <w:r w:rsidRPr="6663D94A" w:rsidR="6663D94A">
        <w:rPr>
          <w:rFonts w:ascii="Arial" w:hAnsi="Arial" w:eastAsia="Arial" w:cs="Arial"/>
          <w:sz w:val="24"/>
          <w:szCs w:val="24"/>
          <w:lang w:val="es-PY"/>
        </w:rPr>
        <w:t>Las delegaciones se comprometieron a realizar un avance semanal, respecto a los archivos compartidos, de manera de convocar en la brevedad posible, al Grupo Ad Hoc con Colombia.</w:t>
      </w:r>
    </w:p>
    <w:p w:rsidR="05FCA12D" w:rsidP="05FCA12D" w:rsidRDefault="05FCA12D" w14:paraId="1B4EFED6" w14:textId="18D253E8">
      <w:pPr>
        <w:pStyle w:val="Prrafodelista"/>
        <w:widowControl/>
        <w:spacing w:after="0" w:line="259" w:lineRule="auto"/>
        <w:ind w:left="567"/>
        <w:jc w:val="both"/>
        <w:rPr>
          <w:rFonts w:ascii="Arial" w:hAnsi="Arial" w:eastAsia="Arial" w:cs="Arial"/>
          <w:sz w:val="24"/>
          <w:szCs w:val="24"/>
          <w:lang w:val="es-PY"/>
        </w:rPr>
      </w:pPr>
    </w:p>
    <w:p w:rsidR="05FCA12D" w:rsidP="05FCA12D" w:rsidRDefault="05FCA12D" w14:paraId="05E635A1" w14:textId="7EC46484">
      <w:pPr>
        <w:pStyle w:val="Prrafodelista"/>
        <w:widowControl/>
        <w:spacing w:after="0" w:line="259" w:lineRule="auto"/>
        <w:ind w:left="90"/>
        <w:rPr>
          <w:rFonts w:ascii="Arial" w:hAnsi="Arial" w:eastAsia="Arial" w:cs="Arial"/>
          <w:b/>
          <w:bCs/>
          <w:sz w:val="24"/>
          <w:szCs w:val="24"/>
          <w:lang w:val="es-PY"/>
        </w:rPr>
      </w:pPr>
      <w:r w:rsidRPr="05FCA12D">
        <w:rPr>
          <w:rFonts w:ascii="Arial" w:hAnsi="Arial" w:eastAsia="Arial" w:cs="Arial"/>
          <w:b/>
          <w:bCs/>
          <w:sz w:val="24"/>
          <w:szCs w:val="24"/>
          <w:lang w:val="es-PY"/>
        </w:rPr>
        <w:t>1.3. LISTADO DE CASOS SOBRE NOTAS REFERENCIALES</w:t>
      </w:r>
    </w:p>
    <w:p w:rsidR="05FCA12D" w:rsidP="05FCA12D" w:rsidRDefault="05FCA12D" w14:paraId="3266653B" w14:textId="0111475E">
      <w:pPr>
        <w:pStyle w:val="Prrafodelista"/>
        <w:widowControl/>
        <w:spacing w:after="0" w:line="259" w:lineRule="auto"/>
        <w:rPr>
          <w:rFonts w:ascii="Arial" w:hAnsi="Arial" w:eastAsia="Arial" w:cs="Arial"/>
          <w:sz w:val="24"/>
          <w:szCs w:val="24"/>
          <w:lang w:val="es-PY"/>
        </w:rPr>
      </w:pPr>
    </w:p>
    <w:p w:rsidR="05FCA12D" w:rsidP="05FCA12D" w:rsidRDefault="05FCA12D" w14:paraId="62DC6183" w14:textId="59732BE3">
      <w:pPr>
        <w:pStyle w:val="Prrafodelista"/>
        <w:widowControl w:val="1"/>
        <w:spacing w:after="0" w:line="259" w:lineRule="auto"/>
        <w:jc w:val="both"/>
        <w:rPr>
          <w:rFonts w:ascii="Arial" w:hAnsi="Arial" w:eastAsia="Arial" w:cs="Arial"/>
          <w:sz w:val="24"/>
          <w:szCs w:val="24"/>
          <w:lang w:val="es-PY"/>
        </w:rPr>
      </w:pPr>
      <w:r w:rsidRPr="6663D94A" w:rsidR="6663D94A">
        <w:rPr>
          <w:rFonts w:ascii="Arial" w:hAnsi="Arial" w:eastAsia="Arial" w:cs="Arial"/>
          <w:sz w:val="24"/>
          <w:szCs w:val="24"/>
          <w:lang w:val="es-PY"/>
        </w:rPr>
        <w:t xml:space="preserve">Se realiza la presentación por parte de la Delegación Argentina del documento previamente informado a CCM por el CT8, con la revisión realizada por parte de Argentina en los casos de cruce de </w:t>
      </w:r>
      <w:r w:rsidRPr="6663D94A" w:rsidR="6663D94A">
        <w:rPr>
          <w:rFonts w:ascii="Arial" w:hAnsi="Arial" w:eastAsia="Arial" w:cs="Arial"/>
          <w:sz w:val="24"/>
          <w:szCs w:val="24"/>
          <w:lang w:val="es-PY"/>
        </w:rPr>
        <w:t>REOs</w:t>
      </w:r>
      <w:r w:rsidRPr="6663D94A" w:rsidR="6663D94A">
        <w:rPr>
          <w:rFonts w:ascii="Arial" w:hAnsi="Arial" w:eastAsia="Arial" w:cs="Arial"/>
          <w:sz w:val="24"/>
          <w:szCs w:val="24"/>
          <w:lang w:val="es-PY"/>
        </w:rPr>
        <w:t xml:space="preserve">, donde la transposición no resulta lineal ni directa, requiriendo definiciones por parte de los negociadores de origen. Como se ha mencionado en varias ocasiones, Argentina sostiene el concepto de preservar el alcance original del acuerdo. En algunos casos puntuales, y procurando que sean los menos (lo cual fue logrado tras un exhaustivo análisis y consultas), cuando agotadas las instancias aún fue necesario, se incluyó una sugerencia de Notas Referenciales para su análisis. El referido documento se encuentra en el </w:t>
      </w:r>
      <w:r w:rsidRPr="6663D94A" w:rsidR="6663D94A">
        <w:rPr>
          <w:rFonts w:ascii="Arial" w:hAnsi="Arial" w:eastAsia="Arial" w:cs="Arial"/>
          <w:b w:val="1"/>
          <w:bCs w:val="1"/>
          <w:sz w:val="24"/>
          <w:szCs w:val="24"/>
          <w:lang w:val="es-PY"/>
        </w:rPr>
        <w:t>Anexo V</w:t>
      </w:r>
      <w:r w:rsidRPr="6663D94A" w:rsidR="6663D94A">
        <w:rPr>
          <w:rFonts w:ascii="Arial" w:hAnsi="Arial" w:eastAsia="Arial" w:cs="Arial"/>
          <w:sz w:val="24"/>
          <w:szCs w:val="24"/>
          <w:lang w:val="es-PY"/>
        </w:rPr>
        <w:t xml:space="preserve"> de la presente Acta.</w:t>
      </w:r>
    </w:p>
    <w:p w:rsidR="05FCA12D" w:rsidP="05FCA12D" w:rsidRDefault="05FCA12D" w14:paraId="155CD51D" w14:textId="7E656C10">
      <w:pPr>
        <w:pStyle w:val="Prrafodelista"/>
        <w:widowControl/>
        <w:spacing w:after="0" w:line="259" w:lineRule="auto"/>
        <w:jc w:val="both"/>
        <w:rPr>
          <w:rFonts w:ascii="Arial" w:hAnsi="Arial" w:eastAsia="Arial" w:cs="Arial"/>
          <w:sz w:val="24"/>
          <w:szCs w:val="24"/>
          <w:lang w:val="es-PY"/>
        </w:rPr>
      </w:pPr>
    </w:p>
    <w:p w:rsidR="05FCA12D" w:rsidP="05FCA12D" w:rsidRDefault="05FCA12D" w14:paraId="6FC5F0C9" w14:textId="78F51212">
      <w:pPr>
        <w:pStyle w:val="Prrafodelista"/>
        <w:widowControl/>
        <w:spacing w:after="0" w:line="259" w:lineRule="auto"/>
        <w:jc w:val="both"/>
        <w:rPr>
          <w:rFonts w:ascii="Arial" w:hAnsi="Arial" w:eastAsia="Arial" w:cs="Arial"/>
          <w:sz w:val="24"/>
          <w:szCs w:val="24"/>
          <w:lang w:val="es-PY"/>
        </w:rPr>
      </w:pPr>
      <w:r w:rsidRPr="05FCA12D">
        <w:rPr>
          <w:rFonts w:ascii="Arial" w:hAnsi="Arial" w:eastAsia="Arial" w:cs="Arial"/>
          <w:sz w:val="24"/>
          <w:szCs w:val="24"/>
          <w:lang w:val="es-PY"/>
        </w:rPr>
        <w:t xml:space="preserve">La delegación de Brasil realizó los primeros comentarios sobre el trabajo, tras analizar el documento, identificaron algunos puntos de: </w:t>
      </w:r>
    </w:p>
    <w:p w:rsidR="05FCA12D" w:rsidP="05FCA12D" w:rsidRDefault="05FCA12D" w14:paraId="1AE11CCD" w14:textId="2B450161">
      <w:pPr>
        <w:pStyle w:val="Prrafodelista"/>
        <w:widowControl/>
        <w:numPr>
          <w:ilvl w:val="1"/>
          <w:numId w:val="1"/>
        </w:numPr>
        <w:spacing w:after="0" w:line="259" w:lineRule="auto"/>
        <w:jc w:val="both"/>
        <w:rPr>
          <w:rFonts w:ascii="Arial" w:hAnsi="Arial" w:eastAsia="Arial" w:cs="Arial"/>
          <w:sz w:val="24"/>
          <w:szCs w:val="24"/>
          <w:lang w:val="es-PY"/>
        </w:rPr>
      </w:pPr>
      <w:r w:rsidRPr="05FCA12D">
        <w:rPr>
          <w:rFonts w:ascii="Arial" w:hAnsi="Arial" w:eastAsia="Arial" w:cs="Arial"/>
          <w:sz w:val="24"/>
          <w:szCs w:val="24"/>
          <w:lang w:val="es-PY"/>
        </w:rPr>
        <w:t>Casos de eventual inclusión de notas referenciales (64 casos)</w:t>
      </w:r>
    </w:p>
    <w:p w:rsidR="05FCA12D" w:rsidP="05FCA12D" w:rsidRDefault="05FCA12D" w14:paraId="7CDC5AAD" w14:textId="40A28851">
      <w:pPr>
        <w:pStyle w:val="Prrafodelista"/>
        <w:widowControl/>
        <w:numPr>
          <w:ilvl w:val="1"/>
          <w:numId w:val="1"/>
        </w:numPr>
        <w:spacing w:after="0" w:line="259" w:lineRule="auto"/>
        <w:jc w:val="both"/>
        <w:rPr>
          <w:rFonts w:ascii="Arial" w:hAnsi="Arial" w:eastAsia="Arial" w:cs="Arial"/>
          <w:sz w:val="24"/>
          <w:szCs w:val="24"/>
          <w:lang w:val="es-PY"/>
        </w:rPr>
      </w:pPr>
      <w:r w:rsidRPr="05FCA12D">
        <w:rPr>
          <w:rFonts w:ascii="Arial" w:hAnsi="Arial" w:eastAsia="Arial" w:cs="Arial"/>
          <w:sz w:val="24"/>
          <w:szCs w:val="24"/>
          <w:lang w:val="es-PY"/>
        </w:rPr>
        <w:t xml:space="preserve">Casos específicos de Brasil de </w:t>
      </w:r>
      <w:proofErr w:type="spellStart"/>
      <w:r w:rsidRPr="05FCA12D">
        <w:rPr>
          <w:rFonts w:ascii="Arial" w:hAnsi="Arial" w:eastAsia="Arial" w:cs="Arial"/>
          <w:sz w:val="24"/>
          <w:szCs w:val="24"/>
          <w:lang w:val="es-PY"/>
        </w:rPr>
        <w:t>REOs</w:t>
      </w:r>
      <w:proofErr w:type="spellEnd"/>
      <w:r w:rsidRPr="05FCA12D">
        <w:rPr>
          <w:rFonts w:ascii="Arial" w:hAnsi="Arial" w:eastAsia="Arial" w:cs="Arial"/>
          <w:sz w:val="24"/>
          <w:szCs w:val="24"/>
          <w:lang w:val="es-PY"/>
        </w:rPr>
        <w:t xml:space="preserve"> negociados con Colombia (15 casos)</w:t>
      </w:r>
    </w:p>
    <w:p w:rsidR="05FCA12D" w:rsidP="05FCA12D" w:rsidRDefault="05FCA12D" w14:paraId="78D1C5C9" w14:textId="0E604417">
      <w:pPr>
        <w:pStyle w:val="Prrafodelista"/>
        <w:widowControl/>
        <w:numPr>
          <w:ilvl w:val="1"/>
          <w:numId w:val="1"/>
        </w:numPr>
        <w:spacing w:after="0" w:line="259" w:lineRule="auto"/>
        <w:jc w:val="both"/>
        <w:rPr>
          <w:rFonts w:ascii="Arial" w:hAnsi="Arial" w:eastAsia="Arial" w:cs="Arial"/>
          <w:sz w:val="24"/>
          <w:szCs w:val="24"/>
          <w:lang w:val="es-PY"/>
        </w:rPr>
      </w:pPr>
      <w:r w:rsidRPr="05FCA12D">
        <w:rPr>
          <w:rFonts w:ascii="Arial" w:hAnsi="Arial" w:eastAsia="Arial" w:cs="Arial"/>
          <w:sz w:val="24"/>
          <w:szCs w:val="24"/>
          <w:lang w:val="es-PY"/>
        </w:rPr>
        <w:t xml:space="preserve">Demás casos son </w:t>
      </w:r>
      <w:proofErr w:type="spellStart"/>
      <w:r w:rsidRPr="05FCA12D">
        <w:rPr>
          <w:rFonts w:ascii="Arial" w:hAnsi="Arial" w:eastAsia="Arial" w:cs="Arial"/>
          <w:sz w:val="24"/>
          <w:szCs w:val="24"/>
          <w:lang w:val="es-PY"/>
        </w:rPr>
        <w:t>REOs</w:t>
      </w:r>
      <w:proofErr w:type="spellEnd"/>
      <w:r w:rsidRPr="05FCA12D">
        <w:rPr>
          <w:rFonts w:ascii="Arial" w:hAnsi="Arial" w:eastAsia="Arial" w:cs="Arial"/>
          <w:sz w:val="24"/>
          <w:szCs w:val="24"/>
          <w:lang w:val="es-PY"/>
        </w:rPr>
        <w:t xml:space="preserve"> compartidos entre Brasil y Argentina (49 casos). De los cuales se han logrado consenso con 27 casos.</w:t>
      </w:r>
    </w:p>
    <w:p w:rsidR="05FCA12D" w:rsidP="05FCA12D" w:rsidRDefault="05FCA12D" w14:paraId="482313E7" w14:textId="7356C6FA">
      <w:pPr>
        <w:pStyle w:val="Prrafodelista"/>
        <w:widowControl/>
        <w:numPr>
          <w:ilvl w:val="1"/>
          <w:numId w:val="1"/>
        </w:numPr>
        <w:spacing w:after="0" w:line="259" w:lineRule="auto"/>
        <w:jc w:val="both"/>
        <w:rPr>
          <w:rFonts w:ascii="Arial" w:hAnsi="Arial" w:eastAsia="Arial" w:cs="Arial"/>
          <w:sz w:val="24"/>
          <w:szCs w:val="24"/>
          <w:lang w:val="es-PY"/>
        </w:rPr>
      </w:pPr>
      <w:r w:rsidRPr="05FCA12D">
        <w:rPr>
          <w:rFonts w:ascii="Arial" w:hAnsi="Arial" w:eastAsia="Arial" w:cs="Arial"/>
          <w:sz w:val="24"/>
          <w:szCs w:val="24"/>
          <w:lang w:val="es-PY"/>
        </w:rPr>
        <w:t>Comentarios y/o sugerencias de abordaje sobre otros 22 casos.</w:t>
      </w:r>
    </w:p>
    <w:p w:rsidR="05FCA12D" w:rsidP="05FCA12D" w:rsidRDefault="05FCA12D" w14:paraId="664E1CF1" w14:textId="5F234582">
      <w:pPr>
        <w:pStyle w:val="Prrafodelista"/>
        <w:widowControl/>
        <w:spacing w:after="0" w:line="259" w:lineRule="auto"/>
        <w:jc w:val="both"/>
        <w:rPr>
          <w:rFonts w:ascii="Arial" w:hAnsi="Arial" w:eastAsia="Arial" w:cs="Arial"/>
          <w:sz w:val="24"/>
          <w:szCs w:val="24"/>
          <w:lang w:val="es-PY"/>
        </w:rPr>
      </w:pPr>
    </w:p>
    <w:p w:rsidR="05FCA12D" w:rsidP="05FCA12D" w:rsidRDefault="05FCA12D" w14:paraId="71406C60" w14:textId="6D9FB7E6">
      <w:pPr>
        <w:pStyle w:val="Prrafodelista"/>
        <w:widowControl/>
        <w:spacing w:after="0" w:line="259" w:lineRule="auto"/>
        <w:jc w:val="both"/>
        <w:rPr>
          <w:rFonts w:ascii="Arial" w:hAnsi="Arial" w:eastAsia="Arial" w:cs="Arial"/>
          <w:sz w:val="24"/>
          <w:szCs w:val="24"/>
          <w:lang w:val="es-PY"/>
        </w:rPr>
      </w:pPr>
      <w:r w:rsidRPr="05FCA12D">
        <w:rPr>
          <w:rFonts w:ascii="Arial" w:hAnsi="Arial" w:eastAsia="Arial" w:cs="Arial"/>
          <w:sz w:val="24"/>
          <w:szCs w:val="24"/>
          <w:lang w:val="es-PY"/>
        </w:rPr>
        <w:t xml:space="preserve">El archivo de referencia se encuentra adjunto como </w:t>
      </w:r>
      <w:r w:rsidRPr="05FCA12D">
        <w:rPr>
          <w:rFonts w:ascii="Arial" w:hAnsi="Arial" w:eastAsia="Arial" w:cs="Arial"/>
          <w:b/>
          <w:bCs/>
          <w:sz w:val="24"/>
          <w:szCs w:val="24"/>
          <w:lang w:val="es-PY"/>
        </w:rPr>
        <w:t>Anexo VI</w:t>
      </w:r>
      <w:r w:rsidRPr="05FCA12D">
        <w:rPr>
          <w:rFonts w:ascii="Arial" w:hAnsi="Arial" w:eastAsia="Arial" w:cs="Arial"/>
          <w:sz w:val="24"/>
          <w:szCs w:val="24"/>
          <w:lang w:val="es-PY"/>
        </w:rPr>
        <w:t>, de la presente Acta.</w:t>
      </w:r>
    </w:p>
    <w:p w:rsidRPr="00ED4E0D" w:rsidR="001E340E" w:rsidP="001E340E" w:rsidRDefault="001E340E" w14:paraId="1322B6F5" w14:textId="25DAF566">
      <w:pPr>
        <w:widowControl/>
        <w:spacing w:after="0" w:line="240" w:lineRule="auto"/>
        <w:rPr>
          <w:rFonts w:ascii="Arial" w:hAnsi="Arial" w:eastAsia="Arial" w:cs="Arial"/>
          <w:lang w:val="es-PY"/>
        </w:rPr>
      </w:pPr>
    </w:p>
    <w:p w:rsidRPr="00ED4E0D" w:rsidR="00EA60D0" w:rsidP="003F1048" w:rsidRDefault="00EA60D0" w14:paraId="2A750528" w14:textId="77777777">
      <w:pPr>
        <w:widowControl/>
        <w:spacing w:after="0" w:line="259" w:lineRule="auto"/>
        <w:rPr>
          <w:rFonts w:ascii="Arial" w:hAnsi="Arial" w:eastAsia="Arial" w:cs="Arial"/>
          <w:b/>
          <w:sz w:val="24"/>
          <w:szCs w:val="24"/>
          <w:lang w:val="es-PY"/>
        </w:rPr>
      </w:pPr>
      <w:bookmarkStart w:name="_heading=h.3znysh7" w:colFirst="0" w:colLast="0" w:id="22"/>
      <w:bookmarkEnd w:id="22"/>
    </w:p>
    <w:p w:rsidRPr="00ED4E0D" w:rsidR="00EA60D0" w:rsidRDefault="00EA6A50" w14:paraId="798E25B0" w14:textId="77777777">
      <w:pPr>
        <w:spacing w:after="0"/>
        <w:ind w:hanging="2"/>
        <w:jc w:val="both"/>
        <w:rPr>
          <w:rFonts w:ascii="Arial" w:hAnsi="Arial" w:eastAsia="Arial" w:cs="Arial"/>
          <w:sz w:val="24"/>
          <w:szCs w:val="24"/>
          <w:lang w:val="es-PY"/>
        </w:rPr>
      </w:pPr>
      <w:r w:rsidRPr="00ED4E0D">
        <w:rPr>
          <w:rFonts w:ascii="Arial" w:hAnsi="Arial" w:eastAsia="Arial" w:cs="Arial"/>
          <w:b/>
          <w:sz w:val="24"/>
          <w:szCs w:val="24"/>
          <w:lang w:val="es-PY"/>
        </w:rPr>
        <w:t>PRÓXIMA REUNIÓN</w:t>
      </w:r>
    </w:p>
    <w:p w:rsidRPr="00ED4E0D" w:rsidR="00EA60D0" w:rsidRDefault="00EA60D0" w14:paraId="5D48CCF1" w14:textId="77777777">
      <w:pPr>
        <w:spacing w:after="0"/>
        <w:ind w:hanging="2"/>
        <w:jc w:val="both"/>
        <w:rPr>
          <w:rFonts w:ascii="Arial" w:hAnsi="Arial" w:eastAsia="Arial" w:cs="Arial"/>
          <w:sz w:val="24"/>
          <w:szCs w:val="24"/>
          <w:lang w:val="es-PY"/>
        </w:rPr>
      </w:pPr>
    </w:p>
    <w:p w:rsidRPr="00ED4E0D" w:rsidR="00EA60D0" w:rsidP="004F5218" w:rsidRDefault="05FCA12D" w14:paraId="4CEB2B11" w14:textId="0522E52B">
      <w:pPr>
        <w:spacing w:after="0"/>
        <w:ind w:hanging="2"/>
        <w:jc w:val="both"/>
        <w:rPr>
          <w:rFonts w:ascii="Arial" w:hAnsi="Arial" w:eastAsia="Arial" w:cs="Arial"/>
          <w:sz w:val="24"/>
          <w:szCs w:val="24"/>
          <w:lang w:val="es-PY"/>
        </w:rPr>
      </w:pPr>
      <w:r w:rsidRPr="6663D94A" w:rsidR="6663D94A">
        <w:rPr>
          <w:rFonts w:ascii="Arial" w:hAnsi="Arial" w:eastAsia="Arial" w:cs="Arial"/>
          <w:sz w:val="24"/>
          <w:szCs w:val="24"/>
          <w:lang w:val="es-PY"/>
        </w:rPr>
        <w:t xml:space="preserve">La próxima reunión del Comité está prevista para los días 23 y 24 del mes de mayo del 2024. Dado que en esta próxima reunión resulta necesario contar con la presencia de los coordinadores del CT3 y se discutió la importancia de asegurar dicha participación en las reuniones de este CT para poder culminar el trabajo en curso. Se propuso que cada delegación consulte internamente con sus técnicos de origen para asegurar su participación y para definir una metodología de trabajo en adelante, teniendo en cuenta que el CT3 también tiene una agenda de compromisos establecidos y por ello resulta necesario una coordinación conjunta entre los </w:t>
      </w:r>
      <w:r w:rsidRPr="6663D94A" w:rsidR="6663D94A">
        <w:rPr>
          <w:rFonts w:ascii="Arial" w:hAnsi="Arial" w:eastAsia="Arial" w:cs="Arial"/>
          <w:sz w:val="24"/>
          <w:szCs w:val="24"/>
          <w:lang w:val="es-PY"/>
        </w:rPr>
        <w:t>CTs</w:t>
      </w:r>
      <w:r w:rsidRPr="6663D94A" w:rsidR="6663D94A">
        <w:rPr>
          <w:rFonts w:ascii="Arial" w:hAnsi="Arial" w:eastAsia="Arial" w:cs="Arial"/>
          <w:sz w:val="24"/>
          <w:szCs w:val="24"/>
          <w:lang w:val="es-PY"/>
        </w:rPr>
        <w:t xml:space="preserve"> con la debida anticipación.</w:t>
      </w:r>
    </w:p>
    <w:p w:rsidRPr="00ED4E0D" w:rsidR="00EA60D0" w:rsidP="00812D10" w:rsidRDefault="008C0FD7" w14:paraId="2E1917D0" w14:textId="77F24A78">
      <w:pPr>
        <w:tabs>
          <w:tab w:val="left" w:pos="2130"/>
        </w:tabs>
        <w:rPr>
          <w:rFonts w:ascii="Arial" w:hAnsi="Arial" w:eastAsia="Arial" w:cs="Arial"/>
          <w:color w:val="000000"/>
          <w:sz w:val="24"/>
          <w:szCs w:val="24"/>
          <w:lang w:val="es-PY"/>
        </w:rPr>
      </w:pPr>
      <w:r w:rsidRPr="00ED4E0D">
        <w:rPr>
          <w:rFonts w:ascii="Arial" w:hAnsi="Arial" w:eastAsia="Arial" w:cs="Arial"/>
          <w:b/>
          <w:color w:val="000000"/>
          <w:sz w:val="24"/>
          <w:szCs w:val="24"/>
          <w:lang w:val="es-PY"/>
        </w:rPr>
        <w:br w:type="page"/>
      </w:r>
      <w:r w:rsidRPr="00ED4E0D" w:rsidR="00EA6A50">
        <w:rPr>
          <w:rFonts w:ascii="Arial" w:hAnsi="Arial" w:eastAsia="Arial" w:cs="Arial"/>
          <w:b/>
          <w:color w:val="000000"/>
          <w:sz w:val="24"/>
          <w:szCs w:val="24"/>
          <w:lang w:val="es-PY"/>
        </w:rPr>
        <w:t>ANEXOS</w:t>
      </w:r>
    </w:p>
    <w:p w:rsidRPr="00ED4E0D" w:rsidR="00EA60D0" w:rsidRDefault="00EA60D0" w14:paraId="13B358E9" w14:textId="77777777">
      <w:pPr>
        <w:pBdr>
          <w:top w:val="nil"/>
          <w:left w:val="nil"/>
          <w:bottom w:val="nil"/>
          <w:right w:val="nil"/>
          <w:between w:val="nil"/>
        </w:pBdr>
        <w:tabs>
          <w:tab w:val="center" w:pos="4252"/>
          <w:tab w:val="right" w:pos="8504"/>
          <w:tab w:val="left" w:pos="2130"/>
        </w:tabs>
        <w:spacing w:after="0" w:line="240" w:lineRule="auto"/>
        <w:ind w:hanging="2"/>
        <w:jc w:val="both"/>
        <w:rPr>
          <w:rFonts w:ascii="Arial" w:hAnsi="Arial" w:eastAsia="Arial" w:cs="Arial"/>
          <w:color w:val="000000"/>
          <w:sz w:val="24"/>
          <w:szCs w:val="24"/>
          <w:lang w:val="es-PY"/>
        </w:rPr>
      </w:pPr>
    </w:p>
    <w:p w:rsidRPr="00ED4E0D" w:rsidR="00EA60D0" w:rsidRDefault="00EA6A50" w14:paraId="6266AE05" w14:textId="77777777">
      <w:pPr>
        <w:pBdr>
          <w:top w:val="nil"/>
          <w:left w:val="nil"/>
          <w:bottom w:val="nil"/>
          <w:right w:val="nil"/>
          <w:between w:val="nil"/>
        </w:pBdr>
        <w:tabs>
          <w:tab w:val="center" w:pos="4252"/>
          <w:tab w:val="right" w:pos="8504"/>
        </w:tabs>
        <w:spacing w:after="0" w:line="240" w:lineRule="auto"/>
        <w:ind w:hanging="2"/>
        <w:jc w:val="both"/>
        <w:rPr>
          <w:rFonts w:ascii="Arial" w:hAnsi="Arial" w:eastAsia="Arial" w:cs="Arial"/>
          <w:color w:val="000000"/>
          <w:sz w:val="24"/>
          <w:szCs w:val="24"/>
          <w:lang w:val="es-PY"/>
        </w:rPr>
      </w:pPr>
      <w:r w:rsidRPr="00ED4E0D">
        <w:rPr>
          <w:rFonts w:ascii="Arial" w:hAnsi="Arial" w:eastAsia="Arial" w:cs="Arial"/>
          <w:color w:val="000000"/>
          <w:sz w:val="24"/>
          <w:szCs w:val="24"/>
          <w:lang w:val="es-PY"/>
        </w:rPr>
        <w:t>Los Anexos que forman parte de la presente Acta son los siguientes:</w:t>
      </w:r>
    </w:p>
    <w:p w:rsidRPr="00ED4E0D" w:rsidR="00EA60D0" w:rsidRDefault="00EA60D0" w14:paraId="182EEBAE" w14:textId="77777777">
      <w:pPr>
        <w:spacing w:after="0"/>
        <w:ind w:hanging="2"/>
        <w:rPr>
          <w:rFonts w:ascii="Arial" w:hAnsi="Arial" w:eastAsia="Arial" w:cs="Arial"/>
          <w:sz w:val="24"/>
          <w:szCs w:val="24"/>
          <w:lang w:val="es-PY"/>
        </w:rPr>
      </w:pPr>
    </w:p>
    <w:tbl>
      <w:tblPr>
        <w:tblW w:w="9072"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384"/>
        <w:gridCol w:w="7688"/>
      </w:tblGrid>
      <w:tr w:rsidRPr="00ED4E0D" w:rsidR="00EA60D0" w:rsidTr="05FCA12D" w14:paraId="3A47B5B7" w14:textId="77777777">
        <w:tc>
          <w:tcPr>
            <w:tcW w:w="1384" w:type="dxa"/>
          </w:tcPr>
          <w:p w:rsidRPr="00ED4E0D" w:rsidR="00EA60D0" w:rsidRDefault="00EA6A50" w14:paraId="5B144155" w14:textId="77777777">
            <w:pPr>
              <w:ind w:hanging="2"/>
              <w:rPr>
                <w:rFonts w:ascii="Arial" w:hAnsi="Arial" w:eastAsia="Arial" w:cs="Arial"/>
                <w:sz w:val="24"/>
                <w:szCs w:val="24"/>
                <w:lang w:val="es-PY"/>
              </w:rPr>
            </w:pPr>
            <w:r w:rsidRPr="00ED4E0D">
              <w:rPr>
                <w:rFonts w:ascii="Arial" w:hAnsi="Arial" w:eastAsia="Arial" w:cs="Arial"/>
                <w:b/>
                <w:sz w:val="24"/>
                <w:szCs w:val="24"/>
                <w:lang w:val="es-PY"/>
              </w:rPr>
              <w:t>Anexo I</w:t>
            </w:r>
          </w:p>
        </w:tc>
        <w:tc>
          <w:tcPr>
            <w:tcW w:w="7688" w:type="dxa"/>
          </w:tcPr>
          <w:p w:rsidRPr="00ED4E0D" w:rsidR="00EA60D0" w:rsidRDefault="00EA6A50" w14:paraId="331B52E4" w14:textId="77777777">
            <w:pPr>
              <w:ind w:hanging="2"/>
              <w:jc w:val="both"/>
              <w:rPr>
                <w:rFonts w:ascii="Arial" w:hAnsi="Arial" w:eastAsia="Arial" w:cs="Arial"/>
                <w:sz w:val="24"/>
                <w:szCs w:val="24"/>
                <w:lang w:val="es-PY"/>
              </w:rPr>
            </w:pPr>
            <w:r w:rsidRPr="00ED4E0D">
              <w:rPr>
                <w:rFonts w:ascii="Arial" w:hAnsi="Arial" w:eastAsia="Arial" w:cs="Arial"/>
                <w:sz w:val="24"/>
                <w:szCs w:val="24"/>
                <w:lang w:val="es-PY"/>
              </w:rPr>
              <w:t>Lista de Participantes</w:t>
            </w:r>
          </w:p>
        </w:tc>
      </w:tr>
      <w:tr w:rsidRPr="00ED4E0D" w:rsidR="00EA60D0" w:rsidTr="05FCA12D" w14:paraId="23B6896C" w14:textId="77777777">
        <w:tc>
          <w:tcPr>
            <w:tcW w:w="1384" w:type="dxa"/>
          </w:tcPr>
          <w:p w:rsidRPr="00ED4E0D" w:rsidR="00EA60D0" w:rsidRDefault="00EA6A50" w14:paraId="6C1312DB" w14:textId="77777777">
            <w:pPr>
              <w:ind w:hanging="2"/>
              <w:rPr>
                <w:rFonts w:ascii="Arial" w:hAnsi="Arial" w:eastAsia="Arial" w:cs="Arial"/>
                <w:sz w:val="24"/>
                <w:szCs w:val="24"/>
                <w:lang w:val="es-PY"/>
              </w:rPr>
            </w:pPr>
            <w:r w:rsidRPr="00ED4E0D">
              <w:rPr>
                <w:rFonts w:ascii="Arial" w:hAnsi="Arial" w:eastAsia="Arial" w:cs="Arial"/>
                <w:b/>
                <w:sz w:val="24"/>
                <w:szCs w:val="24"/>
                <w:lang w:val="es-PY"/>
              </w:rPr>
              <w:t>Anexo II</w:t>
            </w:r>
          </w:p>
        </w:tc>
        <w:tc>
          <w:tcPr>
            <w:tcW w:w="7688" w:type="dxa"/>
          </w:tcPr>
          <w:p w:rsidRPr="00ED4E0D" w:rsidR="00EA60D0" w:rsidRDefault="00EA6A50" w14:paraId="32C7528C" w14:textId="77777777">
            <w:pPr>
              <w:ind w:hanging="2"/>
              <w:jc w:val="both"/>
              <w:rPr>
                <w:rFonts w:ascii="Arial" w:hAnsi="Arial" w:eastAsia="Arial" w:cs="Arial"/>
                <w:sz w:val="24"/>
                <w:szCs w:val="24"/>
                <w:lang w:val="es-PY"/>
              </w:rPr>
            </w:pPr>
            <w:r w:rsidRPr="00ED4E0D">
              <w:rPr>
                <w:rFonts w:ascii="Arial" w:hAnsi="Arial" w:eastAsia="Arial" w:cs="Arial"/>
                <w:sz w:val="24"/>
                <w:szCs w:val="24"/>
                <w:lang w:val="es-PY"/>
              </w:rPr>
              <w:t>Agenda aprobada</w:t>
            </w:r>
          </w:p>
        </w:tc>
      </w:tr>
      <w:tr w:rsidRPr="00ED4E0D" w:rsidR="00EA60D0" w:rsidTr="05FCA12D" w14:paraId="3D9A3383" w14:textId="77777777">
        <w:tc>
          <w:tcPr>
            <w:tcW w:w="1384" w:type="dxa"/>
          </w:tcPr>
          <w:p w:rsidRPr="00ED4E0D" w:rsidR="00EA60D0" w:rsidRDefault="00EA6A50" w14:paraId="2CC2AF6E" w14:textId="77777777">
            <w:pPr>
              <w:ind w:hanging="2"/>
              <w:rPr>
                <w:rFonts w:ascii="Arial" w:hAnsi="Arial" w:eastAsia="Arial" w:cs="Arial"/>
                <w:sz w:val="24"/>
                <w:szCs w:val="24"/>
                <w:lang w:val="es-PY"/>
              </w:rPr>
            </w:pPr>
            <w:r w:rsidRPr="00ED4E0D">
              <w:rPr>
                <w:rFonts w:ascii="Arial" w:hAnsi="Arial" w:eastAsia="Arial" w:cs="Arial"/>
                <w:b/>
                <w:sz w:val="24"/>
                <w:szCs w:val="24"/>
                <w:lang w:val="es-PY"/>
              </w:rPr>
              <w:t>Anexo III</w:t>
            </w:r>
          </w:p>
        </w:tc>
        <w:tc>
          <w:tcPr>
            <w:tcW w:w="7688" w:type="dxa"/>
          </w:tcPr>
          <w:p w:rsidRPr="00ED4E0D" w:rsidR="00EA60D0" w:rsidRDefault="00EA6A50" w14:paraId="43D0D578" w14:textId="77777777">
            <w:pPr>
              <w:ind w:hanging="2"/>
              <w:jc w:val="both"/>
              <w:rPr>
                <w:rFonts w:ascii="Arial" w:hAnsi="Arial" w:eastAsia="Arial" w:cs="Arial"/>
                <w:sz w:val="24"/>
                <w:szCs w:val="24"/>
                <w:lang w:val="es-PY"/>
              </w:rPr>
            </w:pPr>
            <w:r w:rsidRPr="00ED4E0D">
              <w:rPr>
                <w:rFonts w:ascii="Arial" w:hAnsi="Arial" w:eastAsia="Arial" w:cs="Arial"/>
                <w:sz w:val="24"/>
                <w:szCs w:val="24"/>
                <w:lang w:val="es-PY"/>
              </w:rPr>
              <w:t>Resumen del Acta</w:t>
            </w:r>
          </w:p>
        </w:tc>
      </w:tr>
      <w:tr w:rsidRPr="00734EB8" w:rsidR="008F48BE" w:rsidTr="05FCA12D" w14:paraId="50791D5C" w14:textId="77777777">
        <w:tc>
          <w:tcPr>
            <w:tcW w:w="1384" w:type="dxa"/>
          </w:tcPr>
          <w:p w:rsidRPr="00ED4E0D" w:rsidR="008F48BE" w:rsidRDefault="008F48BE" w14:paraId="50BCF0E0" w14:textId="22F2C34A">
            <w:pPr>
              <w:ind w:hanging="2"/>
              <w:rPr>
                <w:rFonts w:ascii="Arial" w:hAnsi="Arial" w:eastAsia="Arial" w:cs="Arial"/>
                <w:b/>
                <w:sz w:val="24"/>
                <w:szCs w:val="24"/>
                <w:lang w:val="es-PY"/>
              </w:rPr>
            </w:pPr>
            <w:r>
              <w:rPr>
                <w:rFonts w:ascii="Arial" w:hAnsi="Arial" w:eastAsia="Arial" w:cs="Arial"/>
                <w:b/>
                <w:sz w:val="24"/>
                <w:szCs w:val="24"/>
                <w:lang w:val="es-PY"/>
              </w:rPr>
              <w:t>Anexo IV</w:t>
            </w:r>
          </w:p>
        </w:tc>
        <w:tc>
          <w:tcPr>
            <w:tcW w:w="7688" w:type="dxa"/>
          </w:tcPr>
          <w:p w:rsidRPr="008F48BE" w:rsidR="008F48BE" w:rsidRDefault="008F48BE" w14:paraId="7B719BF6" w14:textId="667A903D">
            <w:pPr>
              <w:ind w:hanging="2"/>
              <w:jc w:val="both"/>
              <w:rPr>
                <w:rFonts w:ascii="Arial" w:hAnsi="Arial" w:eastAsia="Arial" w:cs="Arial"/>
                <w:sz w:val="24"/>
                <w:szCs w:val="24"/>
                <w:lang w:val="pt-PT"/>
              </w:rPr>
            </w:pPr>
            <w:r w:rsidRPr="008F48BE">
              <w:rPr>
                <w:rFonts w:ascii="Arial" w:hAnsi="Arial" w:eastAsia="Arial" w:cs="Arial"/>
                <w:sz w:val="24"/>
                <w:szCs w:val="24"/>
                <w:lang w:val="pt-PT"/>
              </w:rPr>
              <w:t>Lista de Control por Pai</w:t>
            </w:r>
            <w:r>
              <w:rPr>
                <w:rFonts w:ascii="Arial" w:hAnsi="Arial" w:eastAsia="Arial" w:cs="Arial"/>
                <w:sz w:val="24"/>
                <w:szCs w:val="24"/>
                <w:lang w:val="pt-PT"/>
              </w:rPr>
              <w:t>s - SM</w:t>
            </w:r>
          </w:p>
        </w:tc>
      </w:tr>
      <w:tr w:rsidR="05FCA12D" w:rsidTr="05FCA12D" w14:paraId="18BAD46C" w14:textId="77777777">
        <w:trPr>
          <w:trHeight w:val="300"/>
        </w:trPr>
        <w:tc>
          <w:tcPr>
            <w:tcW w:w="1384" w:type="dxa"/>
          </w:tcPr>
          <w:p w:rsidR="05FCA12D" w:rsidP="05FCA12D" w:rsidRDefault="05FCA12D" w14:paraId="4D37656E" w14:textId="39C18A50">
            <w:pPr>
              <w:rPr>
                <w:rFonts w:ascii="Arial" w:hAnsi="Arial" w:eastAsia="Arial" w:cs="Arial"/>
                <w:b/>
                <w:bCs/>
                <w:sz w:val="24"/>
                <w:szCs w:val="24"/>
                <w:lang w:val="es-PY"/>
              </w:rPr>
            </w:pPr>
            <w:r w:rsidRPr="05FCA12D">
              <w:rPr>
                <w:rFonts w:ascii="Arial" w:hAnsi="Arial" w:eastAsia="Arial" w:cs="Arial"/>
                <w:b/>
                <w:bCs/>
                <w:sz w:val="24"/>
                <w:szCs w:val="24"/>
                <w:lang w:val="es-PY"/>
              </w:rPr>
              <w:t>Anexo V</w:t>
            </w:r>
          </w:p>
        </w:tc>
        <w:tc>
          <w:tcPr>
            <w:tcW w:w="7688" w:type="dxa"/>
          </w:tcPr>
          <w:p w:rsidR="05FCA12D" w:rsidP="05FCA12D" w:rsidRDefault="05FCA12D" w14:paraId="0436DD50" w14:textId="4F26CDEF">
            <w:pPr>
              <w:jc w:val="both"/>
              <w:rPr>
                <w:rFonts w:ascii="Arial" w:hAnsi="Arial" w:eastAsia="Arial" w:cs="Arial"/>
                <w:sz w:val="24"/>
                <w:szCs w:val="24"/>
                <w:lang w:val="pt-PT"/>
              </w:rPr>
            </w:pPr>
            <w:r w:rsidRPr="05FCA12D">
              <w:rPr>
                <w:rFonts w:ascii="Arial" w:hAnsi="Arial" w:eastAsia="Arial" w:cs="Arial"/>
                <w:sz w:val="24"/>
                <w:szCs w:val="24"/>
                <w:lang w:val="pt-PT"/>
              </w:rPr>
              <w:t>Listado de Casos de Notas Referenciales - Arg</w:t>
            </w:r>
          </w:p>
        </w:tc>
      </w:tr>
      <w:tr w:rsidR="05FCA12D" w:rsidTr="05FCA12D" w14:paraId="37C1791C" w14:textId="77777777">
        <w:trPr>
          <w:trHeight w:val="300"/>
        </w:trPr>
        <w:tc>
          <w:tcPr>
            <w:tcW w:w="1384" w:type="dxa"/>
          </w:tcPr>
          <w:p w:rsidR="05FCA12D" w:rsidP="05FCA12D" w:rsidRDefault="05FCA12D" w14:paraId="3574012D" w14:textId="16838E55">
            <w:pPr>
              <w:rPr>
                <w:rFonts w:ascii="Arial" w:hAnsi="Arial" w:eastAsia="Arial" w:cs="Arial"/>
                <w:b/>
                <w:bCs/>
                <w:sz w:val="24"/>
                <w:szCs w:val="24"/>
                <w:lang w:val="es-PY"/>
              </w:rPr>
            </w:pPr>
            <w:r w:rsidRPr="05FCA12D">
              <w:rPr>
                <w:rFonts w:ascii="Arial" w:hAnsi="Arial" w:eastAsia="Arial" w:cs="Arial"/>
                <w:b/>
                <w:bCs/>
                <w:sz w:val="24"/>
                <w:szCs w:val="24"/>
                <w:lang w:val="es-PY"/>
              </w:rPr>
              <w:t>Anexo VI</w:t>
            </w:r>
          </w:p>
        </w:tc>
        <w:tc>
          <w:tcPr>
            <w:tcW w:w="7688" w:type="dxa"/>
          </w:tcPr>
          <w:p w:rsidR="05FCA12D" w:rsidP="05FCA12D" w:rsidRDefault="05FCA12D" w14:paraId="3D00785C" w14:textId="65E8A1A3">
            <w:pPr>
              <w:jc w:val="both"/>
              <w:rPr>
                <w:rFonts w:ascii="Arial" w:hAnsi="Arial" w:eastAsia="Arial" w:cs="Arial"/>
                <w:sz w:val="24"/>
                <w:szCs w:val="24"/>
                <w:lang w:val="pt-PT"/>
              </w:rPr>
            </w:pPr>
            <w:r w:rsidRPr="05FCA12D">
              <w:rPr>
                <w:rFonts w:ascii="Arial" w:hAnsi="Arial" w:eastAsia="Arial" w:cs="Arial"/>
                <w:sz w:val="24"/>
                <w:szCs w:val="24"/>
                <w:lang w:val="pt-PT"/>
              </w:rPr>
              <w:t>Listado de Casos de Notas Referenciales - Br</w:t>
            </w:r>
          </w:p>
        </w:tc>
      </w:tr>
    </w:tbl>
    <w:p w:rsidRPr="008F48BE" w:rsidR="00EA60D0" w:rsidRDefault="00EA60D0" w14:paraId="22EAD604" w14:textId="77777777">
      <w:pPr>
        <w:spacing w:after="0"/>
        <w:rPr>
          <w:rFonts w:ascii="Arial" w:hAnsi="Arial" w:eastAsia="Arial" w:cs="Arial"/>
          <w:sz w:val="24"/>
          <w:szCs w:val="24"/>
          <w:lang w:val="pt-PT"/>
        </w:rPr>
      </w:pPr>
      <w:bookmarkStart w:name="_heading=h.g0cy9kpozuvi" w:id="51"/>
      <w:bookmarkEnd w:id="51"/>
    </w:p>
    <w:p w:rsidRPr="008F48BE" w:rsidR="008C0FD7" w:rsidRDefault="008C0FD7" w14:paraId="7554885E" w14:textId="77777777">
      <w:pPr>
        <w:spacing w:after="0" w:line="240" w:lineRule="auto"/>
        <w:jc w:val="both"/>
        <w:rPr>
          <w:rFonts w:ascii="Arial" w:hAnsi="Arial" w:eastAsia="Arial" w:cs="Arial"/>
          <w:sz w:val="24"/>
          <w:szCs w:val="24"/>
          <w:lang w:val="pt-PT"/>
        </w:rPr>
      </w:pPr>
    </w:p>
    <w:p w:rsidRPr="008F48BE" w:rsidR="00EA60D0" w:rsidRDefault="00EA60D0" w14:paraId="61840664" w14:textId="77777777">
      <w:pPr>
        <w:spacing w:after="0" w:line="240" w:lineRule="auto"/>
        <w:jc w:val="both"/>
        <w:rPr>
          <w:rFonts w:ascii="Arial" w:hAnsi="Arial" w:eastAsia="Arial" w:cs="Arial"/>
          <w:sz w:val="24"/>
          <w:szCs w:val="24"/>
          <w:lang w:val="pt-PT"/>
        </w:rPr>
      </w:pPr>
    </w:p>
    <w:tbl>
      <w:tblPr>
        <w:tblW w:w="8838"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Pr="00ED4E0D" w:rsidR="00EA60D0" w:rsidTr="193F3249" w14:paraId="3B418666" w14:textId="77777777">
        <w:tc>
          <w:tcPr>
            <w:tcW w:w="4419" w:type="dxa"/>
          </w:tcPr>
          <w:p w:rsidRPr="008F48BE" w:rsidR="00EA60D0" w:rsidRDefault="00EA60D0" w14:paraId="20F61E9E" w14:textId="77777777">
            <w:pPr>
              <w:pBdr>
                <w:bottom w:val="single" w:color="000000" w:sz="12" w:space="1"/>
              </w:pBdr>
              <w:jc w:val="center"/>
              <w:rPr>
                <w:rFonts w:ascii="Arial" w:hAnsi="Arial" w:eastAsia="Arial" w:cs="Arial"/>
                <w:sz w:val="24"/>
                <w:szCs w:val="24"/>
                <w:lang w:val="pt-PT"/>
              </w:rPr>
            </w:pPr>
          </w:p>
          <w:p w:rsidRPr="008F48BE" w:rsidR="00EA60D0" w:rsidRDefault="00EA60D0" w14:paraId="1D0169A5" w14:textId="77777777">
            <w:pPr>
              <w:pBdr>
                <w:bottom w:val="single" w:color="000000" w:sz="12" w:space="1"/>
              </w:pBdr>
              <w:jc w:val="center"/>
              <w:rPr>
                <w:rFonts w:ascii="Arial" w:hAnsi="Arial" w:eastAsia="Arial" w:cs="Arial"/>
                <w:sz w:val="24"/>
                <w:szCs w:val="24"/>
                <w:lang w:val="pt-PT"/>
              </w:rPr>
            </w:pPr>
          </w:p>
          <w:p w:rsidRPr="008F48BE" w:rsidR="00EA60D0" w:rsidRDefault="00EA60D0" w14:paraId="5A3E950A" w14:textId="77777777">
            <w:pPr>
              <w:pBdr>
                <w:bottom w:val="single" w:color="000000" w:sz="12" w:space="1"/>
              </w:pBdr>
              <w:jc w:val="center"/>
              <w:rPr>
                <w:rFonts w:ascii="Arial" w:hAnsi="Arial" w:eastAsia="Arial" w:cs="Arial"/>
                <w:sz w:val="24"/>
                <w:szCs w:val="24"/>
                <w:lang w:val="pt-PT"/>
              </w:rPr>
            </w:pPr>
          </w:p>
          <w:p w:rsidRPr="00ED4E0D" w:rsidR="00EA60D0" w:rsidRDefault="00EA6A50" w14:paraId="2DE88005" w14:textId="77777777">
            <w:pPr>
              <w:jc w:val="center"/>
              <w:rPr>
                <w:rFonts w:ascii="Arial" w:hAnsi="Arial" w:eastAsia="Arial" w:cs="Arial"/>
                <w:b/>
                <w:sz w:val="24"/>
                <w:szCs w:val="24"/>
                <w:lang w:val="es-PY"/>
              </w:rPr>
            </w:pPr>
            <w:r w:rsidRPr="00ED4E0D">
              <w:rPr>
                <w:rFonts w:ascii="Arial" w:hAnsi="Arial" w:eastAsia="Arial" w:cs="Arial"/>
                <w:b/>
                <w:sz w:val="24"/>
                <w:szCs w:val="24"/>
                <w:lang w:val="es-PY"/>
              </w:rPr>
              <w:t>Por la delegación de Argentina</w:t>
            </w:r>
          </w:p>
          <w:p w:rsidRPr="00ED4E0D" w:rsidR="00EA60D0" w:rsidRDefault="00EA6A50" w14:paraId="4B83FC0F" w14:textId="77777777">
            <w:pPr>
              <w:jc w:val="center"/>
              <w:rPr>
                <w:rFonts w:ascii="Arial" w:hAnsi="Arial" w:eastAsia="Arial" w:cs="Arial"/>
                <w:sz w:val="24"/>
                <w:szCs w:val="24"/>
                <w:lang w:val="es-PY"/>
              </w:rPr>
            </w:pPr>
            <w:r w:rsidRPr="00ED4E0D">
              <w:rPr>
                <w:rFonts w:ascii="Arial" w:hAnsi="Arial" w:eastAsia="Arial" w:cs="Arial"/>
                <w:sz w:val="24"/>
                <w:szCs w:val="24"/>
                <w:lang w:val="es-PY"/>
              </w:rPr>
              <w:t xml:space="preserve">Paola </w:t>
            </w:r>
            <w:proofErr w:type="spellStart"/>
            <w:r w:rsidRPr="00ED4E0D">
              <w:rPr>
                <w:rFonts w:ascii="Arial" w:hAnsi="Arial" w:eastAsia="Arial" w:cs="Arial"/>
                <w:sz w:val="24"/>
                <w:szCs w:val="24"/>
                <w:lang w:val="es-PY"/>
              </w:rPr>
              <w:t>Alaguibe</w:t>
            </w:r>
            <w:proofErr w:type="spellEnd"/>
          </w:p>
          <w:p w:rsidRPr="00ED4E0D" w:rsidR="00EA60D0" w:rsidRDefault="00EA60D0" w14:paraId="2169A6CA" w14:textId="77777777">
            <w:pPr>
              <w:jc w:val="center"/>
              <w:rPr>
                <w:rFonts w:ascii="Arial" w:hAnsi="Arial" w:eastAsia="Arial" w:cs="Arial"/>
                <w:sz w:val="24"/>
                <w:szCs w:val="24"/>
                <w:lang w:val="es-PY"/>
              </w:rPr>
            </w:pPr>
          </w:p>
          <w:p w:rsidRPr="00ED4E0D" w:rsidR="00EA60D0" w:rsidRDefault="00EA60D0" w14:paraId="6D3056F7" w14:textId="77777777">
            <w:pPr>
              <w:jc w:val="center"/>
              <w:rPr>
                <w:rFonts w:ascii="Arial" w:hAnsi="Arial" w:eastAsia="Arial" w:cs="Arial"/>
                <w:sz w:val="24"/>
                <w:szCs w:val="24"/>
                <w:lang w:val="es-PY"/>
              </w:rPr>
            </w:pPr>
          </w:p>
          <w:p w:rsidRPr="00ED4E0D" w:rsidR="00EA60D0" w:rsidRDefault="00EA60D0" w14:paraId="72853BC9" w14:textId="77777777">
            <w:pPr>
              <w:jc w:val="center"/>
              <w:rPr>
                <w:rFonts w:ascii="Arial" w:hAnsi="Arial" w:eastAsia="Arial" w:cs="Arial"/>
                <w:sz w:val="24"/>
                <w:szCs w:val="24"/>
                <w:lang w:val="es-PY"/>
              </w:rPr>
            </w:pPr>
          </w:p>
        </w:tc>
        <w:tc>
          <w:tcPr>
            <w:tcW w:w="4419" w:type="dxa"/>
          </w:tcPr>
          <w:p w:rsidRPr="00ED4E0D" w:rsidR="00EA60D0" w:rsidRDefault="00EA60D0" w14:paraId="7C538A2C" w14:textId="77777777">
            <w:pPr>
              <w:pBdr>
                <w:bottom w:val="single" w:color="000000" w:sz="12" w:space="1"/>
              </w:pBdr>
              <w:jc w:val="center"/>
              <w:rPr>
                <w:rFonts w:ascii="Arial" w:hAnsi="Arial" w:eastAsia="Arial" w:cs="Arial"/>
                <w:sz w:val="24"/>
                <w:szCs w:val="24"/>
                <w:lang w:val="es-PY"/>
              </w:rPr>
            </w:pPr>
          </w:p>
          <w:p w:rsidRPr="00ED4E0D" w:rsidR="00EA60D0" w:rsidRDefault="00EA60D0" w14:paraId="2BE8B970" w14:textId="77777777">
            <w:pPr>
              <w:pBdr>
                <w:bottom w:val="single" w:color="000000" w:sz="12" w:space="1"/>
              </w:pBdr>
              <w:jc w:val="center"/>
              <w:rPr>
                <w:rFonts w:ascii="Arial" w:hAnsi="Arial" w:eastAsia="Arial" w:cs="Arial"/>
                <w:sz w:val="24"/>
                <w:szCs w:val="24"/>
                <w:lang w:val="es-PY"/>
              </w:rPr>
            </w:pPr>
          </w:p>
          <w:p w:rsidRPr="00ED4E0D" w:rsidR="00EA60D0" w:rsidRDefault="00EA60D0" w14:paraId="1A1ED67B" w14:textId="77777777">
            <w:pPr>
              <w:pBdr>
                <w:bottom w:val="single" w:color="000000" w:sz="12" w:space="1"/>
              </w:pBdr>
              <w:jc w:val="center"/>
              <w:rPr>
                <w:rFonts w:ascii="Arial" w:hAnsi="Arial" w:eastAsia="Arial" w:cs="Arial"/>
                <w:sz w:val="24"/>
                <w:szCs w:val="24"/>
                <w:lang w:val="es-PY"/>
              </w:rPr>
            </w:pPr>
          </w:p>
          <w:p w:rsidRPr="00ED4E0D" w:rsidR="00EA60D0" w:rsidP="193F3249" w:rsidRDefault="193F3249" w14:paraId="2C16E987" w14:textId="41445C91">
            <w:pPr>
              <w:jc w:val="center"/>
              <w:rPr>
                <w:rFonts w:ascii="Arial" w:hAnsi="Arial" w:eastAsia="Arial" w:cs="Arial"/>
                <w:b/>
                <w:bCs/>
                <w:sz w:val="24"/>
                <w:szCs w:val="24"/>
                <w:lang w:val="es-PY"/>
              </w:rPr>
            </w:pPr>
            <w:r w:rsidRPr="00ED4E0D">
              <w:rPr>
                <w:rFonts w:ascii="Arial" w:hAnsi="Arial" w:eastAsia="Arial" w:cs="Arial"/>
                <w:b/>
                <w:bCs/>
                <w:sz w:val="24"/>
                <w:szCs w:val="24"/>
                <w:lang w:val="es-PY"/>
              </w:rPr>
              <w:t>Por la delegación de Brasil</w:t>
            </w:r>
          </w:p>
          <w:p w:rsidRPr="00ED4E0D" w:rsidR="00EA60D0" w:rsidP="193F3249" w:rsidRDefault="193F3249" w14:paraId="0609A668" w14:textId="4C44370B">
            <w:pPr>
              <w:jc w:val="center"/>
              <w:rPr>
                <w:lang w:val="es-PY"/>
              </w:rPr>
            </w:pPr>
            <w:r w:rsidRPr="00ED4E0D">
              <w:rPr>
                <w:rFonts w:ascii="Arial" w:hAnsi="Arial" w:eastAsia="Arial" w:cs="Arial"/>
                <w:sz w:val="24"/>
                <w:szCs w:val="24"/>
                <w:lang w:val="es-PY"/>
              </w:rPr>
              <w:t>André Oliveira</w:t>
            </w:r>
          </w:p>
        </w:tc>
      </w:tr>
      <w:tr w:rsidRPr="00ED4E0D" w:rsidR="00EA60D0" w:rsidTr="193F3249" w14:paraId="1F0716AB" w14:textId="77777777">
        <w:tc>
          <w:tcPr>
            <w:tcW w:w="4419" w:type="dxa"/>
          </w:tcPr>
          <w:p w:rsidRPr="00ED4E0D" w:rsidR="00EA60D0" w:rsidRDefault="00EA60D0" w14:paraId="5BCDCDBF" w14:textId="77777777">
            <w:pPr>
              <w:jc w:val="center"/>
              <w:rPr>
                <w:rFonts w:ascii="Arial" w:hAnsi="Arial" w:eastAsia="Arial" w:cs="Arial"/>
                <w:sz w:val="24"/>
                <w:szCs w:val="24"/>
                <w:lang w:val="es-PY"/>
              </w:rPr>
            </w:pPr>
          </w:p>
          <w:p w:rsidRPr="00ED4E0D" w:rsidR="00EA60D0" w:rsidRDefault="00EA60D0" w14:paraId="015AF84D" w14:textId="77777777">
            <w:pPr>
              <w:pBdr>
                <w:bottom w:val="single" w:color="000000" w:sz="12" w:space="1"/>
              </w:pBdr>
              <w:jc w:val="center"/>
              <w:rPr>
                <w:rFonts w:ascii="Arial" w:hAnsi="Arial" w:eastAsia="Arial" w:cs="Arial"/>
                <w:sz w:val="24"/>
                <w:szCs w:val="24"/>
                <w:lang w:val="es-PY"/>
              </w:rPr>
            </w:pPr>
          </w:p>
          <w:p w:rsidRPr="00ED4E0D" w:rsidR="00EA60D0" w:rsidRDefault="00EA6A50" w14:paraId="19F44245" w14:textId="77777777">
            <w:pPr>
              <w:jc w:val="center"/>
              <w:rPr>
                <w:rFonts w:ascii="Arial" w:hAnsi="Arial" w:eastAsia="Arial" w:cs="Arial"/>
                <w:b/>
                <w:sz w:val="24"/>
                <w:szCs w:val="24"/>
                <w:lang w:val="es-PY"/>
              </w:rPr>
            </w:pPr>
            <w:r w:rsidRPr="00ED4E0D">
              <w:rPr>
                <w:rFonts w:ascii="Arial" w:hAnsi="Arial" w:eastAsia="Arial" w:cs="Arial"/>
                <w:b/>
                <w:sz w:val="24"/>
                <w:szCs w:val="24"/>
                <w:lang w:val="es-PY"/>
              </w:rPr>
              <w:t>Por la delegación de Paraguay</w:t>
            </w:r>
          </w:p>
          <w:p w:rsidRPr="00ED4E0D" w:rsidR="00EA60D0" w:rsidRDefault="00EA6A50" w14:paraId="4A9F0F8F" w14:textId="77777777">
            <w:pPr>
              <w:jc w:val="center"/>
              <w:rPr>
                <w:rFonts w:ascii="Arial" w:hAnsi="Arial" w:eastAsia="Arial" w:cs="Arial"/>
                <w:sz w:val="24"/>
                <w:szCs w:val="24"/>
                <w:lang w:val="es-PY"/>
              </w:rPr>
            </w:pPr>
            <w:r w:rsidRPr="00ED4E0D">
              <w:rPr>
                <w:rFonts w:ascii="Arial" w:hAnsi="Arial" w:eastAsia="Arial" w:cs="Arial"/>
                <w:sz w:val="24"/>
                <w:szCs w:val="24"/>
                <w:lang w:val="es-PY"/>
              </w:rPr>
              <w:t>Luis Ojeda</w:t>
            </w:r>
          </w:p>
          <w:p w:rsidRPr="00ED4E0D" w:rsidR="00EA60D0" w:rsidRDefault="00EA60D0" w14:paraId="5324B2A8" w14:textId="77777777">
            <w:pPr>
              <w:jc w:val="center"/>
              <w:rPr>
                <w:rFonts w:ascii="Arial" w:hAnsi="Arial" w:eastAsia="Arial" w:cs="Arial"/>
                <w:sz w:val="24"/>
                <w:szCs w:val="24"/>
                <w:lang w:val="es-PY"/>
              </w:rPr>
            </w:pPr>
          </w:p>
          <w:p w:rsidRPr="00ED4E0D" w:rsidR="00EA60D0" w:rsidRDefault="00EA60D0" w14:paraId="41E6C720" w14:textId="77777777">
            <w:pPr>
              <w:jc w:val="center"/>
              <w:rPr>
                <w:rFonts w:ascii="Arial" w:hAnsi="Arial" w:eastAsia="Arial" w:cs="Arial"/>
                <w:sz w:val="24"/>
                <w:szCs w:val="24"/>
                <w:lang w:val="es-PY"/>
              </w:rPr>
            </w:pPr>
          </w:p>
        </w:tc>
        <w:tc>
          <w:tcPr>
            <w:tcW w:w="4419" w:type="dxa"/>
          </w:tcPr>
          <w:p w:rsidRPr="00ED4E0D" w:rsidR="00EA60D0" w:rsidRDefault="00EA60D0" w14:paraId="4D71E646" w14:textId="77777777">
            <w:pPr>
              <w:pBdr>
                <w:bottom w:val="single" w:color="000000" w:sz="12" w:space="1"/>
              </w:pBdr>
              <w:jc w:val="center"/>
              <w:rPr>
                <w:rFonts w:ascii="Arial" w:hAnsi="Arial" w:eastAsia="Arial" w:cs="Arial"/>
                <w:sz w:val="24"/>
                <w:szCs w:val="24"/>
                <w:lang w:val="es-PY"/>
              </w:rPr>
            </w:pPr>
          </w:p>
          <w:p w:rsidRPr="00ED4E0D" w:rsidR="00EA60D0" w:rsidRDefault="00EA60D0" w14:paraId="259BE87E" w14:textId="77777777">
            <w:pPr>
              <w:pBdr>
                <w:bottom w:val="single" w:color="000000" w:sz="12" w:space="1"/>
              </w:pBdr>
              <w:jc w:val="center"/>
              <w:rPr>
                <w:rFonts w:ascii="Arial" w:hAnsi="Arial" w:eastAsia="Arial" w:cs="Arial"/>
                <w:sz w:val="24"/>
                <w:szCs w:val="24"/>
                <w:lang w:val="es-PY"/>
              </w:rPr>
            </w:pPr>
          </w:p>
          <w:p w:rsidRPr="00ED4E0D" w:rsidR="00EA60D0" w:rsidRDefault="00EA6A50" w14:paraId="6932F42D" w14:textId="77777777">
            <w:pPr>
              <w:jc w:val="center"/>
              <w:rPr>
                <w:rFonts w:ascii="Arial" w:hAnsi="Arial" w:eastAsia="Arial" w:cs="Arial"/>
                <w:b/>
                <w:sz w:val="24"/>
                <w:szCs w:val="24"/>
                <w:lang w:val="es-PY"/>
              </w:rPr>
            </w:pPr>
            <w:r w:rsidRPr="00ED4E0D">
              <w:rPr>
                <w:rFonts w:ascii="Arial" w:hAnsi="Arial" w:eastAsia="Arial" w:cs="Arial"/>
                <w:b/>
                <w:sz w:val="24"/>
                <w:szCs w:val="24"/>
                <w:lang w:val="es-PY"/>
              </w:rPr>
              <w:t>Por la delegación de Uruguay</w:t>
            </w:r>
          </w:p>
          <w:p w:rsidRPr="00ED4E0D" w:rsidR="00EA60D0" w:rsidRDefault="00EA6A50" w14:paraId="62CE4A59" w14:textId="77777777">
            <w:pPr>
              <w:jc w:val="center"/>
              <w:rPr>
                <w:rFonts w:ascii="Arial" w:hAnsi="Arial" w:eastAsia="Arial" w:cs="Arial"/>
                <w:sz w:val="24"/>
                <w:szCs w:val="24"/>
                <w:lang w:val="es-PY"/>
              </w:rPr>
            </w:pPr>
            <w:proofErr w:type="spellStart"/>
            <w:r w:rsidRPr="00ED4E0D">
              <w:rPr>
                <w:rFonts w:ascii="Arial" w:hAnsi="Arial" w:eastAsia="Arial" w:cs="Arial"/>
                <w:sz w:val="24"/>
                <w:szCs w:val="24"/>
                <w:lang w:val="es-PY"/>
              </w:rPr>
              <w:t>Sofia</w:t>
            </w:r>
            <w:proofErr w:type="spellEnd"/>
            <w:r w:rsidRPr="00ED4E0D">
              <w:rPr>
                <w:rFonts w:ascii="Arial" w:hAnsi="Arial" w:eastAsia="Arial" w:cs="Arial"/>
                <w:sz w:val="24"/>
                <w:szCs w:val="24"/>
                <w:lang w:val="es-PY"/>
              </w:rPr>
              <w:t xml:space="preserve"> </w:t>
            </w:r>
            <w:proofErr w:type="spellStart"/>
            <w:r w:rsidRPr="00ED4E0D">
              <w:rPr>
                <w:rFonts w:ascii="Arial" w:hAnsi="Arial" w:eastAsia="Arial" w:cs="Arial"/>
                <w:sz w:val="24"/>
                <w:szCs w:val="24"/>
                <w:lang w:val="es-PY"/>
              </w:rPr>
              <w:t>Tuyaré</w:t>
            </w:r>
            <w:proofErr w:type="spellEnd"/>
          </w:p>
        </w:tc>
      </w:tr>
    </w:tbl>
    <w:p w:rsidRPr="00ED4E0D" w:rsidR="00EA60D0" w:rsidP="6663D94A" w:rsidRDefault="00EA60D0" w14:paraId="2E211EDD" w14:textId="07B88FA6">
      <w:pPr>
        <w:pStyle w:val="Normal"/>
        <w:spacing w:after="0" w:line="240" w:lineRule="auto"/>
        <w:jc w:val="both"/>
        <w:rPr>
          <w:rFonts w:ascii="Arial" w:hAnsi="Arial" w:eastAsia="Arial" w:cs="Arial"/>
          <w:sz w:val="24"/>
          <w:szCs w:val="24"/>
          <w:lang w:val="es-PY"/>
        </w:rPr>
      </w:pPr>
    </w:p>
    <w:sectPr w:rsidRPr="00ED4E0D" w:rsidR="00EA60D0">
      <w:headerReference w:type="default" r:id="rId10"/>
      <w:footerReference w:type="default" r:id="rId11"/>
      <w:headerReference w:type="first" r:id="rId12"/>
      <w:footerReference w:type="first" r:id="rId13"/>
      <w:pgSz w:w="12240" w:h="15840" w:orient="portrait"/>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B6A" w:rsidRDefault="00030B6A" w14:paraId="3EDE6817" w14:textId="77777777">
      <w:pPr>
        <w:spacing w:after="0" w:line="240" w:lineRule="auto"/>
      </w:pPr>
      <w:r>
        <w:separator/>
      </w:r>
    </w:p>
  </w:endnote>
  <w:endnote w:type="continuationSeparator" w:id="0">
    <w:p w:rsidR="00030B6A" w:rsidRDefault="00030B6A" w14:paraId="7F56FA5F" w14:textId="77777777">
      <w:pPr>
        <w:spacing w:after="0" w:line="240" w:lineRule="auto"/>
      </w:pPr>
      <w:r>
        <w:continuationSeparator/>
      </w:r>
    </w:p>
  </w:endnote>
  <w:endnote w:type="continuationNotice" w:id="1">
    <w:p w:rsidR="00030B6A" w:rsidRDefault="00030B6A" w14:paraId="36D1543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60D0" w:rsidRDefault="00EA6A50" w14:paraId="461C8BDB" w14:textId="7777777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E4736">
      <w:rPr>
        <w:noProof/>
        <w:color w:val="000000"/>
      </w:rPr>
      <w:t>4</w:t>
    </w:r>
    <w:r>
      <w:rPr>
        <w:color w:val="000000"/>
      </w:rPr>
      <w:fldChar w:fldCharType="end"/>
    </w:r>
  </w:p>
  <w:p w:rsidR="00EA60D0" w:rsidRDefault="00EA60D0" w14:paraId="502E2A3F" w14:textId="7777777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60D0" w:rsidRDefault="00EA6A50" w14:paraId="2B92473C" w14:textId="7777777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E4736">
      <w:rPr>
        <w:noProof/>
        <w:color w:val="000000"/>
      </w:rPr>
      <w:t>1</w:t>
    </w:r>
    <w:r>
      <w:rPr>
        <w:color w:val="000000"/>
      </w:rPr>
      <w:fldChar w:fldCharType="end"/>
    </w:r>
  </w:p>
  <w:p w:rsidR="00EA60D0" w:rsidRDefault="00EA6A50" w14:paraId="25C397A0" w14:textId="77777777">
    <w:pPr>
      <w:tabs>
        <w:tab w:val="center" w:pos="4252"/>
        <w:tab w:val="right" w:pos="8504"/>
      </w:tabs>
      <w:spacing w:after="0" w:line="240" w:lineRule="auto"/>
      <w:jc w:val="center"/>
      <w:rPr>
        <w:rFonts w:ascii="Arial" w:hAnsi="Arial" w:eastAsia="Arial" w:cs="Arial"/>
        <w:b/>
        <w:i/>
        <w:sz w:val="16"/>
        <w:szCs w:val="16"/>
      </w:rPr>
    </w:pPr>
    <w:r>
      <w:rPr>
        <w:rFonts w:ascii="Arial" w:hAnsi="Arial" w:eastAsia="Arial" w:cs="Arial"/>
        <w:b/>
        <w:i/>
        <w:sz w:val="16"/>
        <w:szCs w:val="16"/>
      </w:rPr>
      <w:t>Secretaría del MERCOSUR</w:t>
    </w:r>
  </w:p>
  <w:p w:rsidR="00EA60D0" w:rsidRDefault="00EA6A50" w14:paraId="5B9C8BE5" w14:textId="77777777">
    <w:pPr>
      <w:tabs>
        <w:tab w:val="center" w:pos="4252"/>
        <w:tab w:val="right" w:pos="8504"/>
      </w:tabs>
      <w:spacing w:after="0" w:line="240" w:lineRule="auto"/>
      <w:jc w:val="center"/>
      <w:rPr>
        <w:rFonts w:ascii="Arial" w:hAnsi="Arial" w:eastAsia="Arial" w:cs="Arial"/>
        <w:b/>
        <w:sz w:val="16"/>
        <w:szCs w:val="16"/>
      </w:rPr>
    </w:pPr>
    <w:r>
      <w:rPr>
        <w:rFonts w:ascii="Arial" w:hAnsi="Arial" w:eastAsia="Arial" w:cs="Arial"/>
        <w:b/>
        <w:sz w:val="16"/>
        <w:szCs w:val="16"/>
      </w:rPr>
      <w:t xml:space="preserve">        Archivo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B6A" w:rsidRDefault="00030B6A" w14:paraId="0990E3CC" w14:textId="77777777">
      <w:pPr>
        <w:spacing w:after="0" w:line="240" w:lineRule="auto"/>
      </w:pPr>
      <w:r>
        <w:separator/>
      </w:r>
    </w:p>
  </w:footnote>
  <w:footnote w:type="continuationSeparator" w:id="0">
    <w:p w:rsidR="00030B6A" w:rsidRDefault="00030B6A" w14:paraId="3D86B742" w14:textId="77777777">
      <w:pPr>
        <w:spacing w:after="0" w:line="240" w:lineRule="auto"/>
      </w:pPr>
      <w:r>
        <w:continuationSeparator/>
      </w:r>
    </w:p>
  </w:footnote>
  <w:footnote w:type="continuationNotice" w:id="1">
    <w:p w:rsidR="00030B6A" w:rsidRDefault="00030B6A" w14:paraId="20B94BF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60D0" w:rsidRDefault="00EA6A50" w14:paraId="0714744E" w14:textId="77777777">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A60D0" w:rsidRDefault="00EA6A50" w14:paraId="22EE512E" w14:textId="77777777">
    <w:pPr>
      <w:pBdr>
        <w:top w:val="nil"/>
        <w:left w:val="nil"/>
        <w:bottom w:val="nil"/>
        <w:right w:val="nil"/>
        <w:between w:val="nil"/>
      </w:pBdr>
      <w:tabs>
        <w:tab w:val="center" w:pos="4252"/>
        <w:tab w:val="right" w:pos="8504"/>
      </w:tabs>
      <w:spacing w:after="0" w:line="240" w:lineRule="auto"/>
      <w:rPr>
        <w:color w:val="000000"/>
      </w:rPr>
    </w:pPr>
    <w:r>
      <w:rPr>
        <w:noProof/>
        <w:lang w:val="es-PY"/>
      </w:rPr>
      <w:drawing>
        <wp:anchor distT="0" distB="0" distL="114300" distR="114300" simplePos="0" relativeHeight="251658240" behindDoc="0" locked="0" layoutInCell="1" hidden="0" allowOverlap="1" wp14:anchorId="4AFFFF88" wp14:editId="59FACEA9">
          <wp:simplePos x="0" y="0"/>
          <wp:positionH relativeFrom="margin">
            <wp:posOffset>4545330</wp:posOffset>
          </wp:positionH>
          <wp:positionV relativeFrom="margin">
            <wp:posOffset>-696593</wp:posOffset>
          </wp:positionV>
          <wp:extent cx="1186180" cy="74803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Pr>
        <w:noProof/>
        <w:color w:val="000000"/>
        <w:lang w:val="es-PY"/>
      </w:rPr>
      <w:drawing>
        <wp:inline distT="0" distB="0" distL="0" distR="0" wp14:anchorId="05D70376" wp14:editId="24AC8615">
          <wp:extent cx="1199515" cy="76009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9515" cy="760095"/>
                  </a:xfrm>
                  <a:prstGeom prst="rect">
                    <a:avLst/>
                  </a:prstGeom>
                  <a:ln/>
                </pic:spPr>
              </pic:pic>
            </a:graphicData>
          </a:graphic>
        </wp:inline>
      </w:drawing>
    </w:r>
    <w:r>
      <w:rPr>
        <w:color w:val="000000"/>
      </w:rPr>
      <w:t xml:space="preserve">    </w:t>
    </w:r>
  </w:p>
</w:hdr>
</file>

<file path=word/intelligence2.xml><?xml version="1.0" encoding="utf-8"?>
<int2:intelligence xmlns:int2="http://schemas.microsoft.com/office/intelligence/2020/intelligence" xmlns:oel="http://schemas.microsoft.com/office/2019/extlst">
  <int2:observations>
    <int2:textHash int2:hashCode="BNbiswCRGZXvo3" int2:id="RTLKuqmx">
      <int2:state int2:type="AugLoop_Text_Critique" int2:value="Rejected"/>
    </int2:textHash>
    <int2:textHash int2:hashCode="vJbm7ZPTPGZYao" int2:id="6F5HSbyh">
      <int2:state int2:type="AugLoop_Text_Critique" int2:value="Rejected"/>
    </int2:textHash>
    <int2:textHash int2:hashCode="cEYMa6gEnXl7Ow" int2:id="iaJqMOPm">
      <int2:state int2:type="AugLoop_Text_Critique" int2:value="Rejected"/>
    </int2:textHash>
    <int2:textHash int2:hashCode="Ku7egL5vbfwKpN" int2:id="NhVIGmha">
      <int2:state int2:type="AugLoop_Text_Critique" int2:value="Rejected"/>
    </int2:textHash>
    <int2:textHash int2:hashCode="R6tqG6Q4fN0+sX" int2:id="jpftinaL">
      <int2:state int2:type="AugLoop_Text_Critique" int2:value="Rejected"/>
    </int2:textHash>
    <int2:textHash int2:hashCode="CSHFNODOtjwpJe" int2:id="eqmtHzmK">
      <int2:state int2:type="AugLoop_Text_Critique" int2:value="Rejected"/>
    </int2:textHash>
    <int2:textHash int2:hashCode="CZyBPKUaozHDSj" int2:id="Q282tBwV">
      <int2:state int2:type="AugLoop_Text_Critique" int2:value="Rejected"/>
    </int2:textHash>
    <int2:bookmark int2:bookmarkName="_Int_jD6brz2v" int2:invalidationBookmarkName="" int2:hashCode="eINi7xhRgoGpLX" int2:id="jSDJK0oO">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BA91"/>
    <w:multiLevelType w:val="hybridMultilevel"/>
    <w:tmpl w:val="FFFFFFFF"/>
    <w:lvl w:ilvl="0" w:tplc="8020E4AC">
      <w:start w:val="1"/>
      <w:numFmt w:val="bullet"/>
      <w:lvlText w:val=""/>
      <w:lvlJc w:val="left"/>
      <w:pPr>
        <w:ind w:left="720" w:hanging="360"/>
      </w:pPr>
      <w:rPr>
        <w:rFonts w:hint="default" w:ascii="Symbol" w:hAnsi="Symbol"/>
      </w:rPr>
    </w:lvl>
    <w:lvl w:ilvl="1" w:tplc="1CBEE816">
      <w:start w:val="1"/>
      <w:numFmt w:val="bullet"/>
      <w:lvlText w:val="-"/>
      <w:lvlJc w:val="left"/>
      <w:pPr>
        <w:ind w:left="1440" w:hanging="360"/>
      </w:pPr>
      <w:rPr>
        <w:rFonts w:hint="default" w:ascii="Aptos" w:hAnsi="Aptos"/>
      </w:rPr>
    </w:lvl>
    <w:lvl w:ilvl="2" w:tplc="128252EC">
      <w:start w:val="1"/>
      <w:numFmt w:val="bullet"/>
      <w:lvlText w:val=""/>
      <w:lvlJc w:val="left"/>
      <w:pPr>
        <w:ind w:left="2160" w:hanging="360"/>
      </w:pPr>
      <w:rPr>
        <w:rFonts w:hint="default" w:ascii="Wingdings" w:hAnsi="Wingdings"/>
      </w:rPr>
    </w:lvl>
    <w:lvl w:ilvl="3" w:tplc="BA62ECB2">
      <w:start w:val="1"/>
      <w:numFmt w:val="bullet"/>
      <w:lvlText w:val=""/>
      <w:lvlJc w:val="left"/>
      <w:pPr>
        <w:ind w:left="2880" w:hanging="360"/>
      </w:pPr>
      <w:rPr>
        <w:rFonts w:hint="default" w:ascii="Symbol" w:hAnsi="Symbol"/>
      </w:rPr>
    </w:lvl>
    <w:lvl w:ilvl="4" w:tplc="E8D4AFCE">
      <w:start w:val="1"/>
      <w:numFmt w:val="bullet"/>
      <w:lvlText w:val="o"/>
      <w:lvlJc w:val="left"/>
      <w:pPr>
        <w:ind w:left="3600" w:hanging="360"/>
      </w:pPr>
      <w:rPr>
        <w:rFonts w:hint="default" w:ascii="Courier New" w:hAnsi="Courier New"/>
      </w:rPr>
    </w:lvl>
    <w:lvl w:ilvl="5" w:tplc="233C27B4">
      <w:start w:val="1"/>
      <w:numFmt w:val="bullet"/>
      <w:lvlText w:val=""/>
      <w:lvlJc w:val="left"/>
      <w:pPr>
        <w:ind w:left="4320" w:hanging="360"/>
      </w:pPr>
      <w:rPr>
        <w:rFonts w:hint="default" w:ascii="Wingdings" w:hAnsi="Wingdings"/>
      </w:rPr>
    </w:lvl>
    <w:lvl w:ilvl="6" w:tplc="ADDEC244">
      <w:start w:val="1"/>
      <w:numFmt w:val="bullet"/>
      <w:lvlText w:val=""/>
      <w:lvlJc w:val="left"/>
      <w:pPr>
        <w:ind w:left="5040" w:hanging="360"/>
      </w:pPr>
      <w:rPr>
        <w:rFonts w:hint="default" w:ascii="Symbol" w:hAnsi="Symbol"/>
      </w:rPr>
    </w:lvl>
    <w:lvl w:ilvl="7" w:tplc="581223C6">
      <w:start w:val="1"/>
      <w:numFmt w:val="bullet"/>
      <w:lvlText w:val="o"/>
      <w:lvlJc w:val="left"/>
      <w:pPr>
        <w:ind w:left="5760" w:hanging="360"/>
      </w:pPr>
      <w:rPr>
        <w:rFonts w:hint="default" w:ascii="Courier New" w:hAnsi="Courier New"/>
      </w:rPr>
    </w:lvl>
    <w:lvl w:ilvl="8" w:tplc="EA344AA6">
      <w:start w:val="1"/>
      <w:numFmt w:val="bullet"/>
      <w:lvlText w:val=""/>
      <w:lvlJc w:val="left"/>
      <w:pPr>
        <w:ind w:left="6480" w:hanging="360"/>
      </w:pPr>
      <w:rPr>
        <w:rFonts w:hint="default" w:ascii="Wingdings" w:hAnsi="Wingdings"/>
      </w:rPr>
    </w:lvl>
  </w:abstractNum>
  <w:abstractNum w:abstractNumId="1" w15:restartNumberingAfterBreak="0">
    <w:nsid w:val="2C2B2A26"/>
    <w:multiLevelType w:val="multilevel"/>
    <w:tmpl w:val="7A04785C"/>
    <w:lvl w:ilvl="0">
      <w:start w:val="1"/>
      <w:numFmt w:val="decimal"/>
      <w:lvlText w:val="%1."/>
      <w:lvlJc w:val="left"/>
      <w:pPr>
        <w:ind w:left="6031"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D2C1E80"/>
    <w:multiLevelType w:val="hybridMultilevel"/>
    <w:tmpl w:val="041CEFF2"/>
    <w:lvl w:ilvl="0" w:tplc="B5E2144E">
      <w:numFmt w:val="none"/>
      <w:lvlText w:val=""/>
      <w:lvlJc w:val="left"/>
      <w:pPr>
        <w:tabs>
          <w:tab w:val="num" w:pos="360"/>
        </w:tabs>
      </w:pPr>
    </w:lvl>
    <w:lvl w:ilvl="1" w:tplc="7700BFD4">
      <w:start w:val="1"/>
      <w:numFmt w:val="lowerLetter"/>
      <w:lvlText w:val="%2."/>
      <w:lvlJc w:val="left"/>
      <w:pPr>
        <w:ind w:left="1440" w:hanging="360"/>
      </w:pPr>
    </w:lvl>
    <w:lvl w:ilvl="2" w:tplc="E18098B2">
      <w:start w:val="1"/>
      <w:numFmt w:val="lowerRoman"/>
      <w:lvlText w:val="%3."/>
      <w:lvlJc w:val="right"/>
      <w:pPr>
        <w:ind w:left="2160" w:hanging="180"/>
      </w:pPr>
    </w:lvl>
    <w:lvl w:ilvl="3" w:tplc="7A50C986">
      <w:start w:val="1"/>
      <w:numFmt w:val="decimal"/>
      <w:lvlText w:val="%4."/>
      <w:lvlJc w:val="left"/>
      <w:pPr>
        <w:ind w:left="2880" w:hanging="360"/>
      </w:pPr>
    </w:lvl>
    <w:lvl w:ilvl="4" w:tplc="A82E5F6E">
      <w:start w:val="1"/>
      <w:numFmt w:val="lowerLetter"/>
      <w:lvlText w:val="%5."/>
      <w:lvlJc w:val="left"/>
      <w:pPr>
        <w:ind w:left="3600" w:hanging="360"/>
      </w:pPr>
    </w:lvl>
    <w:lvl w:ilvl="5" w:tplc="9D900478">
      <w:start w:val="1"/>
      <w:numFmt w:val="lowerRoman"/>
      <w:lvlText w:val="%6."/>
      <w:lvlJc w:val="right"/>
      <w:pPr>
        <w:ind w:left="4320" w:hanging="180"/>
      </w:pPr>
    </w:lvl>
    <w:lvl w:ilvl="6" w:tplc="AD0E788E">
      <w:start w:val="1"/>
      <w:numFmt w:val="decimal"/>
      <w:lvlText w:val="%7."/>
      <w:lvlJc w:val="left"/>
      <w:pPr>
        <w:ind w:left="5040" w:hanging="360"/>
      </w:pPr>
    </w:lvl>
    <w:lvl w:ilvl="7" w:tplc="6F3CE6BE">
      <w:start w:val="1"/>
      <w:numFmt w:val="lowerLetter"/>
      <w:lvlText w:val="%8."/>
      <w:lvlJc w:val="left"/>
      <w:pPr>
        <w:ind w:left="5760" w:hanging="360"/>
      </w:pPr>
    </w:lvl>
    <w:lvl w:ilvl="8" w:tplc="C15679B4">
      <w:start w:val="1"/>
      <w:numFmt w:val="lowerRoman"/>
      <w:lvlText w:val="%9."/>
      <w:lvlJc w:val="right"/>
      <w:pPr>
        <w:ind w:left="6480" w:hanging="180"/>
      </w:pPr>
    </w:lvl>
  </w:abstractNum>
  <w:num w:numId="1" w16cid:durableId="2084251798">
    <w:abstractNumId w:val="0"/>
  </w:num>
  <w:num w:numId="2" w16cid:durableId="1373848286">
    <w:abstractNumId w:val="2"/>
  </w:num>
  <w:num w:numId="3" w16cid:durableId="163829135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trackRevisions w:val="tru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D0"/>
    <w:rsid w:val="0000282F"/>
    <w:rsid w:val="000272E9"/>
    <w:rsid w:val="00030B6A"/>
    <w:rsid w:val="00040F47"/>
    <w:rsid w:val="00046D76"/>
    <w:rsid w:val="00047399"/>
    <w:rsid w:val="00054903"/>
    <w:rsid w:val="00055067"/>
    <w:rsid w:val="00093DB5"/>
    <w:rsid w:val="000A2F17"/>
    <w:rsid w:val="000A596A"/>
    <w:rsid w:val="000D5770"/>
    <w:rsid w:val="000D7FC1"/>
    <w:rsid w:val="000E4ABD"/>
    <w:rsid w:val="000F2360"/>
    <w:rsid w:val="00100201"/>
    <w:rsid w:val="00111F55"/>
    <w:rsid w:val="00122674"/>
    <w:rsid w:val="00125A07"/>
    <w:rsid w:val="001467BA"/>
    <w:rsid w:val="001508D0"/>
    <w:rsid w:val="001515BE"/>
    <w:rsid w:val="001557CD"/>
    <w:rsid w:val="00175FD9"/>
    <w:rsid w:val="00180161"/>
    <w:rsid w:val="00181D3E"/>
    <w:rsid w:val="001C3B63"/>
    <w:rsid w:val="001E340E"/>
    <w:rsid w:val="001E682C"/>
    <w:rsid w:val="002023F0"/>
    <w:rsid w:val="00264A75"/>
    <w:rsid w:val="0027073C"/>
    <w:rsid w:val="00284138"/>
    <w:rsid w:val="00290929"/>
    <w:rsid w:val="002B0820"/>
    <w:rsid w:val="002B5C43"/>
    <w:rsid w:val="002B68E8"/>
    <w:rsid w:val="002D1E05"/>
    <w:rsid w:val="002F32D2"/>
    <w:rsid w:val="003641B1"/>
    <w:rsid w:val="00380A61"/>
    <w:rsid w:val="0038177D"/>
    <w:rsid w:val="00381B0D"/>
    <w:rsid w:val="00382485"/>
    <w:rsid w:val="003C5533"/>
    <w:rsid w:val="003C6A26"/>
    <w:rsid w:val="003D112E"/>
    <w:rsid w:val="003D33C0"/>
    <w:rsid w:val="003E54C9"/>
    <w:rsid w:val="003F1048"/>
    <w:rsid w:val="00415D4D"/>
    <w:rsid w:val="004223DB"/>
    <w:rsid w:val="00427A39"/>
    <w:rsid w:val="004522EF"/>
    <w:rsid w:val="004F1C18"/>
    <w:rsid w:val="004F5218"/>
    <w:rsid w:val="00504660"/>
    <w:rsid w:val="005140A2"/>
    <w:rsid w:val="00556222"/>
    <w:rsid w:val="00564A76"/>
    <w:rsid w:val="00571D49"/>
    <w:rsid w:val="005949A0"/>
    <w:rsid w:val="005B07A0"/>
    <w:rsid w:val="005B49BE"/>
    <w:rsid w:val="00611F36"/>
    <w:rsid w:val="006564EF"/>
    <w:rsid w:val="006729BB"/>
    <w:rsid w:val="006B5FF9"/>
    <w:rsid w:val="006E40A7"/>
    <w:rsid w:val="006F68BF"/>
    <w:rsid w:val="007159DF"/>
    <w:rsid w:val="00717FBD"/>
    <w:rsid w:val="00733BDA"/>
    <w:rsid w:val="00734EB8"/>
    <w:rsid w:val="007830A0"/>
    <w:rsid w:val="00783E1B"/>
    <w:rsid w:val="007A575A"/>
    <w:rsid w:val="007C6225"/>
    <w:rsid w:val="00812D10"/>
    <w:rsid w:val="00822792"/>
    <w:rsid w:val="00822BB6"/>
    <w:rsid w:val="008328CE"/>
    <w:rsid w:val="00833C3F"/>
    <w:rsid w:val="008400CA"/>
    <w:rsid w:val="00844B4F"/>
    <w:rsid w:val="008542FD"/>
    <w:rsid w:val="00893A5E"/>
    <w:rsid w:val="00894DCB"/>
    <w:rsid w:val="008B6F73"/>
    <w:rsid w:val="008C0FD7"/>
    <w:rsid w:val="008C1CA2"/>
    <w:rsid w:val="008C498E"/>
    <w:rsid w:val="008F48BE"/>
    <w:rsid w:val="00912C9E"/>
    <w:rsid w:val="009205B2"/>
    <w:rsid w:val="009374A3"/>
    <w:rsid w:val="00941B42"/>
    <w:rsid w:val="00966EB4"/>
    <w:rsid w:val="00971420"/>
    <w:rsid w:val="00983B40"/>
    <w:rsid w:val="0098530A"/>
    <w:rsid w:val="0099567C"/>
    <w:rsid w:val="009D5AB6"/>
    <w:rsid w:val="009E63C8"/>
    <w:rsid w:val="00A14A30"/>
    <w:rsid w:val="00A25AF2"/>
    <w:rsid w:val="00A5188A"/>
    <w:rsid w:val="00A57D69"/>
    <w:rsid w:val="00A62698"/>
    <w:rsid w:val="00A8087E"/>
    <w:rsid w:val="00A8516E"/>
    <w:rsid w:val="00A904DC"/>
    <w:rsid w:val="00AA2796"/>
    <w:rsid w:val="00AB7DD6"/>
    <w:rsid w:val="00AD29F9"/>
    <w:rsid w:val="00AE6332"/>
    <w:rsid w:val="00B019FD"/>
    <w:rsid w:val="00B2075D"/>
    <w:rsid w:val="00B30FB9"/>
    <w:rsid w:val="00B321B1"/>
    <w:rsid w:val="00B5066D"/>
    <w:rsid w:val="00B66CD5"/>
    <w:rsid w:val="00BB359D"/>
    <w:rsid w:val="00BD67AC"/>
    <w:rsid w:val="00BE5E02"/>
    <w:rsid w:val="00BF2B50"/>
    <w:rsid w:val="00C05279"/>
    <w:rsid w:val="00C0718C"/>
    <w:rsid w:val="00C25E8F"/>
    <w:rsid w:val="00C5170B"/>
    <w:rsid w:val="00C64403"/>
    <w:rsid w:val="00C80589"/>
    <w:rsid w:val="00C83843"/>
    <w:rsid w:val="00C85E28"/>
    <w:rsid w:val="00CA548D"/>
    <w:rsid w:val="00CD10AA"/>
    <w:rsid w:val="00CD49E2"/>
    <w:rsid w:val="00CE711B"/>
    <w:rsid w:val="00CF1DD0"/>
    <w:rsid w:val="00CF78C8"/>
    <w:rsid w:val="00D13046"/>
    <w:rsid w:val="00D23928"/>
    <w:rsid w:val="00D35AD7"/>
    <w:rsid w:val="00D37842"/>
    <w:rsid w:val="00D415FE"/>
    <w:rsid w:val="00D63C20"/>
    <w:rsid w:val="00D743AF"/>
    <w:rsid w:val="00D84DD6"/>
    <w:rsid w:val="00DA71F4"/>
    <w:rsid w:val="00DB24F3"/>
    <w:rsid w:val="00DD0F28"/>
    <w:rsid w:val="00E25387"/>
    <w:rsid w:val="00E37A42"/>
    <w:rsid w:val="00E73596"/>
    <w:rsid w:val="00EA60D0"/>
    <w:rsid w:val="00EA6A50"/>
    <w:rsid w:val="00EC2692"/>
    <w:rsid w:val="00ED4E0D"/>
    <w:rsid w:val="00EE4736"/>
    <w:rsid w:val="00F01428"/>
    <w:rsid w:val="00F02012"/>
    <w:rsid w:val="00F158D3"/>
    <w:rsid w:val="00F16A89"/>
    <w:rsid w:val="00F179E3"/>
    <w:rsid w:val="00F2073C"/>
    <w:rsid w:val="00F3112F"/>
    <w:rsid w:val="00F40A9F"/>
    <w:rsid w:val="00F70DAE"/>
    <w:rsid w:val="00F71053"/>
    <w:rsid w:val="00FC147A"/>
    <w:rsid w:val="00FC1834"/>
    <w:rsid w:val="00FC1EB8"/>
    <w:rsid w:val="00FC49DF"/>
    <w:rsid w:val="00FC4B55"/>
    <w:rsid w:val="00FD40EE"/>
    <w:rsid w:val="00FE2B15"/>
    <w:rsid w:val="01ECDEAA"/>
    <w:rsid w:val="04809C7C"/>
    <w:rsid w:val="05FCA12D"/>
    <w:rsid w:val="15E277E4"/>
    <w:rsid w:val="193F3249"/>
    <w:rsid w:val="1D01380E"/>
    <w:rsid w:val="274A0DB3"/>
    <w:rsid w:val="37D857A4"/>
    <w:rsid w:val="4B5174EF"/>
    <w:rsid w:val="6663D94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1C61"/>
  <w15:docId w15:val="{46A61174-BDEA-4627-82D9-6737E152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UY" w:eastAsia="es-PY"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style>
  <w:style w:type="paragraph" w:styleId="Ttulo1">
    <w:name w:val="heading 1"/>
    <w:basedOn w:val="Normal"/>
    <w:next w:val="Normal"/>
    <w:link w:val="Ttulo1Car"/>
    <w:uiPriority w:val="9"/>
    <w:qFormat/>
    <w:rsid w:val="007F5EA0"/>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Revisin">
    <w:name w:val="Revision"/>
    <w:hidden/>
    <w:uiPriority w:val="99"/>
    <w:semiHidden/>
    <w:rsid w:val="009374A3"/>
    <w:pPr>
      <w:widowControl/>
      <w:spacing w:after="0" w:line="240" w:lineRule="auto"/>
    </w:pPr>
  </w:style>
  <w:style w:type="paragraph" w:styleId="Textodeglobo">
    <w:name w:val="Balloon Text"/>
    <w:basedOn w:val="Normal"/>
    <w:link w:val="TextodegloboCar"/>
    <w:uiPriority w:val="99"/>
    <w:semiHidden/>
    <w:unhideWhenUsed/>
    <w:rsid w:val="00C26096"/>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C26096"/>
    <w:rPr>
      <w:rFonts w:ascii="Tahoma" w:hAnsi="Tahoma" w:cs="Tahoma"/>
      <w:sz w:val="16"/>
      <w:szCs w:val="16"/>
    </w:rPr>
  </w:style>
  <w:style w:type="paragraph" w:styleId="Prrafodelista">
    <w:name w:val="List Paragraph"/>
    <w:basedOn w:val="Normal"/>
    <w:uiPriority w:val="34"/>
    <w:qFormat/>
    <w:rsid w:val="007F5FCB"/>
    <w:pPr>
      <w:ind w:left="720"/>
      <w:contextualSpacing/>
    </w:pPr>
  </w:style>
  <w:style w:type="paragraph" w:styleId="Encabezado">
    <w:name w:val="header"/>
    <w:basedOn w:val="Normal"/>
    <w:link w:val="EncabezadoCar"/>
    <w:uiPriority w:val="99"/>
    <w:unhideWhenUsed/>
    <w:rsid w:val="001B2A6B"/>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A6B"/>
  </w:style>
  <w:style w:type="paragraph" w:styleId="Piedepgina">
    <w:name w:val="footer"/>
    <w:basedOn w:val="Normal"/>
    <w:link w:val="PiedepginaCar"/>
    <w:uiPriority w:val="99"/>
    <w:unhideWhenUsed/>
    <w:rsid w:val="001B2A6B"/>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A6B"/>
  </w:style>
  <w:style w:type="paragraph" w:styleId="Textonotaalfinal">
    <w:name w:val="endnote text"/>
    <w:basedOn w:val="Normal"/>
    <w:link w:val="TextonotaalfinalCar"/>
    <w:uiPriority w:val="99"/>
    <w:semiHidden/>
    <w:unhideWhenUsed/>
    <w:rsid w:val="003D4144"/>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3D4144"/>
    <w:rPr>
      <w:sz w:val="20"/>
      <w:szCs w:val="20"/>
    </w:rPr>
  </w:style>
  <w:style w:type="character" w:styleId="Refdenotaalfinal">
    <w:name w:val="endnote reference"/>
    <w:basedOn w:val="Fuentedeprrafopredeter"/>
    <w:uiPriority w:val="99"/>
    <w:semiHidden/>
    <w:unhideWhenUsed/>
    <w:rsid w:val="003D4144"/>
    <w:rPr>
      <w:vertAlign w:val="superscript"/>
    </w:rPr>
  </w:style>
  <w:style w:type="paragraph" w:styleId="Textonotapie">
    <w:name w:val="footnote text"/>
    <w:basedOn w:val="Normal"/>
    <w:link w:val="TextonotapieCar"/>
    <w:uiPriority w:val="99"/>
    <w:semiHidden/>
    <w:unhideWhenUsed/>
    <w:rsid w:val="00660646"/>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660646"/>
    <w:rPr>
      <w:sz w:val="20"/>
      <w:szCs w:val="20"/>
    </w:rPr>
  </w:style>
  <w:style w:type="character" w:styleId="Refdenotaalpie">
    <w:name w:val="footnote reference"/>
    <w:basedOn w:val="Fuentedeprrafopredeter"/>
    <w:uiPriority w:val="99"/>
    <w:semiHidden/>
    <w:unhideWhenUsed/>
    <w:rsid w:val="00660646"/>
    <w:rPr>
      <w:vertAlign w:val="superscript"/>
    </w:rPr>
  </w:style>
  <w:style w:type="table" w:styleId="Tablaconcuadrcula">
    <w:name w:val="Table Grid"/>
    <w:basedOn w:val="Tablanormal"/>
    <w:uiPriority w:val="59"/>
    <w:rsid w:val="00B5075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C37D3A"/>
    <w:pPr>
      <w:widowControl/>
      <w:spacing w:before="100" w:beforeAutospacing="1" w:after="100" w:afterAutospacing="1" w:line="240" w:lineRule="auto"/>
    </w:pPr>
    <w:rPr>
      <w:rFonts w:ascii="Times New Roman" w:hAnsi="Times New Roman" w:eastAsia="Times New Roman" w:cs="Times New Roman"/>
      <w:sz w:val="24"/>
      <w:szCs w:val="24"/>
      <w:lang w:eastAsia="es-UY"/>
    </w:rPr>
  </w:style>
  <w:style w:type="character" w:styleId="Ttulo1Car" w:customStyle="1">
    <w:name w:val="Título 1 Car"/>
    <w:basedOn w:val="Fuentedeprrafopredeter"/>
    <w:link w:val="Ttulo1"/>
    <w:uiPriority w:val="9"/>
    <w:rsid w:val="007F5EA0"/>
    <w:rPr>
      <w:rFonts w:asciiTheme="majorHAnsi" w:hAnsiTheme="majorHAnsi" w:eastAsiaTheme="majorEastAsia" w:cstheme="majorBidi"/>
      <w:color w:val="365F91" w:themeColor="accent1" w:themeShade="BF"/>
      <w:sz w:val="32"/>
      <w:szCs w:val="32"/>
      <w:lang w:val="es-UY"/>
    </w:r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anormal"/>
    <w:tblPr>
      <w:tblStyleRowBandSize w:val="1"/>
      <w:tblStyleColBandSize w:val="1"/>
      <w:tblCellMar>
        <w:left w:w="115" w:type="dxa"/>
        <w:right w:w="115" w:type="dxa"/>
      </w:tblCellMar>
    </w:tblPr>
  </w:style>
  <w:style w:type="table" w:styleId="a0" w:customStyle="1">
    <w:basedOn w:val="Tablanormal"/>
    <w:pPr>
      <w:spacing w:after="0" w:line="240" w:lineRule="auto"/>
    </w:pPr>
    <w:tblPr>
      <w:tblStyleRowBandSize w:val="1"/>
      <w:tblStyleColBandSize w:val="1"/>
    </w:tblPr>
  </w:style>
  <w:style w:type="table" w:styleId="a1" w:customStyle="1">
    <w:basedOn w:val="Tablanormal"/>
    <w:pPr>
      <w:spacing w:after="0" w:line="240" w:lineRule="auto"/>
    </w:pPr>
    <w:tblPr>
      <w:tblStyleRowBandSize w:val="1"/>
      <w:tblStyleColBandSize w:val="1"/>
      <w:tblInd w:w="0" w:type="nil"/>
    </w:tblPr>
  </w:style>
  <w:style w:type="table" w:styleId="a2" w:customStyle="1">
    <w:basedOn w:val="Tablanormal"/>
    <w:pPr>
      <w:spacing w:after="0" w:line="240" w:lineRule="auto"/>
    </w:pPr>
    <w:tblPr>
      <w:tblStyleRowBandSize w:val="1"/>
      <w:tblStyleColBandSize w:val="1"/>
      <w:tblInd w:w="0" w:type="nil"/>
    </w:tblPr>
  </w:style>
  <w:style w:type="character" w:styleId="Hipervnculo">
    <w:name w:val="Hyperlink"/>
    <w:basedOn w:val="Fuentedeprrafopredeter"/>
    <w:uiPriority w:val="99"/>
    <w:unhideWhenUsed/>
    <w:rsid w:val="003D112E"/>
    <w:rPr>
      <w:color w:val="0000FF" w:themeColor="hyperlink"/>
      <w:u w:val="single"/>
    </w:rPr>
  </w:style>
  <w:style w:type="character" w:styleId="Mencinsinresolver">
    <w:name w:val="Unresolved Mention"/>
    <w:basedOn w:val="Fuentedeprrafopredeter"/>
    <w:uiPriority w:val="99"/>
    <w:semiHidden/>
    <w:unhideWhenUsed/>
    <w:rsid w:val="003D112E"/>
    <w:rPr>
      <w:color w:val="605E5C"/>
      <w:shd w:val="clear" w:color="auto" w:fill="E1DFDD"/>
    </w:rPr>
  </w:style>
  <w:style w:type="character" w:styleId="Hipervnculovisitado">
    <w:name w:val="FollowedHyperlink"/>
    <w:basedOn w:val="Fuentedeprrafopredeter"/>
    <w:uiPriority w:val="99"/>
    <w:semiHidden/>
    <w:unhideWhenUsed/>
    <w:rsid w:val="00DD0F28"/>
    <w:rPr>
      <w:color w:val="800080" w:themeColor="followedHyperlink"/>
      <w:u w:val="single"/>
    </w:rPr>
  </w:style>
  <w:style w:type="table" w:styleId="TableNormal1" w:customStyle="1">
    <w:name w:val="Table Normal1"/>
    <w:rsid w:val="009374A3"/>
    <w:tblPr>
      <w:tblCellMar>
        <w:top w:w="0" w:type="dxa"/>
        <w:left w:w="0" w:type="dxa"/>
        <w:bottom w:w="0" w:type="dxa"/>
        <w:right w:w="0" w:type="dxa"/>
      </w:tblCellMar>
    </w:tblPr>
  </w:style>
  <w:style w:type="table" w:styleId="TableNormal2" w:customStyle="1">
    <w:name w:val="Table Normal2"/>
    <w:rsid w:val="009374A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11/relationships/people" Target="peop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nube.mercosur.int/index.php/s/VFr32dyB9vNZZul" TargetMode="Externa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D1emTi32IW1HS4nrm7UqiPxGMw==">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507CA55A-CE17-4445-AEFC-7D0D4701FE71}">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María Tornero</dc:creator>
  <lastModifiedBy>Luis Alberto Ojeda Adlán</lastModifiedBy>
  <revision>167</revision>
  <lastPrinted>2022-06-01T16:05:00.0000000Z</lastPrinted>
  <dcterms:created xsi:type="dcterms:W3CDTF">2022-06-01T16:03:00.0000000Z</dcterms:created>
  <dcterms:modified xsi:type="dcterms:W3CDTF">2024-05-14T17:47:49.9392189Z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LastSaved">
    <vt:filetime>2021-04-22T00:00:00Z</vt:filetime>
  </property>
  <property fmtid="{D5CDD505-2E9C-101B-9397-08002B2CF9AE}" pid="4" name="ContentTypeId">
    <vt:lpwstr>0x01010003087B7EF5D06C4EAC137BAA348B59AE</vt:lpwstr>
  </property>
</Properties>
</file>