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FFFC" w14:textId="77777777" w:rsidR="00B420B6" w:rsidRDefault="00B420B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B59476E" w14:textId="6BD9D1F0" w:rsidR="00B420B6" w:rsidRDefault="002D733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MINUTA</w:t>
      </w:r>
      <w:r w:rsidR="001463A1">
        <w:rPr>
          <w:rFonts w:ascii="Arial" w:eastAsia="Arial" w:hAnsi="Arial" w:cs="Arial"/>
          <w:b/>
          <w:sz w:val="24"/>
          <w:szCs w:val="24"/>
        </w:rPr>
        <w:t xml:space="preserve"> DE LA REUNIÓN N</w:t>
      </w:r>
      <w:r w:rsidR="009F7754">
        <w:rPr>
          <w:rFonts w:ascii="Arial" w:eastAsia="Arial" w:hAnsi="Arial" w:cs="Arial"/>
          <w:b/>
          <w:sz w:val="24"/>
          <w:szCs w:val="24"/>
        </w:rPr>
        <w:t xml:space="preserve">° </w:t>
      </w:r>
      <w:r w:rsidR="009C6E84">
        <w:rPr>
          <w:rFonts w:ascii="Arial" w:eastAsia="Arial" w:hAnsi="Arial" w:cs="Arial"/>
          <w:b/>
          <w:sz w:val="24"/>
          <w:szCs w:val="24"/>
        </w:rPr>
        <w:t>18</w:t>
      </w:r>
      <w:r w:rsidR="001463A1">
        <w:rPr>
          <w:rFonts w:ascii="Arial" w:eastAsia="Arial" w:hAnsi="Arial" w:cs="Arial"/>
          <w:b/>
          <w:sz w:val="24"/>
          <w:szCs w:val="24"/>
        </w:rPr>
        <w:t xml:space="preserve"> DEL GRUPO AD HOC VUCE DEL MERCOSUR</w:t>
      </w:r>
    </w:p>
    <w:p w14:paraId="3B161B7B" w14:textId="77777777" w:rsidR="00B420B6" w:rsidRDefault="00B420B6" w:rsidP="00D241DC">
      <w:pPr>
        <w:pStyle w:val="Sinespaciado"/>
      </w:pPr>
    </w:p>
    <w:p w14:paraId="5A291353" w14:textId="6319F5BC" w:rsidR="00B420B6" w:rsidRDefault="001463A1" w:rsidP="006E046B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ejercicio de la Presidencia </w:t>
      </w:r>
      <w:r>
        <w:rPr>
          <w:rFonts w:ascii="Arial" w:eastAsia="Arial" w:hAnsi="Arial" w:cs="Arial"/>
          <w:i/>
          <w:sz w:val="24"/>
          <w:szCs w:val="24"/>
        </w:rPr>
        <w:t>Pro Tempore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F7754">
        <w:rPr>
          <w:rFonts w:ascii="Arial" w:eastAsia="Arial" w:hAnsi="Arial" w:cs="Arial"/>
          <w:sz w:val="24"/>
          <w:szCs w:val="24"/>
        </w:rPr>
        <w:t>Paraguaya</w:t>
      </w:r>
      <w:r>
        <w:rPr>
          <w:rFonts w:ascii="Arial" w:eastAsia="Arial" w:hAnsi="Arial" w:cs="Arial"/>
          <w:sz w:val="24"/>
          <w:szCs w:val="24"/>
        </w:rPr>
        <w:t xml:space="preserve"> (PPT</w:t>
      </w:r>
      <w:r w:rsidR="009F7754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), el día </w:t>
      </w:r>
      <w:r w:rsidR="002D733A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D733A">
        <w:rPr>
          <w:rFonts w:ascii="Arial" w:eastAsia="Arial" w:hAnsi="Arial" w:cs="Arial"/>
          <w:sz w:val="24"/>
          <w:szCs w:val="24"/>
        </w:rPr>
        <w:t>febrero</w:t>
      </w:r>
      <w:r>
        <w:rPr>
          <w:rFonts w:ascii="Arial" w:eastAsia="Arial" w:hAnsi="Arial" w:cs="Arial"/>
          <w:sz w:val="24"/>
          <w:szCs w:val="24"/>
        </w:rPr>
        <w:t xml:space="preserve"> del 20</w:t>
      </w:r>
      <w:r w:rsidR="009F7754">
        <w:rPr>
          <w:rFonts w:ascii="Arial" w:eastAsia="Arial" w:hAnsi="Arial" w:cs="Arial"/>
          <w:sz w:val="24"/>
          <w:szCs w:val="24"/>
        </w:rPr>
        <w:t>2</w:t>
      </w:r>
      <w:r w:rsidR="002D733A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a las </w:t>
      </w:r>
      <w:r w:rsidR="00BE7585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:00 h</w:t>
      </w:r>
      <w:r w:rsidR="00852D96">
        <w:rPr>
          <w:rFonts w:ascii="Arial" w:eastAsia="Arial" w:hAnsi="Arial" w:cs="Arial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 xml:space="preserve">s, se realizó por medio del sistema de videoconferencia, conforme a lo establecido en la Resolución GMC Nº 19/12, la </w:t>
      </w:r>
      <w:r w:rsidR="009F7754">
        <w:rPr>
          <w:rFonts w:ascii="Arial" w:eastAsia="Arial" w:hAnsi="Arial" w:cs="Arial"/>
          <w:sz w:val="24"/>
          <w:szCs w:val="24"/>
        </w:rPr>
        <w:t>séptima</w:t>
      </w:r>
      <w:r>
        <w:rPr>
          <w:rFonts w:ascii="Arial" w:eastAsia="Arial" w:hAnsi="Arial" w:cs="Arial"/>
          <w:sz w:val="24"/>
          <w:szCs w:val="24"/>
        </w:rPr>
        <w:t xml:space="preserve"> Reunión del Grupo Ad Hoc de las Ventanillas Únicas de Comercio Exterior, en el marco del Comité Técnico número 2 “Asuntos Aduaneros y Facilitación del Comercio” del MERCOSUR con la participación de las delegaciones de Argentina, Brasil, Paraguay y Uruguay.</w:t>
      </w:r>
    </w:p>
    <w:p w14:paraId="74D74897" w14:textId="77777777" w:rsidR="00B420B6" w:rsidRDefault="00B420B6" w:rsidP="006E046B">
      <w:pPr>
        <w:pStyle w:val="Sinespaciado"/>
        <w:spacing w:line="276" w:lineRule="auto"/>
      </w:pPr>
    </w:p>
    <w:p w14:paraId="0208C936" w14:textId="71788294" w:rsidR="00B420B6" w:rsidRDefault="001463A1" w:rsidP="006E046B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Lista de Participantes consta como</w:t>
      </w:r>
      <w:r>
        <w:rPr>
          <w:rFonts w:ascii="Arial" w:eastAsia="Arial" w:hAnsi="Arial" w:cs="Arial"/>
          <w:b/>
          <w:sz w:val="24"/>
          <w:szCs w:val="24"/>
        </w:rPr>
        <w:t xml:space="preserve"> ANEXO I.</w:t>
      </w:r>
    </w:p>
    <w:p w14:paraId="37366426" w14:textId="3CACCD5D" w:rsidR="00371932" w:rsidRDefault="00371932" w:rsidP="006E046B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4F2E2B" w14:textId="4D44F222" w:rsidR="00371932" w:rsidRDefault="00371932" w:rsidP="006E046B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r w:rsidR="000B743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genda propuesta consta como </w:t>
      </w:r>
      <w:r w:rsidRPr="00371932">
        <w:rPr>
          <w:rFonts w:ascii="Arial" w:eastAsia="Arial" w:hAnsi="Arial" w:cs="Arial"/>
          <w:b/>
          <w:sz w:val="24"/>
          <w:szCs w:val="24"/>
        </w:rPr>
        <w:t>ANEXO II.</w:t>
      </w:r>
    </w:p>
    <w:p w14:paraId="6909E9D3" w14:textId="3C5C3DF0" w:rsidR="00D52566" w:rsidRDefault="00D52566" w:rsidP="006E046B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C0E473" w14:textId="2BD46A77" w:rsidR="00D52566" w:rsidRDefault="00D52566" w:rsidP="006E0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2566">
        <w:rPr>
          <w:rFonts w:ascii="Arial" w:eastAsia="Arial" w:hAnsi="Arial" w:cs="Arial"/>
          <w:sz w:val="24"/>
          <w:szCs w:val="24"/>
        </w:rPr>
        <w:t xml:space="preserve">El documento de </w:t>
      </w:r>
      <w:r w:rsidRPr="00D52566">
        <w:rPr>
          <w:rFonts w:ascii="Arial" w:hAnsi="Arial" w:cs="Arial"/>
          <w:sz w:val="24"/>
          <w:szCs w:val="24"/>
        </w:rPr>
        <w:t>relevamiento del estado de los elementos interoperables en las VUCE de los Estados Partes</w:t>
      </w:r>
      <w:r>
        <w:rPr>
          <w:rFonts w:ascii="Arial" w:hAnsi="Arial" w:cs="Arial"/>
          <w:sz w:val="24"/>
          <w:szCs w:val="24"/>
        </w:rPr>
        <w:t xml:space="preserve"> consta como </w:t>
      </w:r>
      <w:r w:rsidRPr="00D52566">
        <w:rPr>
          <w:rFonts w:ascii="Arial" w:hAnsi="Arial" w:cs="Arial"/>
          <w:b/>
          <w:sz w:val="24"/>
          <w:szCs w:val="24"/>
        </w:rPr>
        <w:t>ANEXO III</w:t>
      </w:r>
      <w:r>
        <w:rPr>
          <w:rFonts w:ascii="Arial" w:hAnsi="Arial" w:cs="Arial"/>
          <w:sz w:val="24"/>
          <w:szCs w:val="24"/>
        </w:rPr>
        <w:t>.</w:t>
      </w:r>
    </w:p>
    <w:p w14:paraId="261BD5F0" w14:textId="77777777" w:rsidR="00B420B6" w:rsidRDefault="00B420B6" w:rsidP="00D241DC">
      <w:pPr>
        <w:pStyle w:val="Sinespaciado"/>
      </w:pPr>
    </w:p>
    <w:p w14:paraId="4612DFC1" w14:textId="6FE3BBED" w:rsidR="009719FC" w:rsidRDefault="009719FC" w:rsidP="00371932">
      <w:pPr>
        <w:spacing w:before="24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719FC">
        <w:rPr>
          <w:rFonts w:ascii="Arial" w:eastAsia="Arial" w:hAnsi="Arial" w:cs="Arial"/>
          <w:sz w:val="24"/>
          <w:szCs w:val="24"/>
        </w:rPr>
        <w:t xml:space="preserve">Se dio la bienvenida a todos los participantes en la primera reunión ordinaria del grupo, bajo la </w:t>
      </w:r>
      <w:r w:rsidR="00BC2B5D">
        <w:rPr>
          <w:rFonts w:ascii="Arial" w:eastAsia="Arial" w:hAnsi="Arial" w:cs="Arial"/>
          <w:sz w:val="24"/>
          <w:szCs w:val="24"/>
        </w:rPr>
        <w:t>P</w:t>
      </w:r>
      <w:r w:rsidRPr="009719FC">
        <w:rPr>
          <w:rFonts w:ascii="Arial" w:eastAsia="Arial" w:hAnsi="Arial" w:cs="Arial"/>
          <w:sz w:val="24"/>
          <w:szCs w:val="24"/>
        </w:rPr>
        <w:t xml:space="preserve">residencia </w:t>
      </w:r>
      <w:r w:rsidR="00BC2B5D">
        <w:rPr>
          <w:rFonts w:ascii="Arial" w:eastAsia="Arial" w:hAnsi="Arial" w:cs="Arial"/>
          <w:sz w:val="24"/>
          <w:szCs w:val="24"/>
        </w:rPr>
        <w:t>P</w:t>
      </w:r>
      <w:r w:rsidR="00BC2B5D" w:rsidRPr="009719FC">
        <w:rPr>
          <w:rFonts w:ascii="Arial" w:eastAsia="Arial" w:hAnsi="Arial" w:cs="Arial"/>
          <w:sz w:val="24"/>
          <w:szCs w:val="24"/>
        </w:rPr>
        <w:t xml:space="preserve">ro </w:t>
      </w:r>
      <w:r w:rsidR="00BC2B5D">
        <w:rPr>
          <w:rFonts w:ascii="Arial" w:eastAsia="Arial" w:hAnsi="Arial" w:cs="Arial"/>
          <w:sz w:val="24"/>
          <w:szCs w:val="24"/>
        </w:rPr>
        <w:t>T</w:t>
      </w:r>
      <w:r w:rsidR="00BC2B5D" w:rsidRPr="009719FC">
        <w:rPr>
          <w:rFonts w:ascii="Arial" w:eastAsia="Arial" w:hAnsi="Arial" w:cs="Arial"/>
          <w:sz w:val="24"/>
          <w:szCs w:val="24"/>
        </w:rPr>
        <w:t>empore</w:t>
      </w:r>
      <w:r w:rsidRPr="009719FC">
        <w:rPr>
          <w:rFonts w:ascii="Arial" w:eastAsia="Arial" w:hAnsi="Arial" w:cs="Arial"/>
          <w:sz w:val="24"/>
          <w:szCs w:val="24"/>
        </w:rPr>
        <w:t xml:space="preserve"> de Paraguay. Se destacó la importancia del trabajo del Grupo de Trabajo, en apoyo a las tareas del CT N° 2, especialmente en la articulación de la Ventanilla Única de Comerio Exterior (VUCE) y su impacto en los diferentes ámbitos regulatorios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1463A1">
        <w:rPr>
          <w:rFonts w:ascii="Arial" w:eastAsia="Arial" w:hAnsi="Arial" w:cs="Arial"/>
          <w:sz w:val="24"/>
          <w:szCs w:val="24"/>
        </w:rPr>
        <w:t xml:space="preserve">Al inicio de la reunión la delegación de </w:t>
      </w:r>
      <w:r w:rsidR="00371932">
        <w:rPr>
          <w:rFonts w:ascii="Arial" w:eastAsia="Arial" w:hAnsi="Arial" w:cs="Arial"/>
          <w:sz w:val="24"/>
          <w:szCs w:val="24"/>
        </w:rPr>
        <w:t>Paraguay agradece la participación de las delegaciones a la primera reunión del GAHVM de la PPTP y pone a consideración la agenda de trabajo</w:t>
      </w:r>
      <w:r w:rsidR="009C7824">
        <w:rPr>
          <w:rFonts w:ascii="Arial" w:eastAsia="Arial" w:hAnsi="Arial" w:cs="Arial"/>
          <w:sz w:val="24"/>
          <w:szCs w:val="24"/>
        </w:rPr>
        <w:t>, que fue aprobada por todas las delegaciones.</w:t>
      </w:r>
    </w:p>
    <w:p w14:paraId="0C603459" w14:textId="77777777" w:rsidR="00371932" w:rsidRDefault="00371932" w:rsidP="00D241DC">
      <w:pPr>
        <w:pStyle w:val="Sinespaciado"/>
      </w:pPr>
    </w:p>
    <w:p w14:paraId="15B68F8B" w14:textId="5D31355C" w:rsidR="00371932" w:rsidRPr="00371932" w:rsidRDefault="00371932" w:rsidP="0037193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la reunión las delegaciones trataron los siguientes temas:</w:t>
      </w:r>
    </w:p>
    <w:p w14:paraId="3D51F0B6" w14:textId="6D908147" w:rsidR="000B7432" w:rsidRPr="000831CD" w:rsidRDefault="000831CD" w:rsidP="000831C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7432">
        <w:rPr>
          <w:rFonts w:ascii="Arial" w:hAnsi="Arial" w:cs="Arial"/>
          <w:b/>
          <w:sz w:val="24"/>
          <w:szCs w:val="24"/>
        </w:rPr>
        <w:t>Perfeccionamiento y actualización del documento de relevamiento del estado de los elementos interoperables en las VUCE</w:t>
      </w:r>
      <w:r>
        <w:rPr>
          <w:rFonts w:ascii="Arial" w:hAnsi="Arial" w:cs="Arial"/>
          <w:b/>
          <w:sz w:val="24"/>
          <w:szCs w:val="24"/>
        </w:rPr>
        <w:t>s</w:t>
      </w:r>
      <w:r w:rsidRPr="000B7432">
        <w:rPr>
          <w:rFonts w:ascii="Arial" w:hAnsi="Arial" w:cs="Arial"/>
          <w:b/>
          <w:sz w:val="24"/>
          <w:szCs w:val="24"/>
        </w:rPr>
        <w:t xml:space="preserve"> de los </w:t>
      </w:r>
      <w:r w:rsidR="007A4D30" w:rsidRPr="000B7432">
        <w:rPr>
          <w:rFonts w:ascii="Arial" w:hAnsi="Arial" w:cs="Arial"/>
          <w:b/>
          <w:sz w:val="24"/>
          <w:szCs w:val="24"/>
        </w:rPr>
        <w:t>Estados Parte</w:t>
      </w:r>
      <w:r w:rsidR="001463A1" w:rsidRPr="000831CD">
        <w:rPr>
          <w:rFonts w:ascii="Arial" w:eastAsia="Arial" w:hAnsi="Arial" w:cs="Arial"/>
          <w:b/>
          <w:sz w:val="24"/>
          <w:szCs w:val="24"/>
        </w:rPr>
        <w:t>.</w:t>
      </w:r>
    </w:p>
    <w:p w14:paraId="42FF14E4" w14:textId="77777777" w:rsidR="00D241DC" w:rsidRPr="00D241DC" w:rsidRDefault="00D241DC" w:rsidP="00D241DC">
      <w:pPr>
        <w:pStyle w:val="Sinespaciado"/>
      </w:pPr>
    </w:p>
    <w:p w14:paraId="12BE2840" w14:textId="4791DAB0" w:rsidR="000C2552" w:rsidRDefault="00A9313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93132">
        <w:rPr>
          <w:rFonts w:ascii="Arial" w:eastAsia="Arial" w:hAnsi="Arial" w:cs="Arial"/>
          <w:sz w:val="24"/>
          <w:szCs w:val="24"/>
        </w:rPr>
        <w:t>Se proporcionó una actualización sobre la situación actual de la VUCE, abordando los cuatro ejes principales: declaración aduanera, certificados fitosanitarios, zoo sanitarios y certificado de origen digital, así como el componente de firma digital y electrónica bajo el acuerdo de reconocimiento mutuo.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92077" w:rsidRPr="00892077">
        <w:rPr>
          <w:rFonts w:ascii="Arial" w:eastAsia="Arial" w:hAnsi="Arial" w:cs="Arial"/>
          <w:sz w:val="24"/>
          <w:szCs w:val="24"/>
        </w:rPr>
        <w:t>Argentina mencionó la próxima presentación de un trámite adicional de precursores químicos y pilas. Se destacó la importancia de los requerimientos funcionales para los intercambios de VUCEs y se informó sobre cambios en la gestión en la unidad ejecutora. También se informó sobre el proceso de revisión en relación con la declaración aduanera y se espera tener un panorama más concreto para la próxima reunión</w:t>
      </w:r>
      <w:r w:rsidR="00892077">
        <w:rPr>
          <w:rFonts w:ascii="Arial" w:eastAsia="Arial" w:hAnsi="Arial" w:cs="Arial"/>
          <w:sz w:val="24"/>
          <w:szCs w:val="24"/>
        </w:rPr>
        <w:t xml:space="preserve">. </w:t>
      </w:r>
      <w:r w:rsidR="000C2552" w:rsidRPr="000C2552">
        <w:rPr>
          <w:rFonts w:ascii="Arial" w:eastAsia="Arial" w:hAnsi="Arial" w:cs="Arial"/>
          <w:sz w:val="24"/>
          <w:szCs w:val="24"/>
        </w:rPr>
        <w:t xml:space="preserve">Brasil informó sobre la integración en la ventanilla única, tanto para </w:t>
      </w:r>
      <w:r w:rsidR="000C2552" w:rsidRPr="000C2552">
        <w:rPr>
          <w:rFonts w:ascii="Arial" w:eastAsia="Arial" w:hAnsi="Arial" w:cs="Arial"/>
          <w:sz w:val="24"/>
          <w:szCs w:val="24"/>
        </w:rPr>
        <w:lastRenderedPageBreak/>
        <w:t>importación como exportación, destacando el avance en este sentido</w:t>
      </w:r>
      <w:r w:rsidR="000C2552">
        <w:rPr>
          <w:rFonts w:ascii="Arial" w:eastAsia="Arial" w:hAnsi="Arial" w:cs="Arial"/>
          <w:sz w:val="24"/>
          <w:szCs w:val="24"/>
        </w:rPr>
        <w:t xml:space="preserve"> y que los trabajos culminarán en diciembre de este año.</w:t>
      </w:r>
      <w:r w:rsidR="004B46A1">
        <w:rPr>
          <w:rFonts w:ascii="Arial" w:eastAsia="Arial" w:hAnsi="Arial" w:cs="Arial"/>
          <w:sz w:val="24"/>
          <w:szCs w:val="24"/>
        </w:rPr>
        <w:t xml:space="preserve"> </w:t>
      </w:r>
      <w:r w:rsidR="004B46A1" w:rsidRPr="004B46A1">
        <w:rPr>
          <w:rFonts w:ascii="Arial" w:eastAsia="Arial" w:hAnsi="Arial" w:cs="Arial"/>
          <w:sz w:val="24"/>
          <w:szCs w:val="24"/>
        </w:rPr>
        <w:t>Uruguay solicitó un documento para revisar con el equipo de VUCE y mencionó el proyecto de gestión de riesgo integral y la Ventanilla Única de Inversiones.</w:t>
      </w:r>
      <w:r w:rsidR="007F027E">
        <w:rPr>
          <w:rFonts w:ascii="Arial" w:eastAsia="Arial" w:hAnsi="Arial" w:cs="Arial"/>
          <w:sz w:val="24"/>
          <w:szCs w:val="24"/>
        </w:rPr>
        <w:t xml:space="preserve"> </w:t>
      </w:r>
      <w:r w:rsidR="004B46A1" w:rsidRPr="004B46A1">
        <w:rPr>
          <w:rFonts w:ascii="Arial" w:eastAsia="Arial" w:hAnsi="Arial" w:cs="Arial"/>
          <w:sz w:val="24"/>
          <w:szCs w:val="24"/>
        </w:rPr>
        <w:t>También se discutió sobre el Certificado de Origen Digital y los mecanismos de validación y responsabilidades en los diferentes sistemas.</w:t>
      </w:r>
    </w:p>
    <w:p w14:paraId="6D93B4C8" w14:textId="77777777" w:rsidR="000C2552" w:rsidRDefault="000C255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0554C4" w14:textId="29C075EF" w:rsidR="000B7432" w:rsidRDefault="00145846" w:rsidP="000B7432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Acceso a consultas de Certificados Zoosanitarios de Pesca.</w:t>
      </w:r>
    </w:p>
    <w:p w14:paraId="5B03732A" w14:textId="77777777" w:rsidR="00145846" w:rsidRDefault="00145846" w:rsidP="001458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8EFCEE" w14:textId="344C7F73" w:rsidR="00145846" w:rsidRPr="00145846" w:rsidRDefault="00145846" w:rsidP="0014584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delegaciones concuerdan que este documento sería el </w:t>
      </w:r>
      <w:r w:rsidR="00A84B0F">
        <w:rPr>
          <w:rFonts w:ascii="Arial" w:hAnsi="Arial" w:cs="Arial"/>
          <w:bCs/>
          <w:sz w:val="24"/>
          <w:szCs w:val="24"/>
        </w:rPr>
        <w:t>intercambio más factible de consulta entre los países, con iniciativa impulsada por Paraguay y Uruguay, en un primer intento de integración entre las plataformas del Mercosur.</w:t>
      </w:r>
      <w:r w:rsidR="001433C2">
        <w:rPr>
          <w:rFonts w:ascii="Arial" w:hAnsi="Arial" w:cs="Arial"/>
          <w:bCs/>
          <w:sz w:val="24"/>
          <w:szCs w:val="24"/>
        </w:rPr>
        <w:t xml:space="preserve"> Este punto es prioridad para la PPTP en este semestre.</w:t>
      </w:r>
    </w:p>
    <w:p w14:paraId="07BBF3F0" w14:textId="77777777" w:rsidR="00B420B6" w:rsidRDefault="00B420B6">
      <w:pPr>
        <w:spacing w:after="120" w:line="24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5089FC74" w14:textId="6DFE115D" w:rsidR="00B420B6" w:rsidRDefault="00BC2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Presentación del GAHVUCE al CT N° 2</w:t>
      </w:r>
      <w:r w:rsidR="00652983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58A6C5CE" w14:textId="77777777" w:rsidR="00652983" w:rsidRDefault="00652983" w:rsidP="00EF476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19CF2E" w14:textId="01D4FF4B" w:rsidR="00CA2109" w:rsidRDefault="00EF4767" w:rsidP="00852D9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F4767">
        <w:rPr>
          <w:rFonts w:ascii="Arial" w:eastAsia="Arial" w:hAnsi="Arial" w:cs="Arial"/>
          <w:sz w:val="24"/>
          <w:szCs w:val="24"/>
        </w:rPr>
        <w:t>Se programó una reunión presencial en marzo en Asunción y se propuso presentar al grupo CT dos discutido en la reunión en Foz</w:t>
      </w:r>
      <w:r>
        <w:rPr>
          <w:rFonts w:ascii="Arial" w:eastAsia="Arial" w:hAnsi="Arial" w:cs="Arial"/>
          <w:sz w:val="24"/>
          <w:szCs w:val="24"/>
        </w:rPr>
        <w:t xml:space="preserve"> inicialmente y posterior al mismo en la presente reunión</w:t>
      </w:r>
      <w:r w:rsidRPr="00EF4767">
        <w:rPr>
          <w:rFonts w:ascii="Arial" w:eastAsia="Arial" w:hAnsi="Arial" w:cs="Arial"/>
          <w:sz w:val="24"/>
          <w:szCs w:val="24"/>
        </w:rPr>
        <w:t>. Se tomarán en cuenta los comentarios de los países para avanzar en la agenda de trabajo</w:t>
      </w:r>
      <w:r w:rsidR="00026BF1">
        <w:rPr>
          <w:rFonts w:ascii="Arial" w:eastAsia="Arial" w:hAnsi="Arial" w:cs="Arial"/>
          <w:sz w:val="24"/>
          <w:szCs w:val="24"/>
        </w:rPr>
        <w:t xml:space="preserve"> para el presente año. Igualmente se prevé la reunión en formato híbrido, para aquellos países que no pueden asistir al mismo.</w:t>
      </w:r>
    </w:p>
    <w:p w14:paraId="50CAA786" w14:textId="77777777" w:rsidR="00026BF1" w:rsidRDefault="00026BF1" w:rsidP="00852D9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A5A044F" w14:textId="4A9790F8" w:rsidR="00CA2109" w:rsidRDefault="00396512" w:rsidP="0039651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96512">
        <w:rPr>
          <w:rFonts w:ascii="Arial" w:eastAsia="Arial" w:hAnsi="Arial" w:cs="Arial"/>
          <w:b/>
          <w:color w:val="000000"/>
          <w:sz w:val="24"/>
          <w:szCs w:val="24"/>
        </w:rPr>
        <w:t>Otros temas</w:t>
      </w:r>
      <w:r w:rsidR="00CA2109" w:rsidRPr="00396512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7D9110B" w14:textId="2D6F759D" w:rsidR="00396512" w:rsidRDefault="00396512" w:rsidP="0039651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E0B3AF" w14:textId="5CBFB1BA" w:rsidR="00CA2109" w:rsidRDefault="00026BF1" w:rsidP="00852D9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Ningún tema adicional tratado.</w:t>
      </w:r>
    </w:p>
    <w:p w14:paraId="3A3367FB" w14:textId="77777777" w:rsidR="00852D96" w:rsidRDefault="00852D96">
      <w:pPr>
        <w:tabs>
          <w:tab w:val="left" w:pos="1798"/>
          <w:tab w:val="left" w:pos="5792"/>
        </w:tabs>
        <w:spacing w:after="0" w:line="360" w:lineRule="auto"/>
        <w:rPr>
          <w:rFonts w:ascii="Arial" w:eastAsia="Arial" w:hAnsi="Arial" w:cs="Arial"/>
          <w:b/>
          <w:strike/>
          <w:sz w:val="24"/>
          <w:szCs w:val="24"/>
        </w:rPr>
      </w:pPr>
    </w:p>
    <w:p w14:paraId="470E733A" w14:textId="77777777" w:rsidR="00B420B6" w:rsidRDefault="001463A1" w:rsidP="00396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Próxima reunión</w:t>
      </w:r>
    </w:p>
    <w:p w14:paraId="10674925" w14:textId="594A6C30" w:rsidR="00B420B6" w:rsidRDefault="001463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trike/>
          <w:sz w:val="24"/>
          <w:szCs w:val="24"/>
        </w:rPr>
        <w:br/>
      </w:r>
      <w:r w:rsidR="00722B87">
        <w:rPr>
          <w:rFonts w:ascii="Arial" w:eastAsia="Arial" w:hAnsi="Arial" w:cs="Arial"/>
          <w:sz w:val="24"/>
          <w:szCs w:val="24"/>
        </w:rPr>
        <w:t>La propuesta de fecha de la</w:t>
      </w:r>
      <w:r>
        <w:rPr>
          <w:rFonts w:ascii="Arial" w:eastAsia="Arial" w:hAnsi="Arial" w:cs="Arial"/>
          <w:sz w:val="24"/>
          <w:szCs w:val="24"/>
        </w:rPr>
        <w:t xml:space="preserve"> próxima reunión</w:t>
      </w:r>
      <w:r w:rsidR="00722B87">
        <w:rPr>
          <w:rFonts w:ascii="Arial" w:eastAsia="Arial" w:hAnsi="Arial" w:cs="Arial"/>
          <w:sz w:val="24"/>
          <w:szCs w:val="24"/>
        </w:rPr>
        <w:t xml:space="preserve"> sería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D16FA">
        <w:rPr>
          <w:rFonts w:ascii="Arial" w:eastAsia="Arial" w:hAnsi="Arial" w:cs="Arial"/>
          <w:sz w:val="24"/>
          <w:szCs w:val="24"/>
        </w:rPr>
        <w:t xml:space="preserve">el </w:t>
      </w:r>
      <w:r w:rsidR="00026BF1">
        <w:rPr>
          <w:rFonts w:ascii="Arial" w:eastAsia="Arial" w:hAnsi="Arial" w:cs="Arial"/>
          <w:sz w:val="24"/>
          <w:szCs w:val="24"/>
        </w:rPr>
        <w:t>19</w:t>
      </w:r>
      <w:r w:rsidR="007D16FA">
        <w:rPr>
          <w:rFonts w:ascii="Arial" w:eastAsia="Arial" w:hAnsi="Arial" w:cs="Arial"/>
          <w:sz w:val="24"/>
          <w:szCs w:val="24"/>
        </w:rPr>
        <w:t xml:space="preserve"> de </w:t>
      </w:r>
      <w:r w:rsidR="00026BF1">
        <w:rPr>
          <w:rFonts w:ascii="Arial" w:eastAsia="Arial" w:hAnsi="Arial" w:cs="Arial"/>
          <w:sz w:val="24"/>
          <w:szCs w:val="24"/>
        </w:rPr>
        <w:t>marzo</w:t>
      </w:r>
      <w:r w:rsidR="007D16FA">
        <w:rPr>
          <w:rFonts w:ascii="Arial" w:eastAsia="Arial" w:hAnsi="Arial" w:cs="Arial"/>
          <w:sz w:val="24"/>
          <w:szCs w:val="24"/>
        </w:rPr>
        <w:t xml:space="preserve"> de 202</w:t>
      </w:r>
      <w:r w:rsidR="00026BF1">
        <w:rPr>
          <w:rFonts w:ascii="Arial" w:eastAsia="Arial" w:hAnsi="Arial" w:cs="Arial"/>
          <w:sz w:val="24"/>
          <w:szCs w:val="24"/>
        </w:rPr>
        <w:t>4, en formato híbrido (presencial/virtual)</w:t>
      </w:r>
    </w:p>
    <w:p w14:paraId="656DD872" w14:textId="009DD753" w:rsidR="00B420B6" w:rsidRDefault="00B420B6" w:rsidP="00212478">
      <w:pPr>
        <w:tabs>
          <w:tab w:val="left" w:pos="1798"/>
          <w:tab w:val="left" w:pos="5792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B420B6">
      <w:headerReference w:type="default" r:id="rId8"/>
      <w:pgSz w:w="12240" w:h="15840"/>
      <w:pgMar w:top="1842" w:right="1041" w:bottom="1417" w:left="1701" w:header="708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64EE" w14:textId="77777777" w:rsidR="004D3695" w:rsidRDefault="004D3695">
      <w:pPr>
        <w:spacing w:after="0" w:line="240" w:lineRule="auto"/>
      </w:pPr>
      <w:r>
        <w:separator/>
      </w:r>
    </w:p>
  </w:endnote>
  <w:endnote w:type="continuationSeparator" w:id="0">
    <w:p w14:paraId="4902B9B9" w14:textId="77777777" w:rsidR="004D3695" w:rsidRDefault="004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D12D" w14:textId="77777777" w:rsidR="004D3695" w:rsidRDefault="004D3695">
      <w:pPr>
        <w:spacing w:after="0" w:line="240" w:lineRule="auto"/>
      </w:pPr>
      <w:r>
        <w:separator/>
      </w:r>
    </w:p>
  </w:footnote>
  <w:footnote w:type="continuationSeparator" w:id="0">
    <w:p w14:paraId="36B8B480" w14:textId="77777777" w:rsidR="004D3695" w:rsidRDefault="004D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66F5" w14:textId="77777777" w:rsidR="00B420B6" w:rsidRDefault="00146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60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n-US" w:eastAsia="en-US"/>
      </w:rPr>
      <w:drawing>
        <wp:anchor distT="0" distB="0" distL="114935" distR="114935" simplePos="0" relativeHeight="251658240" behindDoc="0" locked="0" layoutInCell="1" hidden="0" allowOverlap="1" wp14:anchorId="1F739F60" wp14:editId="31B5D77B">
          <wp:simplePos x="0" y="0"/>
          <wp:positionH relativeFrom="column">
            <wp:posOffset>4570730</wp:posOffset>
          </wp:positionH>
          <wp:positionV relativeFrom="paragraph">
            <wp:posOffset>-78100</wp:posOffset>
          </wp:positionV>
          <wp:extent cx="1059815" cy="61087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818469A" wp14:editId="46594F45">
          <wp:simplePos x="0" y="0"/>
          <wp:positionH relativeFrom="column">
            <wp:posOffset>81922</wp:posOffset>
          </wp:positionH>
          <wp:positionV relativeFrom="paragraph">
            <wp:posOffset>-163825</wp:posOffset>
          </wp:positionV>
          <wp:extent cx="1109843" cy="708564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843" cy="708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5A96"/>
    <w:multiLevelType w:val="hybridMultilevel"/>
    <w:tmpl w:val="040EE026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520"/>
    <w:multiLevelType w:val="hybridMultilevel"/>
    <w:tmpl w:val="80F6F60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94E"/>
    <w:multiLevelType w:val="hybridMultilevel"/>
    <w:tmpl w:val="FCC24CB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25B7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536B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63F3F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4602">
    <w:abstractNumId w:val="3"/>
  </w:num>
  <w:num w:numId="2" w16cid:durableId="657268752">
    <w:abstractNumId w:val="5"/>
  </w:num>
  <w:num w:numId="3" w16cid:durableId="1570001515">
    <w:abstractNumId w:val="4"/>
  </w:num>
  <w:num w:numId="4" w16cid:durableId="1710178842">
    <w:abstractNumId w:val="1"/>
  </w:num>
  <w:num w:numId="5" w16cid:durableId="1662344443">
    <w:abstractNumId w:val="2"/>
  </w:num>
  <w:num w:numId="6" w16cid:durableId="4649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B6"/>
    <w:rsid w:val="00026BF1"/>
    <w:rsid w:val="00043F82"/>
    <w:rsid w:val="00051EBE"/>
    <w:rsid w:val="000831CD"/>
    <w:rsid w:val="000B7432"/>
    <w:rsid w:val="000C2552"/>
    <w:rsid w:val="001433C2"/>
    <w:rsid w:val="001444E0"/>
    <w:rsid w:val="00145846"/>
    <w:rsid w:val="001463A1"/>
    <w:rsid w:val="00212478"/>
    <w:rsid w:val="00291330"/>
    <w:rsid w:val="002D733A"/>
    <w:rsid w:val="002F541E"/>
    <w:rsid w:val="00371932"/>
    <w:rsid w:val="00396512"/>
    <w:rsid w:val="0039696D"/>
    <w:rsid w:val="00461058"/>
    <w:rsid w:val="004B46A1"/>
    <w:rsid w:val="004D3695"/>
    <w:rsid w:val="0056617B"/>
    <w:rsid w:val="00592427"/>
    <w:rsid w:val="006120EE"/>
    <w:rsid w:val="00637BB4"/>
    <w:rsid w:val="00652983"/>
    <w:rsid w:val="006E046B"/>
    <w:rsid w:val="00722B87"/>
    <w:rsid w:val="007410D9"/>
    <w:rsid w:val="007A4D30"/>
    <w:rsid w:val="007B09D6"/>
    <w:rsid w:val="007C36F9"/>
    <w:rsid w:val="007D16FA"/>
    <w:rsid w:val="007F027E"/>
    <w:rsid w:val="007F69B3"/>
    <w:rsid w:val="00852D96"/>
    <w:rsid w:val="00892077"/>
    <w:rsid w:val="00900673"/>
    <w:rsid w:val="009719FC"/>
    <w:rsid w:val="009C6E84"/>
    <w:rsid w:val="009C7824"/>
    <w:rsid w:val="009F7754"/>
    <w:rsid w:val="00A84B0F"/>
    <w:rsid w:val="00A93132"/>
    <w:rsid w:val="00AC12AB"/>
    <w:rsid w:val="00AE12C0"/>
    <w:rsid w:val="00B41B3D"/>
    <w:rsid w:val="00B420B6"/>
    <w:rsid w:val="00B61EB3"/>
    <w:rsid w:val="00B70A58"/>
    <w:rsid w:val="00B934A7"/>
    <w:rsid w:val="00BA39EF"/>
    <w:rsid w:val="00BC2B5D"/>
    <w:rsid w:val="00BE7585"/>
    <w:rsid w:val="00C62E65"/>
    <w:rsid w:val="00CA2109"/>
    <w:rsid w:val="00CC11AB"/>
    <w:rsid w:val="00CC36A2"/>
    <w:rsid w:val="00D01CAE"/>
    <w:rsid w:val="00D241DC"/>
    <w:rsid w:val="00D52566"/>
    <w:rsid w:val="00D713B9"/>
    <w:rsid w:val="00D82E65"/>
    <w:rsid w:val="00EF4767"/>
    <w:rsid w:val="00F01179"/>
    <w:rsid w:val="00F247B0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EEF4"/>
  <w15:docId w15:val="{771022D2-C774-4960-8883-BF021450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806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08F"/>
  </w:style>
  <w:style w:type="paragraph" w:styleId="Piedepgina">
    <w:name w:val="footer"/>
    <w:basedOn w:val="Normal"/>
    <w:link w:val="PiedepginaCar"/>
    <w:uiPriority w:val="99"/>
    <w:unhideWhenUsed/>
    <w:rsid w:val="0018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08F"/>
  </w:style>
  <w:style w:type="paragraph" w:styleId="Textodeglobo">
    <w:name w:val="Balloon Text"/>
    <w:basedOn w:val="Normal"/>
    <w:link w:val="TextodegloboCar"/>
    <w:uiPriority w:val="99"/>
    <w:semiHidden/>
    <w:unhideWhenUsed/>
    <w:rsid w:val="00FE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C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C6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1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9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9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917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inespaciado">
    <w:name w:val="No Spacing"/>
    <w:uiPriority w:val="1"/>
    <w:qFormat/>
    <w:rsid w:val="000B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0SPYPo26K/YJ+rTuugoT3xn0A==">AMUW2mXLcOI6kUNFsq9yXNdlM5pB75m2Fc6VahM7l71JCZpXxbr0+JttubgM6zVGv330lAnzQHKZ2VY4bic+SL/o1yqukLDAT96/BLlxNQ0aeZBvYPxfMDCLRI3cK0VkeAt82ckXWQmY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Mayra</dc:creator>
  <cp:lastModifiedBy>María Vanesa Pereyra Bonnet</cp:lastModifiedBy>
  <cp:revision>3</cp:revision>
  <dcterms:created xsi:type="dcterms:W3CDTF">2024-03-19T10:57:00Z</dcterms:created>
  <dcterms:modified xsi:type="dcterms:W3CDTF">2024-04-26T16:55:00Z</dcterms:modified>
</cp:coreProperties>
</file>