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4A99" w14:textId="77777777" w:rsidR="00F80916" w:rsidRPr="00B27735" w:rsidRDefault="00F80916" w:rsidP="00F80916">
      <w:pPr>
        <w:rPr>
          <w:rFonts w:ascii="Arial" w:hAnsi="Arial" w:cs="Arial"/>
          <w:b/>
          <w:bCs/>
          <w:sz w:val="24"/>
          <w:szCs w:val="24"/>
          <w:lang w:eastAsia="ar-SA"/>
        </w:rPr>
      </w:pPr>
      <w:r w:rsidRPr="00B27735">
        <w:rPr>
          <w:rFonts w:ascii="Arial" w:hAnsi="Arial" w:cs="Arial"/>
          <w:b/>
          <w:bCs/>
          <w:sz w:val="24"/>
          <w:szCs w:val="24"/>
        </w:rPr>
        <w:t>MERCOSUL/ CT Nº 3/ ATA Nº 5/2023</w:t>
      </w:r>
    </w:p>
    <w:p w14:paraId="67A174AB" w14:textId="77777777" w:rsidR="00F80916" w:rsidRPr="00B27735" w:rsidRDefault="00F80916" w:rsidP="00F80916">
      <w:pPr>
        <w:rPr>
          <w:rFonts w:ascii="Arial" w:hAnsi="Arial" w:cs="Arial"/>
          <w:sz w:val="24"/>
          <w:szCs w:val="24"/>
        </w:rPr>
      </w:pPr>
    </w:p>
    <w:p w14:paraId="3805C0F4" w14:textId="77777777" w:rsidR="00F80916" w:rsidRPr="00B27735" w:rsidRDefault="00F80916" w:rsidP="00F80916">
      <w:pPr>
        <w:rPr>
          <w:rFonts w:ascii="Arial" w:hAnsi="Arial" w:cs="Arial"/>
          <w:sz w:val="24"/>
          <w:szCs w:val="24"/>
        </w:rPr>
      </w:pPr>
    </w:p>
    <w:p w14:paraId="4FC832A5" w14:textId="77777777" w:rsidR="00F80916" w:rsidRPr="00B27735" w:rsidRDefault="00F80916" w:rsidP="00F80916">
      <w:pPr>
        <w:jc w:val="center"/>
        <w:rPr>
          <w:rFonts w:ascii="Arial" w:hAnsi="Arial" w:cs="Arial"/>
          <w:sz w:val="24"/>
          <w:szCs w:val="24"/>
        </w:rPr>
      </w:pPr>
    </w:p>
    <w:p w14:paraId="4E4BD442" w14:textId="77777777" w:rsidR="00F80916" w:rsidRPr="00B27735" w:rsidRDefault="00F80916" w:rsidP="00F809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7735">
        <w:rPr>
          <w:rFonts w:ascii="Arial" w:hAnsi="Arial" w:cs="Arial"/>
          <w:b/>
          <w:bCs/>
          <w:sz w:val="24"/>
          <w:szCs w:val="24"/>
        </w:rPr>
        <w:t>CXXX REUNIÃO EXTRAORDINÁRIA DO COMITÊ TÉCNICO Nº 3 “NORMAS E DISCIPLINAS COMERCIAIS”</w:t>
      </w:r>
    </w:p>
    <w:p w14:paraId="4E1ACC88" w14:textId="77777777" w:rsidR="00F80916" w:rsidRPr="00B27735" w:rsidRDefault="00F80916" w:rsidP="00F809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254E1A" w14:textId="77777777" w:rsidR="00F80916" w:rsidRPr="00B27735" w:rsidRDefault="00F80916" w:rsidP="00F809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322D56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  <w:r w:rsidRPr="00B27735">
        <w:rPr>
          <w:rFonts w:ascii="Arial" w:hAnsi="Arial" w:cs="Arial"/>
          <w:sz w:val="24"/>
          <w:szCs w:val="24"/>
        </w:rPr>
        <w:t xml:space="preserve">Realizou-se nos dias 3 a 5 de outubro de 2023, no exercício da Presidência </w:t>
      </w:r>
      <w:r w:rsidRPr="00B27735">
        <w:rPr>
          <w:rFonts w:ascii="Arial" w:hAnsi="Arial" w:cs="Arial"/>
          <w:i/>
          <w:iCs/>
          <w:sz w:val="24"/>
          <w:szCs w:val="24"/>
        </w:rPr>
        <w:t>Pro Tempore</w:t>
      </w:r>
      <w:r w:rsidRPr="00B27735">
        <w:rPr>
          <w:rFonts w:ascii="Arial" w:hAnsi="Arial" w:cs="Arial"/>
          <w:sz w:val="24"/>
          <w:szCs w:val="24"/>
        </w:rPr>
        <w:t xml:space="preserve"> do Brasil (PPTB), a CXXX Reunião Extraordinária do Comitê Técnico Nº 3 (CT Nº 3), pelo sistema de videoconferência, em conformidade com o disposto na Resolução GMC Nº 19/12, com as presenças das delegações da Argentina, Brasil, Paraguai e Uruguai.</w:t>
      </w:r>
    </w:p>
    <w:p w14:paraId="270219AE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</w:p>
    <w:p w14:paraId="169FEF19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</w:p>
    <w:p w14:paraId="10A43F1E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  <w:r w:rsidRPr="00B27735">
        <w:rPr>
          <w:rFonts w:ascii="Arial" w:hAnsi="Arial" w:cs="Arial"/>
          <w:sz w:val="24"/>
          <w:szCs w:val="24"/>
        </w:rPr>
        <w:t>A lista de participantes consta com Anexo I.</w:t>
      </w:r>
    </w:p>
    <w:p w14:paraId="08161BBF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</w:p>
    <w:p w14:paraId="53332A8E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</w:p>
    <w:p w14:paraId="6CF45DF4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  <w:r w:rsidRPr="00B27735">
        <w:rPr>
          <w:rFonts w:ascii="Arial" w:hAnsi="Arial" w:cs="Arial"/>
          <w:sz w:val="24"/>
          <w:szCs w:val="24"/>
        </w:rPr>
        <w:t>A Agenda consta como Anexo II.</w:t>
      </w:r>
    </w:p>
    <w:p w14:paraId="75C547B5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</w:p>
    <w:p w14:paraId="2C5CE484" w14:textId="13C6E7C0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  <w:r w:rsidRPr="00B27735">
        <w:rPr>
          <w:rFonts w:ascii="Arial" w:hAnsi="Arial" w:cs="Arial"/>
          <w:sz w:val="24"/>
          <w:szCs w:val="24"/>
        </w:rPr>
        <w:br/>
        <w:t xml:space="preserve">O </w:t>
      </w:r>
      <w:r w:rsidR="00C2500E" w:rsidRPr="00B27735">
        <w:rPr>
          <w:rFonts w:ascii="Arial" w:hAnsi="Arial" w:cs="Arial"/>
          <w:sz w:val="24"/>
          <w:szCs w:val="24"/>
        </w:rPr>
        <w:t>R</w:t>
      </w:r>
      <w:r w:rsidRPr="00B27735">
        <w:rPr>
          <w:rFonts w:ascii="Arial" w:hAnsi="Arial" w:cs="Arial"/>
          <w:sz w:val="24"/>
          <w:szCs w:val="24"/>
        </w:rPr>
        <w:t xml:space="preserve">esumo da </w:t>
      </w:r>
      <w:r w:rsidR="00C2500E" w:rsidRPr="00B27735">
        <w:rPr>
          <w:rFonts w:ascii="Arial" w:hAnsi="Arial" w:cs="Arial"/>
          <w:sz w:val="24"/>
          <w:szCs w:val="24"/>
        </w:rPr>
        <w:t>A</w:t>
      </w:r>
      <w:r w:rsidRPr="00B27735">
        <w:rPr>
          <w:rFonts w:ascii="Arial" w:hAnsi="Arial" w:cs="Arial"/>
          <w:sz w:val="24"/>
          <w:szCs w:val="24"/>
        </w:rPr>
        <w:t>ta consta como Anexo III.</w:t>
      </w:r>
    </w:p>
    <w:p w14:paraId="02B755E0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</w:p>
    <w:p w14:paraId="4E663583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  <w:r w:rsidRPr="00B27735">
        <w:rPr>
          <w:rFonts w:ascii="Arial" w:hAnsi="Arial" w:cs="Arial"/>
          <w:sz w:val="24"/>
          <w:szCs w:val="24"/>
        </w:rPr>
        <w:br/>
        <w:t>Na oportunidade foram tratados os seguintes temas:</w:t>
      </w:r>
    </w:p>
    <w:p w14:paraId="6FC5A3E0" w14:textId="23CCCFDF" w:rsidR="001D53DA" w:rsidRPr="00B27735" w:rsidRDefault="001D53DA" w:rsidP="001D53DA">
      <w:pPr>
        <w:pStyle w:val="Default"/>
        <w:jc w:val="center"/>
        <w:rPr>
          <w:b/>
          <w:bCs/>
          <w:lang w:val="pt-BR"/>
        </w:rPr>
      </w:pPr>
    </w:p>
    <w:p w14:paraId="034F53F7" w14:textId="77777777" w:rsidR="00C557A8" w:rsidRPr="00B27735" w:rsidRDefault="00C557A8" w:rsidP="001D53DA">
      <w:pPr>
        <w:pStyle w:val="Default"/>
        <w:jc w:val="center"/>
        <w:rPr>
          <w:b/>
          <w:bCs/>
          <w:lang w:val="pt-BR"/>
        </w:rPr>
      </w:pPr>
    </w:p>
    <w:p w14:paraId="2BCA3684" w14:textId="77777777" w:rsidR="001D53DA" w:rsidRPr="00B27735" w:rsidRDefault="001D53DA" w:rsidP="001D53DA">
      <w:pPr>
        <w:pStyle w:val="Default"/>
        <w:jc w:val="center"/>
        <w:rPr>
          <w:lang w:val="pt-BR"/>
        </w:rPr>
      </w:pPr>
    </w:p>
    <w:p w14:paraId="152F17EE" w14:textId="1E01A4D6" w:rsidR="003935BA" w:rsidRPr="00B27735" w:rsidRDefault="003935BA" w:rsidP="003935BA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 xml:space="preserve">1. </w:t>
      </w:r>
      <w:r w:rsidR="00622A40" w:rsidRPr="00B27735">
        <w:rPr>
          <w:b/>
          <w:bCs/>
          <w:lang w:val="pt-BR"/>
        </w:rPr>
        <w:t>R</w:t>
      </w:r>
      <w:r w:rsidR="00C557A8" w:rsidRPr="00B27735">
        <w:rPr>
          <w:b/>
          <w:bCs/>
          <w:lang w:val="pt-BR"/>
        </w:rPr>
        <w:t>egime</w:t>
      </w:r>
      <w:r w:rsidR="00622A40" w:rsidRPr="00B27735">
        <w:rPr>
          <w:b/>
          <w:bCs/>
          <w:lang w:val="pt-BR"/>
        </w:rPr>
        <w:t xml:space="preserve"> </w:t>
      </w:r>
      <w:r w:rsidR="00C557A8" w:rsidRPr="00B27735">
        <w:rPr>
          <w:b/>
          <w:bCs/>
          <w:lang w:val="pt-BR"/>
        </w:rPr>
        <w:t>de</w:t>
      </w:r>
      <w:r w:rsidR="00622A40" w:rsidRPr="00B27735">
        <w:rPr>
          <w:b/>
          <w:bCs/>
          <w:lang w:val="pt-BR"/>
        </w:rPr>
        <w:t xml:space="preserve"> O</w:t>
      </w:r>
      <w:r w:rsidR="00C557A8" w:rsidRPr="00B27735">
        <w:rPr>
          <w:b/>
          <w:bCs/>
          <w:lang w:val="pt-BR"/>
        </w:rPr>
        <w:t>rigem</w:t>
      </w:r>
      <w:r w:rsidR="00622A40" w:rsidRPr="00B27735">
        <w:rPr>
          <w:b/>
          <w:bCs/>
          <w:lang w:val="pt-BR"/>
        </w:rPr>
        <w:t xml:space="preserve"> M</w:t>
      </w:r>
      <w:r w:rsidR="00C557A8" w:rsidRPr="00B27735">
        <w:rPr>
          <w:b/>
          <w:bCs/>
          <w:lang w:val="pt-BR"/>
        </w:rPr>
        <w:t>ercosul</w:t>
      </w:r>
      <w:r w:rsidRPr="00B27735">
        <w:rPr>
          <w:b/>
          <w:bCs/>
          <w:lang w:val="pt-BR"/>
        </w:rPr>
        <w:t>:</w:t>
      </w:r>
    </w:p>
    <w:p w14:paraId="051750D9" w14:textId="77777777" w:rsidR="00127E57" w:rsidRPr="00B27735" w:rsidRDefault="00127E57" w:rsidP="003935BA">
      <w:pPr>
        <w:pStyle w:val="Default"/>
        <w:rPr>
          <w:b/>
          <w:bCs/>
          <w:lang w:val="pt-BR"/>
        </w:rPr>
      </w:pPr>
    </w:p>
    <w:p w14:paraId="22641914" w14:textId="77777777" w:rsidR="00622A40" w:rsidRPr="00B27735" w:rsidRDefault="00622A40" w:rsidP="003935BA">
      <w:pPr>
        <w:pStyle w:val="Default"/>
        <w:rPr>
          <w:lang w:val="pt-BR"/>
        </w:rPr>
      </w:pPr>
    </w:p>
    <w:p w14:paraId="4AB5D3C3" w14:textId="55812552" w:rsidR="003935BA" w:rsidRPr="00B27735" w:rsidRDefault="00622A40" w:rsidP="0051403D">
      <w:pPr>
        <w:pStyle w:val="Default"/>
        <w:numPr>
          <w:ilvl w:val="1"/>
          <w:numId w:val="1"/>
        </w:numPr>
        <w:rPr>
          <w:b/>
          <w:bCs/>
          <w:lang w:val="pt-BR"/>
        </w:rPr>
      </w:pPr>
      <w:r w:rsidRPr="00B27735">
        <w:rPr>
          <w:b/>
          <w:bCs/>
          <w:lang w:val="pt-BR"/>
        </w:rPr>
        <w:t xml:space="preserve">Transposição dos </w:t>
      </w:r>
      <w:proofErr w:type="spellStart"/>
      <w:r w:rsidRPr="00B27735">
        <w:rPr>
          <w:b/>
          <w:bCs/>
          <w:lang w:val="pt-BR"/>
        </w:rPr>
        <w:t>REOs</w:t>
      </w:r>
      <w:proofErr w:type="spellEnd"/>
      <w:r w:rsidRPr="00B27735">
        <w:rPr>
          <w:b/>
          <w:bCs/>
          <w:lang w:val="pt-BR"/>
        </w:rPr>
        <w:t xml:space="preserve"> a NCM 2022</w:t>
      </w:r>
      <w:r w:rsidR="003935BA" w:rsidRPr="00B27735">
        <w:rPr>
          <w:b/>
          <w:bCs/>
          <w:lang w:val="pt-BR"/>
        </w:rPr>
        <w:t xml:space="preserve"> </w:t>
      </w:r>
    </w:p>
    <w:p w14:paraId="659D1024" w14:textId="2EBD0862" w:rsidR="0051403D" w:rsidRPr="00B27735" w:rsidRDefault="0051403D" w:rsidP="0051403D">
      <w:pPr>
        <w:pStyle w:val="Default"/>
        <w:ind w:left="1080"/>
        <w:rPr>
          <w:b/>
          <w:bCs/>
          <w:lang w:val="pt-BR"/>
        </w:rPr>
      </w:pPr>
    </w:p>
    <w:p w14:paraId="0378B7D1" w14:textId="20D94D17" w:rsidR="00127E57" w:rsidRPr="00B27735" w:rsidRDefault="00E45419" w:rsidP="00127E57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 PPTB relatou que a Secretaria do Mercosul remeteu </w:t>
      </w:r>
      <w:r w:rsidR="0015721B" w:rsidRPr="00B27735">
        <w:rPr>
          <w:lang w:val="pt-BR"/>
        </w:rPr>
        <w:t>o</w:t>
      </w:r>
      <w:r w:rsidRPr="00B27735">
        <w:rPr>
          <w:lang w:val="pt-BR"/>
        </w:rPr>
        <w:t xml:space="preserve"> trabalho de transposição dos </w:t>
      </w:r>
      <w:proofErr w:type="spellStart"/>
      <w:r w:rsidRPr="00B27735">
        <w:rPr>
          <w:lang w:val="pt-BR"/>
        </w:rPr>
        <w:t>REOs</w:t>
      </w:r>
      <w:proofErr w:type="spellEnd"/>
      <w:r w:rsidRPr="00B27735">
        <w:rPr>
          <w:lang w:val="pt-BR"/>
        </w:rPr>
        <w:t xml:space="preserve"> </w:t>
      </w:r>
      <w:r w:rsidR="008B4A74" w:rsidRPr="00B27735">
        <w:rPr>
          <w:lang w:val="pt-BR"/>
        </w:rPr>
        <w:t>do Regime de Origem atual e do novo Regime de Origem à NCM 2022</w:t>
      </w:r>
      <w:r w:rsidR="0015721B" w:rsidRPr="00B27735">
        <w:rPr>
          <w:lang w:val="pt-BR"/>
        </w:rPr>
        <w:t>, conforme solicitação da CCM</w:t>
      </w:r>
      <w:r w:rsidR="008B4A74" w:rsidRPr="00B27735">
        <w:rPr>
          <w:lang w:val="pt-BR"/>
        </w:rPr>
        <w:t>.</w:t>
      </w:r>
      <w:r w:rsidR="00127E57" w:rsidRPr="00B27735">
        <w:rPr>
          <w:lang w:val="pt-BR"/>
        </w:rPr>
        <w:t xml:space="preserve"> </w:t>
      </w:r>
      <w:r w:rsidR="0015721B" w:rsidRPr="00B27735">
        <w:rPr>
          <w:lang w:val="pt-BR"/>
        </w:rPr>
        <w:t>Como o trabalho foi remetido oficialmente aos Estados Pares durante a realização da reunião do CT-3, a</w:t>
      </w:r>
      <w:r w:rsidR="00127E57" w:rsidRPr="00B27735">
        <w:rPr>
          <w:lang w:val="pt-BR"/>
        </w:rPr>
        <w:t xml:space="preserve">s delegações </w:t>
      </w:r>
      <w:r w:rsidR="0015721B" w:rsidRPr="00B27735">
        <w:rPr>
          <w:lang w:val="pt-BR"/>
        </w:rPr>
        <w:t>informaram que farão suas análises internas e o tema seguirá em discussão na próxima reunião do Comitê.</w:t>
      </w:r>
    </w:p>
    <w:p w14:paraId="63C0AC57" w14:textId="77777777" w:rsidR="00127E57" w:rsidRPr="00B27735" w:rsidRDefault="00127E57" w:rsidP="00127E57">
      <w:pPr>
        <w:pStyle w:val="Default"/>
        <w:jc w:val="both"/>
        <w:rPr>
          <w:lang w:val="pt-BR"/>
        </w:rPr>
      </w:pPr>
    </w:p>
    <w:p w14:paraId="24F768AD" w14:textId="29076658" w:rsidR="0051403D" w:rsidRPr="00B27735" w:rsidRDefault="00911FB0" w:rsidP="00127E57">
      <w:pPr>
        <w:pStyle w:val="Default"/>
        <w:jc w:val="both"/>
        <w:rPr>
          <w:lang w:val="pt-BR"/>
        </w:rPr>
      </w:pPr>
      <w:r w:rsidRPr="00B27735">
        <w:rPr>
          <w:lang w:val="pt-BR"/>
        </w:rPr>
        <w:t>Como decorrência</w:t>
      </w:r>
      <w:r w:rsidR="0015721B" w:rsidRPr="00B27735">
        <w:rPr>
          <w:lang w:val="pt-BR"/>
        </w:rPr>
        <w:t xml:space="preserve"> da </w:t>
      </w:r>
      <w:proofErr w:type="spellStart"/>
      <w:r w:rsidR="0015721B" w:rsidRPr="00B27735">
        <w:rPr>
          <w:lang w:val="pt-BR"/>
        </w:rPr>
        <w:t>pré-</w:t>
      </w:r>
      <w:proofErr w:type="gramStart"/>
      <w:r w:rsidR="0015721B" w:rsidRPr="00B27735">
        <w:rPr>
          <w:lang w:val="pt-BR"/>
        </w:rPr>
        <w:t>analise</w:t>
      </w:r>
      <w:proofErr w:type="spellEnd"/>
      <w:proofErr w:type="gramEnd"/>
      <w:r w:rsidR="0015721B" w:rsidRPr="00B27735">
        <w:rPr>
          <w:lang w:val="pt-BR"/>
        </w:rPr>
        <w:t xml:space="preserve"> dos trabalhos da SM</w:t>
      </w:r>
      <w:r w:rsidRPr="00B27735">
        <w:rPr>
          <w:lang w:val="pt-BR"/>
        </w:rPr>
        <w:t>, os Estados Partes concordaram ser necessário realizar um trabalho de conferência d</w:t>
      </w:r>
      <w:r w:rsidR="0015721B" w:rsidRPr="00B27735">
        <w:rPr>
          <w:lang w:val="pt-BR"/>
        </w:rPr>
        <w:t>e todas as</w:t>
      </w:r>
      <w:r w:rsidRPr="00B27735">
        <w:rPr>
          <w:lang w:val="pt-BR"/>
        </w:rPr>
        <w:t xml:space="preserve"> normas que tenham trazido modificações à NCM</w:t>
      </w:r>
      <w:r w:rsidR="0015721B" w:rsidRPr="00B27735">
        <w:rPr>
          <w:lang w:val="pt-BR"/>
        </w:rPr>
        <w:t xml:space="preserve"> desde a Diretriz nº 72/18, norma que balizou os trabalhos de transposição da SM</w:t>
      </w:r>
      <w:r w:rsidR="009B7941" w:rsidRPr="00B27735">
        <w:rPr>
          <w:lang w:val="pt-BR"/>
        </w:rPr>
        <w:t xml:space="preserve"> já que não foi feito nesse exercício e resulta necessário para </w:t>
      </w:r>
      <w:r w:rsidR="001E41F0" w:rsidRPr="00B27735">
        <w:rPr>
          <w:lang w:val="pt-BR"/>
        </w:rPr>
        <w:t>a</w:t>
      </w:r>
      <w:r w:rsidR="009B7941" w:rsidRPr="00B27735">
        <w:rPr>
          <w:lang w:val="pt-BR"/>
        </w:rPr>
        <w:t>s análises</w:t>
      </w:r>
      <w:r w:rsidRPr="00B27735">
        <w:rPr>
          <w:lang w:val="pt-BR"/>
        </w:rPr>
        <w:t>.</w:t>
      </w:r>
      <w:r w:rsidR="0015721B" w:rsidRPr="00B27735">
        <w:rPr>
          <w:lang w:val="pt-BR"/>
        </w:rPr>
        <w:t xml:space="preserve"> A coordenação brasileira realizará esse trabalho de conferência e enviará às demais delegações</w:t>
      </w:r>
      <w:r w:rsidR="009B7941" w:rsidRPr="00B27735">
        <w:rPr>
          <w:lang w:val="pt-BR"/>
        </w:rPr>
        <w:t xml:space="preserve"> para sua análise na próxima reunião do CT</w:t>
      </w:r>
      <w:r w:rsidR="0015721B" w:rsidRPr="00B27735">
        <w:rPr>
          <w:lang w:val="pt-BR"/>
        </w:rPr>
        <w:t>.</w:t>
      </w:r>
    </w:p>
    <w:p w14:paraId="3BCA9070" w14:textId="77777777" w:rsidR="0015721B" w:rsidRPr="00B27735" w:rsidRDefault="0015721B" w:rsidP="00127E57">
      <w:pPr>
        <w:pStyle w:val="Default"/>
        <w:jc w:val="both"/>
        <w:rPr>
          <w:lang w:val="pt-BR"/>
        </w:rPr>
      </w:pPr>
    </w:p>
    <w:p w14:paraId="317A6388" w14:textId="77777777" w:rsidR="00622A40" w:rsidRPr="00B27735" w:rsidRDefault="00622A40" w:rsidP="003935BA">
      <w:pPr>
        <w:pStyle w:val="Default"/>
        <w:rPr>
          <w:lang w:val="pt-BR"/>
        </w:rPr>
      </w:pPr>
    </w:p>
    <w:p w14:paraId="3C89B290" w14:textId="1BD2A52A" w:rsidR="003935BA" w:rsidRPr="00B27735" w:rsidRDefault="00CF6FB8" w:rsidP="00CF6FB8">
      <w:pPr>
        <w:pStyle w:val="Default"/>
        <w:ind w:firstLine="720"/>
        <w:rPr>
          <w:b/>
          <w:bCs/>
          <w:lang w:val="pt-BR"/>
        </w:rPr>
      </w:pPr>
      <w:r w:rsidRPr="00B27735">
        <w:rPr>
          <w:b/>
          <w:bCs/>
          <w:lang w:val="pt-BR"/>
        </w:rPr>
        <w:t>1.2</w:t>
      </w:r>
      <w:r w:rsidR="00622A40" w:rsidRPr="00B27735">
        <w:rPr>
          <w:b/>
          <w:bCs/>
          <w:lang w:val="pt-BR"/>
        </w:rPr>
        <w:t xml:space="preserve"> </w:t>
      </w:r>
      <w:r w:rsidR="00052971" w:rsidRPr="00B27735">
        <w:rPr>
          <w:b/>
          <w:bCs/>
          <w:lang w:val="pt-BR"/>
        </w:rPr>
        <w:t xml:space="preserve">Consultas </w:t>
      </w:r>
      <w:r w:rsidR="000F7428" w:rsidRPr="00B27735">
        <w:rPr>
          <w:b/>
          <w:bCs/>
          <w:lang w:val="pt-BR"/>
        </w:rPr>
        <w:t>ALADI sobre a</w:t>
      </w:r>
      <w:r w:rsidR="00622A40" w:rsidRPr="00B27735">
        <w:rPr>
          <w:b/>
          <w:bCs/>
          <w:lang w:val="pt-BR"/>
        </w:rPr>
        <w:t xml:space="preserve"> Decisão CMC nº 05/2023</w:t>
      </w:r>
      <w:r w:rsidR="001D53DA" w:rsidRPr="00B27735">
        <w:rPr>
          <w:b/>
          <w:bCs/>
          <w:lang w:val="pt-BR"/>
        </w:rPr>
        <w:t xml:space="preserve"> </w:t>
      </w:r>
    </w:p>
    <w:p w14:paraId="76E58360" w14:textId="499C0F5B" w:rsidR="00622A40" w:rsidRPr="00B27735" w:rsidRDefault="00622A40" w:rsidP="003935BA">
      <w:pPr>
        <w:pStyle w:val="Default"/>
        <w:rPr>
          <w:b/>
          <w:bCs/>
          <w:lang w:val="pt-BR"/>
        </w:rPr>
      </w:pPr>
    </w:p>
    <w:p w14:paraId="15556CE9" w14:textId="1E09F444" w:rsidR="00230D13" w:rsidRPr="00B27735" w:rsidRDefault="00A538A2" w:rsidP="004A3A4B">
      <w:pPr>
        <w:pStyle w:val="Default"/>
        <w:jc w:val="both"/>
        <w:rPr>
          <w:lang w:val="pt-BR"/>
        </w:rPr>
      </w:pPr>
      <w:r w:rsidRPr="00B27735">
        <w:rPr>
          <w:lang w:val="pt-BR"/>
        </w:rPr>
        <w:t>Durante a CXXX Reunião</w:t>
      </w:r>
      <w:r w:rsidR="0015721B" w:rsidRPr="00B27735">
        <w:rPr>
          <w:lang w:val="pt-BR"/>
        </w:rPr>
        <w:t xml:space="preserve"> do CT Nº 3</w:t>
      </w:r>
      <w:r w:rsidRPr="00B27735">
        <w:rPr>
          <w:lang w:val="pt-BR"/>
        </w:rPr>
        <w:t xml:space="preserve"> </w:t>
      </w:r>
      <w:r w:rsidR="0015721B" w:rsidRPr="00B27735">
        <w:rPr>
          <w:lang w:val="pt-BR"/>
        </w:rPr>
        <w:t>ocorreu uma</w:t>
      </w:r>
      <w:r w:rsidRPr="00B27735">
        <w:rPr>
          <w:lang w:val="pt-BR"/>
        </w:rPr>
        <w:t xml:space="preserve"> </w:t>
      </w:r>
      <w:r w:rsidR="0015721B" w:rsidRPr="00B27735">
        <w:rPr>
          <w:lang w:val="pt-BR"/>
        </w:rPr>
        <w:t>reunião</w:t>
      </w:r>
      <w:r w:rsidRPr="00B27735">
        <w:rPr>
          <w:lang w:val="pt-BR"/>
        </w:rPr>
        <w:t xml:space="preserve"> virtual com </w:t>
      </w:r>
      <w:r w:rsidR="006A3568" w:rsidRPr="00B27735">
        <w:rPr>
          <w:lang w:val="pt-BR"/>
        </w:rPr>
        <w:t xml:space="preserve">a equipe da Secretaria </w:t>
      </w:r>
      <w:r w:rsidR="00EA256B" w:rsidRPr="00B27735">
        <w:rPr>
          <w:lang w:val="pt-BR"/>
        </w:rPr>
        <w:t>G</w:t>
      </w:r>
      <w:r w:rsidR="006A3568" w:rsidRPr="00B27735">
        <w:rPr>
          <w:lang w:val="pt-BR"/>
        </w:rPr>
        <w:t>eral da ALADI</w:t>
      </w:r>
      <w:r w:rsidRPr="00B27735">
        <w:rPr>
          <w:lang w:val="pt-BR"/>
        </w:rPr>
        <w:t xml:space="preserve"> </w:t>
      </w:r>
      <w:r w:rsidR="006A3568" w:rsidRPr="00B27735">
        <w:rPr>
          <w:lang w:val="pt-BR"/>
        </w:rPr>
        <w:t>com objetivo de atender</w:t>
      </w:r>
      <w:r w:rsidR="00EA256B" w:rsidRPr="00B27735">
        <w:rPr>
          <w:lang w:val="pt-BR"/>
        </w:rPr>
        <w:t xml:space="preserve"> à orientação da </w:t>
      </w:r>
      <w:r w:rsidR="002B57B4" w:rsidRPr="00B27735">
        <w:rPr>
          <w:lang w:val="pt-BR"/>
        </w:rPr>
        <w:t>CXCVII</w:t>
      </w:r>
      <w:r w:rsidR="00EA256B" w:rsidRPr="00B27735">
        <w:rPr>
          <w:lang w:val="pt-BR"/>
        </w:rPr>
        <w:t xml:space="preserve"> reunião da Comissão de Comércio do Mercosul</w:t>
      </w:r>
      <w:r w:rsidR="00230D13" w:rsidRPr="00B27735">
        <w:rPr>
          <w:lang w:val="pt-BR"/>
        </w:rPr>
        <w:t>.</w:t>
      </w:r>
    </w:p>
    <w:p w14:paraId="735A5504" w14:textId="77777777" w:rsidR="00230D13" w:rsidRPr="00B27735" w:rsidRDefault="00230D13" w:rsidP="004A3A4B">
      <w:pPr>
        <w:pStyle w:val="Default"/>
        <w:jc w:val="both"/>
        <w:rPr>
          <w:lang w:val="pt-BR"/>
        </w:rPr>
      </w:pPr>
    </w:p>
    <w:p w14:paraId="0305FDC3" w14:textId="4C1FFBBE" w:rsidR="00A538A2" w:rsidRPr="00B27735" w:rsidRDefault="00230D13" w:rsidP="004A3A4B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Na oportunidade, os Coordenadores do CT-3 e suas respectivas delegações responderam a todas as consultas realizadas pela ALADI por meio da Nota ALADI </w:t>
      </w:r>
      <w:r w:rsidR="007A7852" w:rsidRPr="00B27735">
        <w:rPr>
          <w:lang w:val="pt-BR"/>
        </w:rPr>
        <w:t>SUBSE-LC-150/23 sobre a Decisão CMC Nº 05/2023 (Novo Regime de origem Mercosul) no contexto de seu processo de protocolização.</w:t>
      </w:r>
    </w:p>
    <w:p w14:paraId="5516E887" w14:textId="77777777" w:rsidR="002B57B4" w:rsidRPr="00B27735" w:rsidRDefault="002B57B4" w:rsidP="004A3A4B">
      <w:pPr>
        <w:pStyle w:val="Default"/>
        <w:jc w:val="both"/>
        <w:rPr>
          <w:lang w:val="pt-BR"/>
        </w:rPr>
      </w:pPr>
    </w:p>
    <w:p w14:paraId="2E7DA6A3" w14:textId="71AB71AF" w:rsidR="002B57B4" w:rsidRPr="00B27735" w:rsidRDefault="002B57B4" w:rsidP="004A3A4B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Pela Associação participaram da reunião o Chefe do departamento de Acordos e Negociações, Alejandro Bonilla e sua equipe composta por </w:t>
      </w:r>
      <w:proofErr w:type="spellStart"/>
      <w:r w:rsidRPr="00B27735">
        <w:rPr>
          <w:lang w:val="pt-BR"/>
        </w:rPr>
        <w:t>Analía</w:t>
      </w:r>
      <w:proofErr w:type="spellEnd"/>
      <w:r w:rsidRPr="00B27735">
        <w:rPr>
          <w:lang w:val="pt-BR"/>
        </w:rPr>
        <w:t xml:space="preserve"> Correa e Karina </w:t>
      </w:r>
      <w:proofErr w:type="spellStart"/>
      <w:r w:rsidRPr="00B27735">
        <w:rPr>
          <w:lang w:val="pt-BR"/>
        </w:rPr>
        <w:t>Etchebarne</w:t>
      </w:r>
      <w:proofErr w:type="spellEnd"/>
      <w:r w:rsidRPr="00B27735">
        <w:rPr>
          <w:lang w:val="pt-BR"/>
        </w:rPr>
        <w:t xml:space="preserve">. </w:t>
      </w:r>
    </w:p>
    <w:p w14:paraId="2004A8C9" w14:textId="6DCBD805" w:rsidR="001D53DA" w:rsidRPr="00B27735" w:rsidRDefault="001D53DA" w:rsidP="003935BA">
      <w:pPr>
        <w:pStyle w:val="Default"/>
        <w:rPr>
          <w:b/>
          <w:bCs/>
          <w:lang w:val="pt-BR"/>
        </w:rPr>
      </w:pPr>
    </w:p>
    <w:p w14:paraId="6A65036C" w14:textId="1CB3A1B8" w:rsidR="002B57B4" w:rsidRPr="00B27735" w:rsidRDefault="002B57B4" w:rsidP="003935BA">
      <w:pPr>
        <w:pStyle w:val="Default"/>
        <w:rPr>
          <w:lang w:val="pt-BR"/>
        </w:rPr>
      </w:pPr>
      <w:r w:rsidRPr="00B27735">
        <w:rPr>
          <w:lang w:val="pt-BR"/>
        </w:rPr>
        <w:t xml:space="preserve">Todos as dúvidas foram sanadas na oportunidade e a ALADI ficou extremamente grata pela disponibilidade e pelas informações brindadas pelos representantes do Mercosul. </w:t>
      </w:r>
    </w:p>
    <w:p w14:paraId="2049CA1E" w14:textId="77777777" w:rsidR="002B57B4" w:rsidRPr="00B27735" w:rsidRDefault="002B57B4" w:rsidP="003935BA">
      <w:pPr>
        <w:pStyle w:val="Default"/>
        <w:rPr>
          <w:b/>
          <w:bCs/>
          <w:lang w:val="pt-BR"/>
        </w:rPr>
      </w:pPr>
    </w:p>
    <w:p w14:paraId="3124CB69" w14:textId="053181DD" w:rsidR="000544D6" w:rsidRPr="00B27735" w:rsidRDefault="001D53DA" w:rsidP="000544D6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 xml:space="preserve">2. </w:t>
      </w:r>
      <w:r w:rsidR="000544D6" w:rsidRPr="00B27735">
        <w:rPr>
          <w:b/>
          <w:bCs/>
          <w:lang w:val="pt-BR"/>
        </w:rPr>
        <w:t>Incorpora</w:t>
      </w:r>
      <w:r w:rsidR="00622A40" w:rsidRPr="00B27735">
        <w:rPr>
          <w:b/>
          <w:bCs/>
          <w:lang w:val="pt-BR"/>
        </w:rPr>
        <w:t>ção</w:t>
      </w:r>
      <w:r w:rsidR="000544D6" w:rsidRPr="00B27735">
        <w:rPr>
          <w:b/>
          <w:bCs/>
          <w:lang w:val="pt-BR"/>
        </w:rPr>
        <w:t xml:space="preserve"> </w:t>
      </w:r>
      <w:r w:rsidR="00622A40" w:rsidRPr="00B27735">
        <w:rPr>
          <w:b/>
          <w:bCs/>
          <w:lang w:val="pt-BR"/>
        </w:rPr>
        <w:t>e</w:t>
      </w:r>
      <w:r w:rsidR="000544D6" w:rsidRPr="00B27735">
        <w:rPr>
          <w:b/>
          <w:bCs/>
          <w:lang w:val="pt-BR"/>
        </w:rPr>
        <w:t xml:space="preserve"> Vig</w:t>
      </w:r>
      <w:r w:rsidR="00622A40" w:rsidRPr="00B27735">
        <w:rPr>
          <w:b/>
          <w:bCs/>
          <w:lang w:val="pt-BR"/>
        </w:rPr>
        <w:t>ê</w:t>
      </w:r>
      <w:r w:rsidR="000544D6" w:rsidRPr="00B27735">
        <w:rPr>
          <w:b/>
          <w:bCs/>
          <w:lang w:val="pt-BR"/>
        </w:rPr>
        <w:t>ncia da Normativa MERCOSU</w:t>
      </w:r>
      <w:r w:rsidR="00622A40" w:rsidRPr="00B27735">
        <w:rPr>
          <w:b/>
          <w:bCs/>
          <w:lang w:val="pt-BR"/>
        </w:rPr>
        <w:t>L</w:t>
      </w:r>
      <w:r w:rsidR="000544D6" w:rsidRPr="00B27735">
        <w:rPr>
          <w:b/>
          <w:bCs/>
          <w:lang w:val="pt-BR"/>
        </w:rPr>
        <w:t xml:space="preserve"> relativa </w:t>
      </w:r>
      <w:r w:rsidR="00CF6FB8" w:rsidRPr="00B27735">
        <w:rPr>
          <w:b/>
          <w:bCs/>
          <w:lang w:val="pt-BR"/>
        </w:rPr>
        <w:t>à</w:t>
      </w:r>
      <w:r w:rsidR="000544D6" w:rsidRPr="00B27735">
        <w:rPr>
          <w:b/>
          <w:bCs/>
          <w:lang w:val="pt-BR"/>
        </w:rPr>
        <w:t xml:space="preserve"> Orige</w:t>
      </w:r>
      <w:r w:rsidR="00622A40" w:rsidRPr="00B27735">
        <w:rPr>
          <w:b/>
          <w:bCs/>
          <w:lang w:val="pt-BR"/>
        </w:rPr>
        <w:t>m</w:t>
      </w:r>
    </w:p>
    <w:p w14:paraId="574FBEDF" w14:textId="77777777" w:rsidR="00C557A8" w:rsidRPr="00B27735" w:rsidRDefault="00C557A8" w:rsidP="000544D6">
      <w:pPr>
        <w:pStyle w:val="Default"/>
        <w:rPr>
          <w:b/>
          <w:bCs/>
          <w:lang w:val="pt-BR"/>
        </w:rPr>
      </w:pPr>
    </w:p>
    <w:p w14:paraId="0A3F0CEF" w14:textId="4C6DF3E8" w:rsidR="00195113" w:rsidRPr="00B27735" w:rsidRDefault="007333F2" w:rsidP="002A0305">
      <w:pPr>
        <w:pStyle w:val="Default"/>
        <w:jc w:val="both"/>
        <w:rPr>
          <w:lang w:val="pt-BR"/>
        </w:rPr>
      </w:pPr>
      <w:r w:rsidRPr="00B27735">
        <w:rPr>
          <w:lang w:val="pt-BR"/>
        </w:rPr>
        <w:t>Reportou-se que as Decisões</w:t>
      </w:r>
      <w:r w:rsidR="002A0305" w:rsidRPr="00B27735">
        <w:rPr>
          <w:lang w:val="pt-BR"/>
        </w:rPr>
        <w:t xml:space="preserve"> CMC</w:t>
      </w:r>
      <w:r w:rsidRPr="00B27735">
        <w:rPr>
          <w:lang w:val="pt-BR"/>
        </w:rPr>
        <w:t xml:space="preserve"> </w:t>
      </w:r>
      <w:r w:rsidR="002A0305" w:rsidRPr="00B27735">
        <w:rPr>
          <w:lang w:val="pt-BR"/>
        </w:rPr>
        <w:t>nº</w:t>
      </w:r>
      <w:r w:rsidRPr="00B27735">
        <w:rPr>
          <w:lang w:val="pt-BR"/>
        </w:rPr>
        <w:t xml:space="preserve"> 5</w:t>
      </w:r>
      <w:r w:rsidR="002A0305" w:rsidRPr="00B27735">
        <w:rPr>
          <w:lang w:val="pt-BR"/>
        </w:rPr>
        <w:t>/2023</w:t>
      </w:r>
      <w:r w:rsidRPr="00B27735">
        <w:rPr>
          <w:lang w:val="pt-BR"/>
        </w:rPr>
        <w:t xml:space="preserve"> e</w:t>
      </w:r>
      <w:r w:rsidR="002A0305" w:rsidRPr="00B27735">
        <w:rPr>
          <w:lang w:val="pt-BR"/>
        </w:rPr>
        <w:t xml:space="preserve"> nº</w:t>
      </w:r>
      <w:r w:rsidRPr="00B27735">
        <w:rPr>
          <w:lang w:val="pt-BR"/>
        </w:rPr>
        <w:t xml:space="preserve"> 6/2023 foram protocolizadas pela ALADI</w:t>
      </w:r>
      <w:r w:rsidR="00D464DB" w:rsidRPr="00B27735">
        <w:rPr>
          <w:lang w:val="pt-BR"/>
        </w:rPr>
        <w:t>, respectivamente Protocolos Adicionais nº 218 e 219</w:t>
      </w:r>
      <w:r w:rsidRPr="00B27735">
        <w:rPr>
          <w:lang w:val="pt-BR"/>
        </w:rPr>
        <w:t>.</w:t>
      </w:r>
      <w:r w:rsidR="00043AED" w:rsidRPr="00B27735">
        <w:rPr>
          <w:lang w:val="pt-BR"/>
        </w:rPr>
        <w:t xml:space="preserve"> Como decorrência, cada Estado Parte discorreu brevemente sobre seu processo de internalização</w:t>
      </w:r>
      <w:r w:rsidR="003C2BAE" w:rsidRPr="00B27735">
        <w:rPr>
          <w:lang w:val="pt-BR"/>
        </w:rPr>
        <w:t xml:space="preserve"> </w:t>
      </w:r>
      <w:r w:rsidR="00D464DB" w:rsidRPr="00B27735">
        <w:rPr>
          <w:lang w:val="pt-BR"/>
        </w:rPr>
        <w:t xml:space="preserve">e reforçaram a importância e o interesse na </w:t>
      </w:r>
      <w:r w:rsidR="009B7941" w:rsidRPr="00B27735">
        <w:rPr>
          <w:lang w:val="pt-BR"/>
        </w:rPr>
        <w:t xml:space="preserve">incorporação aos ordenamentos jurídicos dos estados Partes </w:t>
      </w:r>
      <w:r w:rsidR="00D464DB" w:rsidRPr="00B27735">
        <w:rPr>
          <w:lang w:val="pt-BR"/>
        </w:rPr>
        <w:t>das normas que tratam do Novo Regime de Origem do Bloco.</w:t>
      </w:r>
    </w:p>
    <w:p w14:paraId="3D8A8766" w14:textId="77777777" w:rsidR="00D464DB" w:rsidRPr="00B27735" w:rsidRDefault="00D464DB" w:rsidP="002A0305">
      <w:pPr>
        <w:pStyle w:val="Default"/>
        <w:jc w:val="both"/>
        <w:rPr>
          <w:lang w:val="pt-BR"/>
        </w:rPr>
      </w:pPr>
    </w:p>
    <w:p w14:paraId="09F3AD3B" w14:textId="76FF3E55" w:rsidR="00622A40" w:rsidRPr="00B27735" w:rsidRDefault="00D464DB" w:rsidP="00D464DB">
      <w:pPr>
        <w:pStyle w:val="Default"/>
        <w:jc w:val="both"/>
        <w:rPr>
          <w:lang w:val="pt-BR"/>
        </w:rPr>
      </w:pPr>
      <w:r w:rsidRPr="00B27735">
        <w:rPr>
          <w:lang w:val="pt-BR"/>
        </w:rPr>
        <w:t>Ademais, a informação sobre a protocolização foi incorporada ao documento de trabalho que consta como Anexo IV – MERCOSUL/CXXX CT3 DT Nº 7_2023.</w:t>
      </w:r>
    </w:p>
    <w:p w14:paraId="03631811" w14:textId="77777777" w:rsidR="007333F2" w:rsidRPr="00B27735" w:rsidRDefault="007333F2" w:rsidP="00125473">
      <w:pPr>
        <w:pStyle w:val="Default"/>
        <w:ind w:firstLine="720"/>
        <w:rPr>
          <w:b/>
          <w:bCs/>
          <w:lang w:val="pt-BR"/>
        </w:rPr>
      </w:pPr>
    </w:p>
    <w:p w14:paraId="4CBCF0E8" w14:textId="77777777" w:rsidR="000544D6" w:rsidRPr="00B27735" w:rsidRDefault="000544D6" w:rsidP="000544D6">
      <w:pPr>
        <w:pStyle w:val="Default"/>
        <w:rPr>
          <w:b/>
          <w:bCs/>
          <w:lang w:val="pt-BR"/>
        </w:rPr>
      </w:pPr>
    </w:p>
    <w:p w14:paraId="0C83E03C" w14:textId="64496854" w:rsidR="000544D6" w:rsidRPr="00B27735" w:rsidRDefault="000544D6" w:rsidP="000544D6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 xml:space="preserve">3. </w:t>
      </w:r>
      <w:r w:rsidR="00622A40" w:rsidRPr="00B27735">
        <w:rPr>
          <w:b/>
          <w:bCs/>
          <w:lang w:val="pt-BR"/>
        </w:rPr>
        <w:t>Adequação</w:t>
      </w:r>
      <w:r w:rsidRPr="00B27735">
        <w:rPr>
          <w:b/>
          <w:bCs/>
          <w:lang w:val="pt-BR"/>
        </w:rPr>
        <w:t xml:space="preserve"> dos </w:t>
      </w:r>
      <w:proofErr w:type="spellStart"/>
      <w:r w:rsidRPr="00B27735">
        <w:rPr>
          <w:b/>
          <w:bCs/>
          <w:lang w:val="pt-BR"/>
        </w:rPr>
        <w:t>REOs</w:t>
      </w:r>
      <w:proofErr w:type="spellEnd"/>
      <w:r w:rsidRPr="00B27735">
        <w:rPr>
          <w:b/>
          <w:bCs/>
          <w:lang w:val="pt-BR"/>
        </w:rPr>
        <w:t xml:space="preserve"> e</w:t>
      </w:r>
      <w:r w:rsidR="00622A40" w:rsidRPr="00B27735">
        <w:rPr>
          <w:b/>
          <w:bCs/>
          <w:lang w:val="pt-BR"/>
        </w:rPr>
        <w:t>m</w:t>
      </w:r>
      <w:r w:rsidRPr="00B27735">
        <w:rPr>
          <w:b/>
          <w:bCs/>
          <w:lang w:val="pt-BR"/>
        </w:rPr>
        <w:t xml:space="preserve"> caso de </w:t>
      </w:r>
      <w:r w:rsidR="00622A40" w:rsidRPr="00B27735">
        <w:rPr>
          <w:b/>
          <w:bCs/>
          <w:lang w:val="pt-BR"/>
        </w:rPr>
        <w:t>modificações</w:t>
      </w:r>
      <w:r w:rsidRPr="00B27735">
        <w:rPr>
          <w:b/>
          <w:bCs/>
          <w:lang w:val="pt-BR"/>
        </w:rPr>
        <w:t xml:space="preserve"> </w:t>
      </w:r>
      <w:r w:rsidR="00622A40" w:rsidRPr="00B27735">
        <w:rPr>
          <w:b/>
          <w:bCs/>
          <w:lang w:val="pt-BR"/>
        </w:rPr>
        <w:t>n</w:t>
      </w:r>
      <w:r w:rsidRPr="00B27735">
        <w:rPr>
          <w:b/>
          <w:bCs/>
          <w:lang w:val="pt-BR"/>
        </w:rPr>
        <w:t>a NCM</w:t>
      </w:r>
    </w:p>
    <w:p w14:paraId="6F344BAF" w14:textId="295A44B5" w:rsidR="00622A40" w:rsidRPr="00B27735" w:rsidRDefault="00622A40" w:rsidP="000544D6">
      <w:pPr>
        <w:pStyle w:val="Default"/>
        <w:rPr>
          <w:b/>
          <w:bCs/>
          <w:lang w:val="pt-BR"/>
        </w:rPr>
      </w:pPr>
    </w:p>
    <w:p w14:paraId="136CF28C" w14:textId="6844C63E" w:rsidR="0093040A" w:rsidRPr="00B27735" w:rsidRDefault="0093040A" w:rsidP="0093040A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As delegações </w:t>
      </w:r>
      <w:r w:rsidR="00302A74" w:rsidRPr="00B27735">
        <w:rPr>
          <w:lang w:val="pt-BR"/>
        </w:rPr>
        <w:t>reiteraram</w:t>
      </w:r>
      <w:r w:rsidRPr="00B27735">
        <w:rPr>
          <w:lang w:val="pt-BR"/>
        </w:rPr>
        <w:t xml:space="preserve"> que, </w:t>
      </w:r>
      <w:r w:rsidR="00302A74" w:rsidRPr="00B27735">
        <w:rPr>
          <w:lang w:val="pt-BR"/>
        </w:rPr>
        <w:t>por ocasião</w:t>
      </w:r>
      <w:r w:rsidRPr="00B27735">
        <w:rPr>
          <w:lang w:val="pt-BR"/>
        </w:rPr>
        <w:t xml:space="preserve"> razão do trabalho de atualização da nomenclatura que</w:t>
      </w:r>
      <w:r w:rsidR="00D464DB" w:rsidRPr="00B27735">
        <w:rPr>
          <w:lang w:val="pt-BR"/>
        </w:rPr>
        <w:t xml:space="preserve"> está sendo</w:t>
      </w:r>
      <w:r w:rsidRPr="00B27735">
        <w:rPr>
          <w:lang w:val="pt-BR"/>
        </w:rPr>
        <w:t xml:space="preserve"> realizado (Transposição a NCM 2022)</w:t>
      </w:r>
      <w:r w:rsidR="00302A74" w:rsidRPr="00B27735">
        <w:rPr>
          <w:lang w:val="pt-BR"/>
        </w:rPr>
        <w:t>,</w:t>
      </w:r>
      <w:r w:rsidRPr="00B27735">
        <w:rPr>
          <w:lang w:val="pt-BR"/>
        </w:rPr>
        <w:t xml:space="preserve"> as modificações na nomenclatura </w:t>
      </w:r>
      <w:r w:rsidR="009B7941" w:rsidRPr="00B27735">
        <w:rPr>
          <w:lang w:val="pt-BR"/>
        </w:rPr>
        <w:t xml:space="preserve">2022 </w:t>
      </w:r>
      <w:r w:rsidR="00666A0F" w:rsidRPr="00B27735">
        <w:rPr>
          <w:lang w:val="pt-BR"/>
        </w:rPr>
        <w:t>deverão ser levadas</w:t>
      </w:r>
      <w:r w:rsidRPr="00B27735">
        <w:rPr>
          <w:lang w:val="pt-BR"/>
        </w:rPr>
        <w:t xml:space="preserve"> em conta diretamente no exercício de Transposição. </w:t>
      </w:r>
      <w:r w:rsidR="009B7941" w:rsidRPr="00B27735">
        <w:rPr>
          <w:lang w:val="pt-BR"/>
        </w:rPr>
        <w:t>No entanto, t</w:t>
      </w:r>
      <w:r w:rsidRPr="00B27735">
        <w:rPr>
          <w:lang w:val="pt-BR"/>
        </w:rPr>
        <w:t xml:space="preserve">al exercício deverá ser aprovados </w:t>
      </w:r>
      <w:r w:rsidR="009B7941" w:rsidRPr="00B27735">
        <w:rPr>
          <w:lang w:val="pt-BR"/>
        </w:rPr>
        <w:t xml:space="preserve">primeiramente </w:t>
      </w:r>
      <w:r w:rsidRPr="00B27735">
        <w:rPr>
          <w:lang w:val="pt-BR"/>
        </w:rPr>
        <w:t>pelos Estados Partes.</w:t>
      </w:r>
    </w:p>
    <w:p w14:paraId="070AA97A" w14:textId="77777777" w:rsidR="00C557A8" w:rsidRPr="00B27735" w:rsidRDefault="00C557A8" w:rsidP="000544D6">
      <w:pPr>
        <w:pStyle w:val="Default"/>
        <w:rPr>
          <w:b/>
          <w:bCs/>
          <w:lang w:val="pt-BR"/>
        </w:rPr>
      </w:pPr>
    </w:p>
    <w:p w14:paraId="5A576D10" w14:textId="77777777" w:rsidR="000544D6" w:rsidRPr="00B27735" w:rsidRDefault="000544D6" w:rsidP="000544D6">
      <w:pPr>
        <w:pStyle w:val="Default"/>
        <w:rPr>
          <w:b/>
          <w:bCs/>
          <w:lang w:val="pt-BR"/>
        </w:rPr>
      </w:pPr>
    </w:p>
    <w:p w14:paraId="0529A100" w14:textId="3F145901" w:rsidR="000544D6" w:rsidRPr="00B27735" w:rsidRDefault="000544D6" w:rsidP="000544D6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>4. Aplica</w:t>
      </w:r>
      <w:r w:rsidR="00622A40" w:rsidRPr="00B27735">
        <w:rPr>
          <w:b/>
          <w:bCs/>
          <w:lang w:val="pt-BR"/>
        </w:rPr>
        <w:t>ção</w:t>
      </w:r>
      <w:r w:rsidRPr="00B27735">
        <w:rPr>
          <w:b/>
          <w:bCs/>
          <w:lang w:val="pt-BR"/>
        </w:rPr>
        <w:t xml:space="preserve"> d</w:t>
      </w:r>
      <w:r w:rsidR="00622A40" w:rsidRPr="00B27735">
        <w:rPr>
          <w:b/>
          <w:bCs/>
          <w:lang w:val="pt-BR"/>
        </w:rPr>
        <w:t>o</w:t>
      </w:r>
      <w:r w:rsidRPr="00B27735">
        <w:rPr>
          <w:b/>
          <w:bCs/>
          <w:lang w:val="pt-BR"/>
        </w:rPr>
        <w:t xml:space="preserve"> R</w:t>
      </w:r>
      <w:r w:rsidR="00622A40" w:rsidRPr="00B27735">
        <w:rPr>
          <w:b/>
          <w:bCs/>
          <w:lang w:val="pt-BR"/>
        </w:rPr>
        <w:t>e</w:t>
      </w:r>
      <w:r w:rsidRPr="00B27735">
        <w:rPr>
          <w:b/>
          <w:bCs/>
          <w:lang w:val="pt-BR"/>
        </w:rPr>
        <w:t>gime de Orige</w:t>
      </w:r>
      <w:r w:rsidR="00622A40" w:rsidRPr="00B27735">
        <w:rPr>
          <w:b/>
          <w:bCs/>
          <w:lang w:val="pt-BR"/>
        </w:rPr>
        <w:t>m</w:t>
      </w:r>
      <w:r w:rsidRPr="00B27735">
        <w:rPr>
          <w:b/>
          <w:bCs/>
          <w:lang w:val="pt-BR"/>
        </w:rPr>
        <w:t xml:space="preserve"> MERCOSU</w:t>
      </w:r>
      <w:r w:rsidR="00622A40" w:rsidRPr="00B27735">
        <w:rPr>
          <w:b/>
          <w:bCs/>
          <w:lang w:val="pt-BR"/>
        </w:rPr>
        <w:t>L</w:t>
      </w:r>
    </w:p>
    <w:p w14:paraId="0AA7513C" w14:textId="77777777" w:rsidR="00C557A8" w:rsidRPr="00B27735" w:rsidRDefault="00C557A8" w:rsidP="000544D6">
      <w:pPr>
        <w:pStyle w:val="Default"/>
        <w:rPr>
          <w:b/>
          <w:bCs/>
          <w:lang w:val="pt-BR"/>
        </w:rPr>
      </w:pPr>
    </w:p>
    <w:p w14:paraId="39991C9A" w14:textId="587BC9E5" w:rsidR="009A05BC" w:rsidRPr="00B27735" w:rsidRDefault="00195113" w:rsidP="002A4BCB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 delegação argentina </w:t>
      </w:r>
      <w:r w:rsidR="00E55961" w:rsidRPr="00B27735">
        <w:rPr>
          <w:lang w:val="pt-BR"/>
        </w:rPr>
        <w:t>manifestou sua preocupação pela atualização d</w:t>
      </w:r>
      <w:r w:rsidRPr="00B27735">
        <w:rPr>
          <w:lang w:val="pt-BR"/>
        </w:rPr>
        <w:t>as listas da Decisão CMC nº 33/15</w:t>
      </w:r>
      <w:r w:rsidR="00E55961" w:rsidRPr="00B27735">
        <w:rPr>
          <w:lang w:val="pt-BR"/>
        </w:rPr>
        <w:t xml:space="preserve"> com exemplos práticos no dia a dia da operatória aduaneira. </w:t>
      </w:r>
      <w:r w:rsidRPr="00B27735">
        <w:rPr>
          <w:lang w:val="pt-BR"/>
        </w:rPr>
        <w:t xml:space="preserve"> </w:t>
      </w:r>
      <w:r w:rsidR="00674172" w:rsidRPr="00B27735">
        <w:rPr>
          <w:lang w:val="pt-BR"/>
        </w:rPr>
        <w:t>Também</w:t>
      </w:r>
      <w:r w:rsidR="00E55961" w:rsidRPr="00B27735">
        <w:rPr>
          <w:lang w:val="pt-BR"/>
        </w:rPr>
        <w:t xml:space="preserve"> consulto aos sócios sobre</w:t>
      </w:r>
      <w:r w:rsidR="00D11BC4" w:rsidRPr="00B27735">
        <w:rPr>
          <w:lang w:val="pt-BR"/>
        </w:rPr>
        <w:t xml:space="preserve"> a aplicabilidade</w:t>
      </w:r>
      <w:r w:rsidR="00D06F14" w:rsidRPr="00B27735">
        <w:rPr>
          <w:lang w:val="pt-BR"/>
        </w:rPr>
        <w:t xml:space="preserve"> da norma no caso de acordos </w:t>
      </w:r>
      <w:r w:rsidR="00D06F14" w:rsidRPr="00B27735">
        <w:rPr>
          <w:lang w:val="pt-BR"/>
        </w:rPr>
        <w:lastRenderedPageBreak/>
        <w:t>comerciais que não prevejam expressamente a possibilidade de se depositar as mercadorias em zonas francas ou depósitos aduaneiros</w:t>
      </w:r>
      <w:r w:rsidR="00E55961" w:rsidRPr="00B27735">
        <w:rPr>
          <w:lang w:val="pt-BR"/>
        </w:rPr>
        <w:t xml:space="preserve"> e todos coincidiram que a circulação </w:t>
      </w:r>
      <w:proofErr w:type="spellStart"/>
      <w:r w:rsidR="00E55961" w:rsidRPr="00B27735">
        <w:rPr>
          <w:lang w:val="pt-BR"/>
        </w:rPr>
        <w:t>intra-Mercosul</w:t>
      </w:r>
      <w:proofErr w:type="spellEnd"/>
      <w:r w:rsidR="00E55961" w:rsidRPr="00B27735">
        <w:rPr>
          <w:lang w:val="pt-BR"/>
        </w:rPr>
        <w:t xml:space="preserve"> está permitida</w:t>
      </w:r>
      <w:r w:rsidR="00D06F14" w:rsidRPr="00B27735">
        <w:rPr>
          <w:lang w:val="pt-BR"/>
        </w:rPr>
        <w:t>.</w:t>
      </w:r>
      <w:r w:rsidR="0034735E" w:rsidRPr="00B27735">
        <w:rPr>
          <w:lang w:val="pt-BR"/>
        </w:rPr>
        <w:t xml:space="preserve"> </w:t>
      </w:r>
    </w:p>
    <w:p w14:paraId="724EF0F1" w14:textId="77777777" w:rsidR="009A05BC" w:rsidRPr="00B27735" w:rsidRDefault="009A05BC" w:rsidP="002A4BCB">
      <w:pPr>
        <w:pStyle w:val="Default"/>
        <w:jc w:val="both"/>
        <w:rPr>
          <w:lang w:val="pt-BR"/>
        </w:rPr>
      </w:pPr>
    </w:p>
    <w:p w14:paraId="294BB31E" w14:textId="40A17CC7" w:rsidR="00622A40" w:rsidRPr="00B27735" w:rsidRDefault="00666A0F" w:rsidP="002A4BCB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As delegações intercambiaram suas posições sobre o tema, chegando-se </w:t>
      </w:r>
      <w:proofErr w:type="gramStart"/>
      <w:r w:rsidRPr="00B27735">
        <w:rPr>
          <w:lang w:val="pt-BR"/>
        </w:rPr>
        <w:t>a</w:t>
      </w:r>
      <w:proofErr w:type="gramEnd"/>
      <w:r w:rsidRPr="00B27735">
        <w:rPr>
          <w:lang w:val="pt-BR"/>
        </w:rPr>
        <w:t xml:space="preserve"> concordância sobre a importância da atualização das listas da 33/15 de forma mais ágil</w:t>
      </w:r>
      <w:r w:rsidR="0034735E" w:rsidRPr="00B27735">
        <w:rPr>
          <w:lang w:val="pt-BR"/>
        </w:rPr>
        <w:t>.</w:t>
      </w:r>
      <w:r w:rsidRPr="00B27735">
        <w:rPr>
          <w:lang w:val="pt-BR"/>
        </w:rPr>
        <w:t xml:space="preserve"> Os técnicos também abordaram as possíveis dificuldades por conta da diferença da nomenclatura dessa lista e dos Acordos vigentes. </w:t>
      </w:r>
      <w:r w:rsidR="00050211" w:rsidRPr="00B27735">
        <w:rPr>
          <w:lang w:val="pt-BR"/>
        </w:rPr>
        <w:t>O tema permanece</w:t>
      </w:r>
      <w:r w:rsidR="00E55961" w:rsidRPr="00B27735">
        <w:rPr>
          <w:lang w:val="pt-BR"/>
        </w:rPr>
        <w:t>rá</w:t>
      </w:r>
      <w:r w:rsidR="00050211" w:rsidRPr="00B27735">
        <w:rPr>
          <w:lang w:val="pt-BR"/>
        </w:rPr>
        <w:t xml:space="preserve"> na agenda.</w:t>
      </w:r>
    </w:p>
    <w:p w14:paraId="6D9D48C8" w14:textId="45FE2188" w:rsidR="009D7C61" w:rsidRPr="00B27735" w:rsidRDefault="009D7C61" w:rsidP="002A4BCB">
      <w:pPr>
        <w:pStyle w:val="Default"/>
        <w:jc w:val="both"/>
        <w:rPr>
          <w:lang w:val="pt-BR"/>
        </w:rPr>
      </w:pPr>
    </w:p>
    <w:p w14:paraId="4159486E" w14:textId="5E14AED1" w:rsidR="009D7C61" w:rsidRPr="00B27735" w:rsidRDefault="009D7C61" w:rsidP="002A4BCB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Em outro tópico, a delegação brasileira pautou a apresentação de um </w:t>
      </w:r>
      <w:r w:rsidRPr="00B27735">
        <w:rPr>
          <w:i/>
          <w:iCs/>
          <w:lang w:val="pt-BR"/>
        </w:rPr>
        <w:t>non-</w:t>
      </w:r>
      <w:proofErr w:type="spellStart"/>
      <w:r w:rsidRPr="00B27735">
        <w:rPr>
          <w:i/>
          <w:iCs/>
          <w:lang w:val="pt-BR"/>
        </w:rPr>
        <w:t>paper</w:t>
      </w:r>
      <w:proofErr w:type="spellEnd"/>
      <w:r w:rsidRPr="00B27735">
        <w:rPr>
          <w:lang w:val="pt-BR"/>
        </w:rPr>
        <w:t xml:space="preserve"> sobre jogos e sortidos</w:t>
      </w:r>
      <w:r w:rsidR="00520683" w:rsidRPr="00B27735">
        <w:rPr>
          <w:lang w:val="pt-BR"/>
        </w:rPr>
        <w:t>, com exemplos de situações práticas para ouvir as considerações dos sócios acerca d</w:t>
      </w:r>
      <w:r w:rsidR="008F3A73" w:rsidRPr="00B27735">
        <w:rPr>
          <w:lang w:val="pt-BR"/>
        </w:rPr>
        <w:t>a análise d</w:t>
      </w:r>
      <w:r w:rsidR="00520683" w:rsidRPr="00B27735">
        <w:rPr>
          <w:lang w:val="pt-BR"/>
        </w:rPr>
        <w:t>o cumprimento d</w:t>
      </w:r>
      <w:r w:rsidR="008F3A73" w:rsidRPr="00B27735">
        <w:rPr>
          <w:lang w:val="pt-BR"/>
        </w:rPr>
        <w:t>as normas de</w:t>
      </w:r>
      <w:r w:rsidR="00520683" w:rsidRPr="00B27735">
        <w:rPr>
          <w:lang w:val="pt-BR"/>
        </w:rPr>
        <w:t xml:space="preserve"> origem. Nesse diapasão, o Brasil entende que a classificação fiscal do produto exportado definirá a regra de origem que deve ser endereçada. As delegações seguem em </w:t>
      </w:r>
      <w:r w:rsidR="008F3A73" w:rsidRPr="00B27735">
        <w:rPr>
          <w:lang w:val="pt-BR"/>
        </w:rPr>
        <w:t>analisando o tem, o qual permanecerá na agenda.</w:t>
      </w:r>
    </w:p>
    <w:p w14:paraId="00B42A02" w14:textId="77777777" w:rsidR="000544D6" w:rsidRPr="00B27735" w:rsidRDefault="000544D6" w:rsidP="000544D6">
      <w:pPr>
        <w:pStyle w:val="Default"/>
        <w:rPr>
          <w:b/>
          <w:bCs/>
          <w:lang w:val="pt-BR"/>
        </w:rPr>
      </w:pPr>
    </w:p>
    <w:p w14:paraId="378D4481" w14:textId="4FE4246B" w:rsidR="000544D6" w:rsidRPr="00B27735" w:rsidRDefault="000544D6" w:rsidP="000544D6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>5. COD Atualiza</w:t>
      </w:r>
      <w:r w:rsidR="00622A40" w:rsidRPr="00B27735">
        <w:rPr>
          <w:b/>
          <w:bCs/>
          <w:lang w:val="pt-BR"/>
        </w:rPr>
        <w:t>ção</w:t>
      </w:r>
      <w:r w:rsidRPr="00B27735">
        <w:rPr>
          <w:b/>
          <w:bCs/>
          <w:lang w:val="pt-BR"/>
        </w:rPr>
        <w:t xml:space="preserve"> </w:t>
      </w:r>
      <w:r w:rsidR="00622A40" w:rsidRPr="00B27735">
        <w:rPr>
          <w:b/>
          <w:bCs/>
          <w:lang w:val="pt-BR"/>
        </w:rPr>
        <w:t>e</w:t>
      </w:r>
      <w:r w:rsidRPr="00B27735">
        <w:rPr>
          <w:b/>
          <w:bCs/>
          <w:lang w:val="pt-BR"/>
        </w:rPr>
        <w:t xml:space="preserve"> Seguimento </w:t>
      </w:r>
      <w:r w:rsidR="00622A40" w:rsidRPr="00B27735">
        <w:rPr>
          <w:b/>
          <w:bCs/>
          <w:lang w:val="pt-BR"/>
        </w:rPr>
        <w:t>no</w:t>
      </w:r>
      <w:r w:rsidRPr="00B27735">
        <w:rPr>
          <w:b/>
          <w:bCs/>
          <w:lang w:val="pt-BR"/>
        </w:rPr>
        <w:t xml:space="preserve"> MERCOSU</w:t>
      </w:r>
      <w:r w:rsidR="00622A40" w:rsidRPr="00B27735">
        <w:rPr>
          <w:b/>
          <w:bCs/>
          <w:lang w:val="pt-BR"/>
        </w:rPr>
        <w:t>L</w:t>
      </w:r>
    </w:p>
    <w:p w14:paraId="7E55EA7E" w14:textId="139A3A44" w:rsidR="00C557A8" w:rsidRPr="00B27735" w:rsidRDefault="00C557A8" w:rsidP="000544D6">
      <w:pPr>
        <w:pStyle w:val="Default"/>
        <w:rPr>
          <w:b/>
          <w:bCs/>
          <w:lang w:val="pt-BR"/>
        </w:rPr>
      </w:pPr>
    </w:p>
    <w:p w14:paraId="1EB9FEB9" w14:textId="1F59D9BC" w:rsidR="00071796" w:rsidRPr="00B27735" w:rsidRDefault="008243A8" w:rsidP="002A4BCB">
      <w:pPr>
        <w:pStyle w:val="Default"/>
        <w:jc w:val="both"/>
        <w:rPr>
          <w:lang w:val="pt-BR"/>
        </w:rPr>
      </w:pPr>
      <w:r w:rsidRPr="00B27735">
        <w:rPr>
          <w:lang w:val="pt-BR"/>
        </w:rPr>
        <w:t>A</w:t>
      </w:r>
      <w:r w:rsidR="005D471F" w:rsidRPr="00B27735">
        <w:rPr>
          <w:lang w:val="pt-BR"/>
        </w:rPr>
        <w:t xml:space="preserve"> delegação</w:t>
      </w:r>
      <w:r w:rsidRPr="00B27735">
        <w:rPr>
          <w:lang w:val="pt-BR"/>
        </w:rPr>
        <w:t xml:space="preserve"> </w:t>
      </w:r>
      <w:r w:rsidR="005D471F" w:rsidRPr="00B27735">
        <w:rPr>
          <w:lang w:val="pt-BR"/>
        </w:rPr>
        <w:t>a</w:t>
      </w:r>
      <w:r w:rsidR="00071796" w:rsidRPr="00B27735">
        <w:rPr>
          <w:lang w:val="pt-BR"/>
        </w:rPr>
        <w:t xml:space="preserve">rgentina </w:t>
      </w:r>
      <w:r w:rsidRPr="00B27735">
        <w:rPr>
          <w:lang w:val="pt-BR"/>
        </w:rPr>
        <w:t xml:space="preserve">relatou ter publicado a </w:t>
      </w:r>
      <w:r w:rsidR="00071796" w:rsidRPr="00B27735">
        <w:rPr>
          <w:lang w:val="pt-BR"/>
        </w:rPr>
        <w:t>Resolução AFIP No 5426 no dia 2/10/23, informando o início do Plano Piloto com a Colômbia</w:t>
      </w:r>
      <w:r w:rsidR="007A68C0" w:rsidRPr="00B27735">
        <w:rPr>
          <w:lang w:val="pt-BR"/>
        </w:rPr>
        <w:t xml:space="preserve"> (na versão 1.8.3)</w:t>
      </w:r>
      <w:r w:rsidR="00071796" w:rsidRPr="00B27735">
        <w:rPr>
          <w:lang w:val="pt-BR"/>
        </w:rPr>
        <w:t>.</w:t>
      </w:r>
      <w:r w:rsidR="005B603E" w:rsidRPr="00B27735">
        <w:rPr>
          <w:lang w:val="pt-BR"/>
        </w:rPr>
        <w:br/>
      </w:r>
      <w:r w:rsidR="005B603E" w:rsidRPr="00B27735">
        <w:rPr>
          <w:lang w:val="pt-BR"/>
        </w:rPr>
        <w:br/>
      </w:r>
      <w:r w:rsidR="005D471F" w:rsidRPr="00B27735">
        <w:rPr>
          <w:lang w:val="pt-BR"/>
        </w:rPr>
        <w:t>A delegação do Brasil</w:t>
      </w:r>
      <w:r w:rsidR="005B603E" w:rsidRPr="00B27735">
        <w:rPr>
          <w:lang w:val="pt-BR"/>
        </w:rPr>
        <w:t xml:space="preserve"> relatou que seu novo sistema receptor, em fase final de homologação, terá gestão compartilhada entre a SECEX e a Receita Federal do Brasil, facilitando a futura incorporações de novas versões do COD</w:t>
      </w:r>
      <w:r w:rsidR="006B2BEB" w:rsidRPr="00B27735">
        <w:rPr>
          <w:lang w:val="pt-BR"/>
        </w:rPr>
        <w:t>.</w:t>
      </w:r>
      <w:r w:rsidR="007A68C0" w:rsidRPr="00B27735">
        <w:rPr>
          <w:lang w:val="pt-BR"/>
        </w:rPr>
        <w:br/>
      </w:r>
      <w:r w:rsidR="007A68C0" w:rsidRPr="00B27735">
        <w:rPr>
          <w:lang w:val="pt-BR"/>
        </w:rPr>
        <w:br/>
      </w:r>
      <w:r w:rsidR="005D471F" w:rsidRPr="00B27735">
        <w:rPr>
          <w:lang w:val="pt-BR"/>
        </w:rPr>
        <w:t>A delegação paraguaia</w:t>
      </w:r>
      <w:r w:rsidRPr="00B27735">
        <w:rPr>
          <w:lang w:val="pt-BR"/>
        </w:rPr>
        <w:t>, por seu turno,</w:t>
      </w:r>
      <w:r w:rsidR="007A68C0" w:rsidRPr="00B27735">
        <w:rPr>
          <w:lang w:val="pt-BR"/>
        </w:rPr>
        <w:t xml:space="preserve"> informou ter encerrado a homologação externa com a Bolívia (na versão 1.8.3).</w:t>
      </w:r>
      <w:r w:rsidR="00071796" w:rsidRPr="00B27735">
        <w:rPr>
          <w:lang w:val="pt-BR"/>
        </w:rPr>
        <w:t xml:space="preserve">  </w:t>
      </w:r>
    </w:p>
    <w:p w14:paraId="74E21265" w14:textId="1FE8A39B" w:rsidR="002C130E" w:rsidRPr="00B27735" w:rsidRDefault="002C130E" w:rsidP="002A4BCB">
      <w:pPr>
        <w:pStyle w:val="Default"/>
        <w:jc w:val="both"/>
        <w:rPr>
          <w:lang w:val="pt-BR"/>
        </w:rPr>
      </w:pPr>
    </w:p>
    <w:p w14:paraId="35EA557B" w14:textId="4B88B5D4" w:rsidR="00674172" w:rsidRPr="00B27735" w:rsidRDefault="00674172" w:rsidP="002A4BCB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As delegações de Uruguai y Paraguai informaram que </w:t>
      </w:r>
      <w:r w:rsidR="00A1586C" w:rsidRPr="00B27735">
        <w:rPr>
          <w:lang w:val="pt-BR"/>
        </w:rPr>
        <w:t>estabeleceram contato com a</w:t>
      </w:r>
      <w:r w:rsidR="003D0C17" w:rsidRPr="00B27735">
        <w:rPr>
          <w:lang w:val="pt-BR"/>
        </w:rPr>
        <w:t xml:space="preserve"> </w:t>
      </w:r>
      <w:r w:rsidR="00A1586C" w:rsidRPr="00B27735">
        <w:rPr>
          <w:lang w:val="pt-BR"/>
        </w:rPr>
        <w:t xml:space="preserve">finalidade de explorar a possibilidade de implementar o uso exclusivo do COD </w:t>
      </w:r>
      <w:r w:rsidR="003D0C17" w:rsidRPr="00B27735">
        <w:rPr>
          <w:lang w:val="pt-BR"/>
        </w:rPr>
        <w:t xml:space="preserve">e, com isso, eliminar o formato papel no comércio bilateral. </w:t>
      </w:r>
      <w:r w:rsidR="00B27735" w:rsidRPr="00B27735">
        <w:rPr>
          <w:lang w:val="pt-BR"/>
        </w:rPr>
        <w:t>Adem</w:t>
      </w:r>
      <w:r w:rsidR="00B27735">
        <w:rPr>
          <w:lang w:val="pt-BR"/>
        </w:rPr>
        <w:t xml:space="preserve">ais, Uruguai </w:t>
      </w:r>
      <w:r w:rsidR="00B92ACA">
        <w:rPr>
          <w:lang w:val="pt-BR"/>
        </w:rPr>
        <w:t xml:space="preserve">informou que tem previsão contatos com a Colômbia para planejar os trabalhos de implementação </w:t>
      </w:r>
      <w:r w:rsidR="00A5116D">
        <w:rPr>
          <w:lang w:val="pt-BR"/>
        </w:rPr>
        <w:t xml:space="preserve">do COD entre os países, com a participação das respectivas </w:t>
      </w:r>
      <w:proofErr w:type="spellStart"/>
      <w:r w:rsidR="00A5116D">
        <w:rPr>
          <w:lang w:val="pt-BR"/>
        </w:rPr>
        <w:t>VUCEs</w:t>
      </w:r>
      <w:proofErr w:type="spellEnd"/>
      <w:r w:rsidR="00A5116D">
        <w:rPr>
          <w:lang w:val="pt-BR"/>
        </w:rPr>
        <w:t>.</w:t>
      </w:r>
    </w:p>
    <w:p w14:paraId="005518D5" w14:textId="77777777" w:rsidR="00B27735" w:rsidRPr="00B27735" w:rsidRDefault="00B27735" w:rsidP="002A4BCB">
      <w:pPr>
        <w:pStyle w:val="Default"/>
        <w:jc w:val="both"/>
        <w:rPr>
          <w:lang w:val="pt-BR"/>
        </w:rPr>
      </w:pPr>
    </w:p>
    <w:p w14:paraId="5B9BFB31" w14:textId="30FD146D" w:rsidR="00622A40" w:rsidRPr="00B27735" w:rsidRDefault="00C82FB4" w:rsidP="002A4BCB">
      <w:pPr>
        <w:pStyle w:val="Default"/>
        <w:jc w:val="both"/>
        <w:rPr>
          <w:lang w:val="pt-BR"/>
        </w:rPr>
      </w:pPr>
      <w:r w:rsidRPr="00B27735">
        <w:rPr>
          <w:lang w:val="pt-BR"/>
        </w:rPr>
        <w:t>Por fim, as partes abordaram o trabalho de simplificação dos formulários dos Certificados de Origem liderado pela ALADI</w:t>
      </w:r>
      <w:r w:rsidR="008F3A73" w:rsidRPr="00B27735">
        <w:rPr>
          <w:lang w:val="pt-BR"/>
        </w:rPr>
        <w:t xml:space="preserve"> e sua relação com o novo formulário estabelecido na Decisão CMC Nº 05/2023 (Novo ROM)</w:t>
      </w:r>
      <w:r w:rsidRPr="00B27735">
        <w:rPr>
          <w:lang w:val="pt-BR"/>
        </w:rPr>
        <w:t>.</w:t>
      </w:r>
    </w:p>
    <w:p w14:paraId="41AF48CC" w14:textId="77777777" w:rsidR="000544D6" w:rsidRPr="00B27735" w:rsidRDefault="000544D6" w:rsidP="000544D6">
      <w:pPr>
        <w:pStyle w:val="Default"/>
        <w:rPr>
          <w:b/>
          <w:bCs/>
          <w:lang w:val="pt-BR"/>
        </w:rPr>
      </w:pPr>
    </w:p>
    <w:p w14:paraId="3567108B" w14:textId="4111EADF" w:rsidR="000544D6" w:rsidRPr="00B27735" w:rsidRDefault="000544D6" w:rsidP="000544D6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 xml:space="preserve">6. </w:t>
      </w:r>
      <w:proofErr w:type="spellStart"/>
      <w:r w:rsidRPr="00B27735">
        <w:rPr>
          <w:b/>
          <w:bCs/>
          <w:lang w:val="pt-BR"/>
        </w:rPr>
        <w:t>Relacionamiento</w:t>
      </w:r>
      <w:proofErr w:type="spellEnd"/>
      <w:r w:rsidRPr="00B27735">
        <w:rPr>
          <w:b/>
          <w:bCs/>
          <w:lang w:val="pt-BR"/>
        </w:rPr>
        <w:t xml:space="preserve"> Externo</w:t>
      </w:r>
      <w:r w:rsidR="00C27245" w:rsidRPr="00B27735">
        <w:rPr>
          <w:b/>
          <w:bCs/>
          <w:lang w:val="pt-BR"/>
        </w:rPr>
        <w:t xml:space="preserve">- </w:t>
      </w:r>
      <w:proofErr w:type="spellStart"/>
      <w:r w:rsidR="00C27245" w:rsidRPr="00B27735">
        <w:rPr>
          <w:b/>
          <w:bCs/>
          <w:lang w:val="pt-BR"/>
        </w:rPr>
        <w:t>relevamiento</w:t>
      </w:r>
      <w:proofErr w:type="spellEnd"/>
      <w:r w:rsidR="00C27245" w:rsidRPr="00B27735">
        <w:rPr>
          <w:b/>
          <w:bCs/>
          <w:lang w:val="pt-BR"/>
        </w:rPr>
        <w:t xml:space="preserve"> de </w:t>
      </w:r>
      <w:proofErr w:type="spellStart"/>
      <w:r w:rsidR="00C27245" w:rsidRPr="00B27735">
        <w:rPr>
          <w:b/>
          <w:bCs/>
          <w:lang w:val="pt-BR"/>
        </w:rPr>
        <w:t>negociaciones</w:t>
      </w:r>
      <w:proofErr w:type="spellEnd"/>
      <w:r w:rsidR="00C27245" w:rsidRPr="00B27735">
        <w:rPr>
          <w:b/>
          <w:bCs/>
          <w:lang w:val="pt-BR"/>
        </w:rPr>
        <w:t xml:space="preserve">: </w:t>
      </w:r>
    </w:p>
    <w:p w14:paraId="676C33AB" w14:textId="77777777" w:rsidR="00C557A8" w:rsidRPr="00B27735" w:rsidRDefault="00C557A8" w:rsidP="000544D6">
      <w:pPr>
        <w:pStyle w:val="Default"/>
        <w:rPr>
          <w:b/>
          <w:bCs/>
          <w:lang w:val="pt-BR"/>
        </w:rPr>
      </w:pPr>
    </w:p>
    <w:p w14:paraId="4BE720FB" w14:textId="77777777" w:rsidR="00622A40" w:rsidRPr="00B27735" w:rsidRDefault="00622A40" w:rsidP="000544D6">
      <w:pPr>
        <w:pStyle w:val="Default"/>
        <w:rPr>
          <w:b/>
          <w:bCs/>
          <w:lang w:val="pt-BR"/>
        </w:rPr>
      </w:pPr>
    </w:p>
    <w:p w14:paraId="4C8F52CA" w14:textId="7CE92807" w:rsidR="000544D6" w:rsidRPr="00B27735" w:rsidRDefault="000544D6" w:rsidP="000544D6">
      <w:pPr>
        <w:pStyle w:val="Default"/>
        <w:ind w:left="720"/>
        <w:rPr>
          <w:b/>
          <w:bCs/>
          <w:lang w:val="pt-BR"/>
        </w:rPr>
      </w:pPr>
      <w:r w:rsidRPr="00B27735">
        <w:rPr>
          <w:b/>
          <w:bCs/>
          <w:lang w:val="pt-BR"/>
        </w:rPr>
        <w:t>6.1 Mercosu</w:t>
      </w:r>
      <w:r w:rsidR="00622A40" w:rsidRPr="00B27735">
        <w:rPr>
          <w:b/>
          <w:bCs/>
          <w:lang w:val="pt-BR"/>
        </w:rPr>
        <w:t>l</w:t>
      </w:r>
      <w:r w:rsidRPr="00B27735">
        <w:rPr>
          <w:b/>
          <w:bCs/>
          <w:lang w:val="pt-BR"/>
        </w:rPr>
        <w:t>-Chile</w:t>
      </w:r>
    </w:p>
    <w:p w14:paraId="17B1957F" w14:textId="01D6B600" w:rsidR="00622A40" w:rsidRPr="00B27735" w:rsidRDefault="00622A40" w:rsidP="000544D6">
      <w:pPr>
        <w:pStyle w:val="Default"/>
        <w:ind w:left="720"/>
        <w:rPr>
          <w:b/>
          <w:bCs/>
          <w:lang w:val="pt-BR"/>
        </w:rPr>
      </w:pPr>
    </w:p>
    <w:p w14:paraId="2510D47A" w14:textId="52250663" w:rsidR="00E810CF" w:rsidRPr="00B27735" w:rsidRDefault="00E810CF" w:rsidP="008F3A73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As partes compartilharam impressões sobre a </w:t>
      </w:r>
      <w:r w:rsidR="008F3A73" w:rsidRPr="00B27735">
        <w:rPr>
          <w:lang w:val="pt-BR"/>
        </w:rPr>
        <w:t xml:space="preserve">rodada de negociação </w:t>
      </w:r>
      <w:r w:rsidRPr="00B27735">
        <w:rPr>
          <w:lang w:val="pt-BR"/>
        </w:rPr>
        <w:t>com Chile</w:t>
      </w:r>
      <w:r w:rsidR="008F3A73" w:rsidRPr="00B27735">
        <w:rPr>
          <w:lang w:val="pt-BR"/>
        </w:rPr>
        <w:t>, que ocorreu nos dias 26 e 27 de outubro do corrente ano</w:t>
      </w:r>
      <w:r w:rsidR="006B1D7F">
        <w:rPr>
          <w:lang w:val="pt-BR"/>
        </w:rPr>
        <w:t xml:space="preserve">, na qual se trabalhou </w:t>
      </w:r>
      <w:r w:rsidR="002F1CAF">
        <w:rPr>
          <w:lang w:val="pt-BR"/>
        </w:rPr>
        <w:t xml:space="preserve">na </w:t>
      </w:r>
      <w:r w:rsidR="002F1CAF">
        <w:rPr>
          <w:lang w:val="pt-BR"/>
        </w:rPr>
        <w:lastRenderedPageBreak/>
        <w:t>Seção B do Regime de Origem do ACE 35 (Procedimentos vinculados a Origem)</w:t>
      </w:r>
      <w:r w:rsidRPr="00B27735">
        <w:rPr>
          <w:lang w:val="pt-BR"/>
        </w:rPr>
        <w:t xml:space="preserve"> e destacaram </w:t>
      </w:r>
      <w:r w:rsidR="009A6BA7" w:rsidRPr="00B27735">
        <w:rPr>
          <w:lang w:val="pt-BR"/>
        </w:rPr>
        <w:t>as</w:t>
      </w:r>
      <w:r w:rsidRPr="00B27735">
        <w:rPr>
          <w:lang w:val="pt-BR"/>
        </w:rPr>
        <w:t xml:space="preserve"> questões </w:t>
      </w:r>
      <w:r w:rsidR="009A6BA7" w:rsidRPr="00C64C38">
        <w:rPr>
          <w:lang w:val="pt-BR"/>
        </w:rPr>
        <w:t xml:space="preserve">mais relevantes </w:t>
      </w:r>
      <w:r w:rsidRPr="00B27735">
        <w:rPr>
          <w:lang w:val="pt-BR"/>
        </w:rPr>
        <w:t>como pendências</w:t>
      </w:r>
      <w:r w:rsidR="002E0FCC">
        <w:rPr>
          <w:lang w:val="pt-BR"/>
        </w:rPr>
        <w:t xml:space="preserve"> em relação a essa Seção. Ademias, </w:t>
      </w:r>
      <w:r w:rsidR="00E70D3B" w:rsidRPr="00B27735">
        <w:rPr>
          <w:lang w:val="pt-BR"/>
        </w:rPr>
        <w:t xml:space="preserve">resta pendente </w:t>
      </w:r>
      <w:r w:rsidR="00D2546A" w:rsidRPr="00B27735">
        <w:rPr>
          <w:lang w:val="pt-BR"/>
        </w:rPr>
        <w:t>a resp</w:t>
      </w:r>
      <w:r w:rsidR="002E0FCC">
        <w:rPr>
          <w:lang w:val="pt-BR"/>
        </w:rPr>
        <w:t>o</w:t>
      </w:r>
      <w:r w:rsidR="00D2546A" w:rsidRPr="00B27735">
        <w:rPr>
          <w:lang w:val="pt-BR"/>
        </w:rPr>
        <w:t>sta d</w:t>
      </w:r>
      <w:r w:rsidR="002E0FCC">
        <w:rPr>
          <w:lang w:val="pt-BR"/>
        </w:rPr>
        <w:t>o</w:t>
      </w:r>
      <w:r w:rsidR="00D2546A" w:rsidRPr="00B27735">
        <w:rPr>
          <w:lang w:val="pt-BR"/>
        </w:rPr>
        <w:t xml:space="preserve"> </w:t>
      </w:r>
      <w:r w:rsidR="002E0FCC">
        <w:rPr>
          <w:lang w:val="pt-BR"/>
        </w:rPr>
        <w:t>lado chileno</w:t>
      </w:r>
      <w:r w:rsidR="00D2546A" w:rsidRPr="00B27735">
        <w:rPr>
          <w:lang w:val="pt-BR"/>
        </w:rPr>
        <w:t xml:space="preserve"> para </w:t>
      </w:r>
      <w:r w:rsidR="00E70D3B" w:rsidRPr="00B27735">
        <w:rPr>
          <w:lang w:val="pt-BR"/>
        </w:rPr>
        <w:t>avan</w:t>
      </w:r>
      <w:r w:rsidR="002E0FCC">
        <w:rPr>
          <w:lang w:val="pt-BR"/>
        </w:rPr>
        <w:t>ç</w:t>
      </w:r>
      <w:r w:rsidR="00E70D3B" w:rsidRPr="00B27735">
        <w:rPr>
          <w:lang w:val="pt-BR"/>
        </w:rPr>
        <w:t xml:space="preserve">ar </w:t>
      </w:r>
      <w:r w:rsidR="002E0FCC">
        <w:rPr>
          <w:lang w:val="pt-BR"/>
        </w:rPr>
        <w:t>na</w:t>
      </w:r>
      <w:r w:rsidR="00E70D3B" w:rsidRPr="00B27735">
        <w:rPr>
          <w:lang w:val="pt-BR"/>
        </w:rPr>
        <w:t xml:space="preserve"> prop</w:t>
      </w:r>
      <w:r w:rsidR="009F06CA">
        <w:rPr>
          <w:lang w:val="pt-BR"/>
        </w:rPr>
        <w:t>o</w:t>
      </w:r>
      <w:r w:rsidR="00E70D3B" w:rsidRPr="00B27735">
        <w:rPr>
          <w:lang w:val="pt-BR"/>
        </w:rPr>
        <w:t>sta de Ap</w:t>
      </w:r>
      <w:r w:rsidR="009F06CA">
        <w:rPr>
          <w:lang w:val="pt-BR"/>
        </w:rPr>
        <w:t>ê</w:t>
      </w:r>
      <w:r w:rsidR="00E70D3B" w:rsidRPr="00B27735">
        <w:rPr>
          <w:lang w:val="pt-BR"/>
        </w:rPr>
        <w:t xml:space="preserve">ndices que </w:t>
      </w:r>
      <w:r w:rsidR="009F06CA">
        <w:rPr>
          <w:lang w:val="pt-BR"/>
        </w:rPr>
        <w:t xml:space="preserve">o </w:t>
      </w:r>
      <w:r w:rsidR="00E70D3B" w:rsidRPr="00B27735">
        <w:rPr>
          <w:lang w:val="pt-BR"/>
        </w:rPr>
        <w:t xml:space="preserve">MERCOSUR </w:t>
      </w:r>
      <w:r w:rsidR="009F06CA">
        <w:rPr>
          <w:lang w:val="pt-BR"/>
        </w:rPr>
        <w:t xml:space="preserve">apresentou </w:t>
      </w:r>
      <w:r w:rsidR="00E70D3B" w:rsidRPr="00B27735">
        <w:rPr>
          <w:lang w:val="pt-BR"/>
        </w:rPr>
        <w:t>oportunamente</w:t>
      </w:r>
      <w:r w:rsidR="00EB51F7">
        <w:rPr>
          <w:lang w:val="pt-BR"/>
        </w:rPr>
        <w:t>, bem como</w:t>
      </w:r>
      <w:r w:rsidR="00E70D3B" w:rsidRPr="00B27735">
        <w:rPr>
          <w:lang w:val="pt-BR"/>
        </w:rPr>
        <w:t xml:space="preserve"> </w:t>
      </w:r>
      <w:r w:rsidR="00EB51F7">
        <w:rPr>
          <w:lang w:val="pt-BR"/>
        </w:rPr>
        <w:t>os</w:t>
      </w:r>
      <w:r w:rsidR="00E70D3B" w:rsidRPr="00B27735">
        <w:rPr>
          <w:lang w:val="pt-BR"/>
        </w:rPr>
        <w:t xml:space="preserve"> aspectos que est</w:t>
      </w:r>
      <w:r w:rsidR="00EB51F7">
        <w:rPr>
          <w:lang w:val="pt-BR"/>
        </w:rPr>
        <w:t>ão</w:t>
      </w:r>
      <w:r w:rsidR="00E70D3B" w:rsidRPr="00B27735">
        <w:rPr>
          <w:lang w:val="pt-BR"/>
        </w:rPr>
        <w:t xml:space="preserve"> pendentes de defini</w:t>
      </w:r>
      <w:r w:rsidR="00EB51F7">
        <w:rPr>
          <w:lang w:val="pt-BR"/>
        </w:rPr>
        <w:t>ção</w:t>
      </w:r>
      <w:r w:rsidR="00E70D3B" w:rsidRPr="00B27735">
        <w:rPr>
          <w:lang w:val="pt-BR"/>
        </w:rPr>
        <w:t xml:space="preserve"> </w:t>
      </w:r>
      <w:r w:rsidR="00D316D9" w:rsidRPr="00B27735">
        <w:rPr>
          <w:lang w:val="pt-BR"/>
        </w:rPr>
        <w:t>por parte d</w:t>
      </w:r>
      <w:r w:rsidR="00EB51F7">
        <w:rPr>
          <w:lang w:val="pt-BR"/>
        </w:rPr>
        <w:t>o</w:t>
      </w:r>
      <w:r w:rsidR="00D316D9" w:rsidRPr="00B27735">
        <w:rPr>
          <w:lang w:val="pt-BR"/>
        </w:rPr>
        <w:t xml:space="preserve"> M</w:t>
      </w:r>
      <w:r w:rsidR="00EB51F7">
        <w:rPr>
          <w:lang w:val="pt-BR"/>
        </w:rPr>
        <w:t>ercosul</w:t>
      </w:r>
      <w:r w:rsidR="00D316D9" w:rsidRPr="00B27735">
        <w:rPr>
          <w:lang w:val="pt-BR"/>
        </w:rPr>
        <w:t xml:space="preserve"> </w:t>
      </w:r>
      <w:r w:rsidR="00EB51F7">
        <w:rPr>
          <w:lang w:val="pt-BR"/>
        </w:rPr>
        <w:t>na</w:t>
      </w:r>
      <w:r w:rsidR="00E70D3B" w:rsidRPr="00B27735">
        <w:rPr>
          <w:lang w:val="pt-BR"/>
        </w:rPr>
        <w:t xml:space="preserve"> </w:t>
      </w:r>
      <w:r w:rsidR="00EB51F7">
        <w:rPr>
          <w:lang w:val="pt-BR"/>
        </w:rPr>
        <w:t>Seção</w:t>
      </w:r>
      <w:r w:rsidR="00E70D3B" w:rsidRPr="00B27735">
        <w:rPr>
          <w:lang w:val="pt-BR"/>
        </w:rPr>
        <w:t xml:space="preserve"> </w:t>
      </w:r>
      <w:proofErr w:type="spellStart"/>
      <w:r w:rsidR="00E70D3B" w:rsidRPr="00B27735">
        <w:rPr>
          <w:lang w:val="pt-BR"/>
        </w:rPr>
        <w:t>A</w:t>
      </w:r>
      <w:r w:rsidRPr="00B27735">
        <w:rPr>
          <w:lang w:val="pt-BR"/>
        </w:rPr>
        <w:t>As</w:t>
      </w:r>
      <w:proofErr w:type="spellEnd"/>
      <w:r w:rsidRPr="00B27735">
        <w:rPr>
          <w:lang w:val="pt-BR"/>
        </w:rPr>
        <w:t xml:space="preserve"> delegações seguem otimistas com </w:t>
      </w:r>
      <w:r w:rsidR="008F3A73" w:rsidRPr="00B27735">
        <w:rPr>
          <w:lang w:val="pt-BR"/>
        </w:rPr>
        <w:t xml:space="preserve">os avanços na </w:t>
      </w:r>
      <w:r w:rsidRPr="00B27735">
        <w:rPr>
          <w:lang w:val="pt-BR"/>
        </w:rPr>
        <w:t>negociação</w:t>
      </w:r>
      <w:r w:rsidR="008F3A73" w:rsidRPr="00B27735">
        <w:rPr>
          <w:lang w:val="pt-BR"/>
        </w:rPr>
        <w:t xml:space="preserve">, confirmaram as datas </w:t>
      </w:r>
      <w:r w:rsidRPr="00B27735">
        <w:rPr>
          <w:lang w:val="pt-BR"/>
        </w:rPr>
        <w:t xml:space="preserve">e pretendem agendar uma próxima </w:t>
      </w:r>
      <w:r w:rsidRPr="00B27735">
        <w:rPr>
          <w:lang w:val="pt-BR"/>
        </w:rPr>
        <w:t>reunião com Chile no mês de novembro</w:t>
      </w:r>
      <w:r w:rsidR="008F3A73" w:rsidRPr="00B27735">
        <w:rPr>
          <w:lang w:val="pt-BR"/>
        </w:rPr>
        <w:t>.</w:t>
      </w:r>
    </w:p>
    <w:p w14:paraId="2781B8A0" w14:textId="3694AA77" w:rsidR="002B4D2D" w:rsidRPr="00B27735" w:rsidRDefault="002B4D2D" w:rsidP="000544D6">
      <w:pPr>
        <w:pStyle w:val="Default"/>
        <w:ind w:left="720"/>
        <w:rPr>
          <w:lang w:val="pt-BR"/>
        </w:rPr>
      </w:pPr>
    </w:p>
    <w:p w14:paraId="005C76FE" w14:textId="77777777" w:rsidR="002B4D2D" w:rsidRPr="00B27735" w:rsidRDefault="002B4D2D" w:rsidP="000544D6">
      <w:pPr>
        <w:pStyle w:val="Default"/>
        <w:ind w:left="720"/>
        <w:rPr>
          <w:b/>
          <w:bCs/>
          <w:lang w:val="pt-BR"/>
        </w:rPr>
      </w:pPr>
    </w:p>
    <w:p w14:paraId="102971E9" w14:textId="7F766120" w:rsidR="000544D6" w:rsidRPr="00B27735" w:rsidRDefault="000544D6" w:rsidP="000544D6">
      <w:pPr>
        <w:pStyle w:val="Default"/>
        <w:ind w:left="720"/>
        <w:rPr>
          <w:b/>
          <w:bCs/>
          <w:lang w:val="pt-BR"/>
        </w:rPr>
      </w:pPr>
      <w:r w:rsidRPr="00B27735">
        <w:rPr>
          <w:b/>
          <w:bCs/>
          <w:lang w:val="pt-BR"/>
        </w:rPr>
        <w:t>6.</w:t>
      </w:r>
      <w:r w:rsidR="004E1406" w:rsidRPr="00B27735">
        <w:rPr>
          <w:b/>
          <w:bCs/>
          <w:lang w:val="pt-BR"/>
        </w:rPr>
        <w:t>2</w:t>
      </w:r>
      <w:r w:rsidRPr="00B27735">
        <w:rPr>
          <w:b/>
          <w:bCs/>
          <w:lang w:val="pt-BR"/>
        </w:rPr>
        <w:t xml:space="preserve"> Mercosu</w:t>
      </w:r>
      <w:r w:rsidR="00622A40" w:rsidRPr="00B27735">
        <w:rPr>
          <w:b/>
          <w:bCs/>
          <w:lang w:val="pt-BR"/>
        </w:rPr>
        <w:t>l</w:t>
      </w:r>
      <w:r w:rsidR="00052971" w:rsidRPr="00B27735">
        <w:rPr>
          <w:b/>
          <w:bCs/>
          <w:lang w:val="pt-BR"/>
        </w:rPr>
        <w:t>-SACU</w:t>
      </w:r>
    </w:p>
    <w:p w14:paraId="7B7904A1" w14:textId="6CB38601" w:rsidR="00426081" w:rsidRPr="00B27735" w:rsidRDefault="00426081" w:rsidP="000544D6">
      <w:pPr>
        <w:pStyle w:val="Default"/>
        <w:ind w:left="720"/>
        <w:rPr>
          <w:b/>
          <w:bCs/>
          <w:lang w:val="pt-BR"/>
        </w:rPr>
      </w:pPr>
    </w:p>
    <w:p w14:paraId="3E28B565" w14:textId="6ED23F5B" w:rsidR="00426081" w:rsidRPr="00B27735" w:rsidRDefault="00BB714B" w:rsidP="008F3A73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 delegação brasileira reportou ter recebido uma solicitação de reunião por parte do bloco africano para analisar a proposta </w:t>
      </w:r>
      <w:proofErr w:type="spellStart"/>
      <w:r w:rsidRPr="00B27735">
        <w:rPr>
          <w:lang w:val="pt-BR"/>
        </w:rPr>
        <w:t>mercosulina</w:t>
      </w:r>
      <w:proofErr w:type="spellEnd"/>
      <w:r w:rsidRPr="00B27735">
        <w:rPr>
          <w:lang w:val="pt-BR"/>
        </w:rPr>
        <w:t xml:space="preserve"> de se eliminar exigência do fundo guilhochado no Certificado de Origem.</w:t>
      </w:r>
      <w:r w:rsidR="00C82CE7" w:rsidRPr="00B27735">
        <w:rPr>
          <w:lang w:val="pt-BR"/>
        </w:rPr>
        <w:t xml:space="preserve"> Os sócios concordaram reunir-se com SACU durante a próxima reunião do CT Nº 3</w:t>
      </w:r>
      <w:r w:rsidR="009D7723" w:rsidRPr="00B27735">
        <w:rPr>
          <w:lang w:val="pt-BR"/>
        </w:rPr>
        <w:t xml:space="preserve"> no mês de novembro</w:t>
      </w:r>
      <w:r w:rsidR="008F3A73" w:rsidRPr="00B27735">
        <w:rPr>
          <w:lang w:val="pt-BR"/>
        </w:rPr>
        <w:t xml:space="preserve">, </w:t>
      </w:r>
      <w:r w:rsidR="009D7723" w:rsidRPr="00B27735">
        <w:rPr>
          <w:lang w:val="pt-BR"/>
        </w:rPr>
        <w:t xml:space="preserve">bem como em adiantar a proposta formal do Mercosul sobre o tema, </w:t>
      </w:r>
      <w:r w:rsidR="008F3A73" w:rsidRPr="00B27735">
        <w:rPr>
          <w:lang w:val="pt-BR"/>
        </w:rPr>
        <w:t xml:space="preserve">nesse sentido a coordenação brasileira buscará </w:t>
      </w:r>
      <w:r w:rsidR="009D7723" w:rsidRPr="00B27735">
        <w:rPr>
          <w:lang w:val="pt-BR"/>
        </w:rPr>
        <w:t>um acordo sobre a data com a parte africana.</w:t>
      </w:r>
    </w:p>
    <w:p w14:paraId="515C27FC" w14:textId="5776C769" w:rsidR="00387225" w:rsidRPr="00B27735" w:rsidRDefault="00387225" w:rsidP="000544D6">
      <w:pPr>
        <w:pStyle w:val="Default"/>
        <w:ind w:left="720"/>
        <w:rPr>
          <w:b/>
          <w:bCs/>
          <w:lang w:val="pt-BR"/>
        </w:rPr>
      </w:pPr>
    </w:p>
    <w:p w14:paraId="02CCF152" w14:textId="3161B0FB" w:rsidR="00387225" w:rsidRPr="00B27735" w:rsidRDefault="00387225" w:rsidP="000544D6">
      <w:pPr>
        <w:pStyle w:val="Default"/>
        <w:ind w:left="720"/>
        <w:rPr>
          <w:b/>
          <w:bCs/>
          <w:lang w:val="pt-BR"/>
        </w:rPr>
      </w:pPr>
      <w:r w:rsidRPr="00B27735">
        <w:rPr>
          <w:b/>
          <w:bCs/>
          <w:lang w:val="pt-BR"/>
        </w:rPr>
        <w:t>6.3 Mercosul-Colômbia</w:t>
      </w:r>
      <w:r w:rsidR="00C557A8" w:rsidRPr="00B27735">
        <w:rPr>
          <w:b/>
          <w:bCs/>
          <w:lang w:val="pt-BR"/>
        </w:rPr>
        <w:t xml:space="preserve"> (Transposição CT-8)</w:t>
      </w:r>
    </w:p>
    <w:p w14:paraId="0BCF50D9" w14:textId="1F847C10" w:rsidR="0047678B" w:rsidRPr="00B27735" w:rsidRDefault="0047678B" w:rsidP="000544D6">
      <w:pPr>
        <w:pStyle w:val="Default"/>
        <w:ind w:left="720"/>
        <w:rPr>
          <w:b/>
          <w:bCs/>
          <w:lang w:val="pt-BR"/>
        </w:rPr>
      </w:pPr>
    </w:p>
    <w:p w14:paraId="38982CDB" w14:textId="7CC98621" w:rsidR="00C82CE7" w:rsidRPr="00B27735" w:rsidRDefault="00C660E7" w:rsidP="009D7723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Os sócios concordaram em </w:t>
      </w:r>
      <w:r w:rsidR="009D7723" w:rsidRPr="00B27735">
        <w:rPr>
          <w:lang w:val="pt-BR"/>
        </w:rPr>
        <w:t>informar</w:t>
      </w:r>
      <w:r w:rsidRPr="00B27735">
        <w:rPr>
          <w:lang w:val="pt-BR"/>
        </w:rPr>
        <w:t xml:space="preserve"> ao CT-8 os casos em que há concordância com o trabalho de transposição realizado pela </w:t>
      </w:r>
      <w:r w:rsidR="009D7723" w:rsidRPr="00B27735">
        <w:rPr>
          <w:lang w:val="pt-BR"/>
        </w:rPr>
        <w:t>Secretaria do Mercosul</w:t>
      </w:r>
      <w:r w:rsidRPr="00B27735">
        <w:rPr>
          <w:lang w:val="pt-BR"/>
        </w:rPr>
        <w:t xml:space="preserve">, além de </w:t>
      </w:r>
      <w:r w:rsidRPr="00B27735">
        <w:rPr>
          <w:lang w:val="pt-BR"/>
        </w:rPr>
        <w:t xml:space="preserve">também </w:t>
      </w:r>
      <w:r w:rsidR="009A6BA7" w:rsidRPr="00B27735">
        <w:rPr>
          <w:lang w:val="pt-BR"/>
        </w:rPr>
        <w:t xml:space="preserve">acordaram realizar os melhores esforços </w:t>
      </w:r>
      <w:r w:rsidRPr="00B27735">
        <w:rPr>
          <w:lang w:val="pt-BR"/>
        </w:rPr>
        <w:t>para a</w:t>
      </w:r>
      <w:r w:rsidR="009A6BA7" w:rsidRPr="00B27735">
        <w:rPr>
          <w:lang w:val="pt-BR"/>
        </w:rPr>
        <w:t xml:space="preserve"> finalização da instancia de revisão e logo a</w:t>
      </w:r>
      <w:r w:rsidRPr="00B27735">
        <w:rPr>
          <w:lang w:val="pt-BR"/>
        </w:rPr>
        <w:t xml:space="preserve"> definição</w:t>
      </w:r>
      <w:r w:rsidR="00E474D1" w:rsidRPr="00B27735">
        <w:rPr>
          <w:lang w:val="pt-BR"/>
        </w:rPr>
        <w:t xml:space="preserve"> do tratamento a ser dado</w:t>
      </w:r>
      <w:r w:rsidRPr="00B27735">
        <w:rPr>
          <w:lang w:val="pt-BR"/>
        </w:rPr>
        <w:t xml:space="preserve"> </w:t>
      </w:r>
      <w:r w:rsidR="00E474D1" w:rsidRPr="00B27735">
        <w:rPr>
          <w:lang w:val="pt-BR"/>
        </w:rPr>
        <w:t>aos</w:t>
      </w:r>
      <w:r w:rsidRPr="00B27735">
        <w:rPr>
          <w:lang w:val="pt-BR"/>
        </w:rPr>
        <w:t xml:space="preserve"> casos remanescentes.</w:t>
      </w:r>
    </w:p>
    <w:p w14:paraId="5437C204" w14:textId="77777777" w:rsidR="009A6BA7" w:rsidRPr="00B27735" w:rsidRDefault="009A6BA7" w:rsidP="009D7723">
      <w:pPr>
        <w:pStyle w:val="Default"/>
        <w:jc w:val="both"/>
        <w:rPr>
          <w:lang w:val="pt-BR"/>
        </w:rPr>
      </w:pPr>
    </w:p>
    <w:p w14:paraId="2275E225" w14:textId="4AE1DB83" w:rsidR="009D7723" w:rsidRPr="00B27735" w:rsidRDefault="009A6BA7" w:rsidP="009D7723">
      <w:pPr>
        <w:pStyle w:val="Default"/>
        <w:jc w:val="both"/>
        <w:rPr>
          <w:lang w:val="pt-BR"/>
        </w:rPr>
      </w:pPr>
      <w:r w:rsidRPr="00B27735">
        <w:rPr>
          <w:lang w:val="pt-BR"/>
        </w:rPr>
        <w:t>Dessa forma e como foi informado no âmbito do CT8, o encaminhamento desses listados a Colômbia, será feito uma vez finalizados os trabalhos de revisão conjunta dos sócios Mercosul neste âmbito</w:t>
      </w:r>
    </w:p>
    <w:p w14:paraId="532FF0C8" w14:textId="77777777" w:rsidR="009A6BA7" w:rsidRPr="00B27735" w:rsidRDefault="009A6BA7" w:rsidP="009D7723">
      <w:pPr>
        <w:pStyle w:val="Default"/>
        <w:jc w:val="both"/>
        <w:rPr>
          <w:lang w:val="pt-BR"/>
        </w:rPr>
      </w:pPr>
    </w:p>
    <w:p w14:paraId="5ECF3CEE" w14:textId="439F4762" w:rsidR="00C82CE7" w:rsidRPr="00B27735" w:rsidRDefault="00C82CE7" w:rsidP="00E40B88">
      <w:pPr>
        <w:pStyle w:val="Default"/>
        <w:jc w:val="both"/>
        <w:rPr>
          <w:b/>
          <w:bCs/>
          <w:lang w:val="pt-BR"/>
        </w:rPr>
      </w:pPr>
      <w:r w:rsidRPr="00B27735">
        <w:rPr>
          <w:b/>
          <w:bCs/>
          <w:lang w:val="pt-BR"/>
        </w:rPr>
        <w:t xml:space="preserve"> </w:t>
      </w:r>
    </w:p>
    <w:p w14:paraId="34CB6EF3" w14:textId="5F12AA97" w:rsidR="0047678B" w:rsidRPr="00B27735" w:rsidRDefault="0047678B" w:rsidP="000544D6">
      <w:pPr>
        <w:pStyle w:val="Default"/>
        <w:ind w:left="720"/>
        <w:rPr>
          <w:b/>
          <w:bCs/>
          <w:lang w:val="pt-BR"/>
        </w:rPr>
      </w:pPr>
      <w:r w:rsidRPr="00B27735">
        <w:rPr>
          <w:b/>
          <w:bCs/>
          <w:lang w:val="pt-BR"/>
        </w:rPr>
        <w:t>6.4 Mercosul-Bolívia</w:t>
      </w:r>
    </w:p>
    <w:p w14:paraId="6A27551E" w14:textId="01F9602E" w:rsidR="00BC7ED5" w:rsidRPr="00B27735" w:rsidRDefault="00BC7ED5" w:rsidP="000544D6">
      <w:pPr>
        <w:pStyle w:val="Default"/>
        <w:ind w:left="720"/>
        <w:rPr>
          <w:b/>
          <w:bCs/>
          <w:lang w:val="pt-BR"/>
        </w:rPr>
      </w:pPr>
    </w:p>
    <w:p w14:paraId="56EB76FD" w14:textId="611DB9BF" w:rsidR="00BC7ED5" w:rsidRPr="00B27735" w:rsidRDefault="00BC7ED5" w:rsidP="009D7723">
      <w:pPr>
        <w:pStyle w:val="Default"/>
        <w:jc w:val="both"/>
        <w:rPr>
          <w:lang w:val="pt-BR"/>
        </w:rPr>
      </w:pPr>
      <w:r w:rsidRPr="00B27735">
        <w:rPr>
          <w:lang w:val="pt-BR"/>
        </w:rPr>
        <w:t>A delegação brasileira reportou ter recebido a agenda proposta para a próxima reunião da Comissão Administradora, a ser realizada</w:t>
      </w:r>
      <w:r w:rsidR="001625AF" w:rsidRPr="00B27735">
        <w:rPr>
          <w:lang w:val="pt-BR"/>
        </w:rPr>
        <w:t xml:space="preserve"> tentativamente</w:t>
      </w:r>
      <w:r w:rsidRPr="00B27735">
        <w:rPr>
          <w:lang w:val="pt-BR"/>
        </w:rPr>
        <w:t xml:space="preserve"> em 20 de outubro de 2023.</w:t>
      </w:r>
      <w:r w:rsidR="00EC5810" w:rsidRPr="00B27735">
        <w:rPr>
          <w:lang w:val="pt-BR"/>
        </w:rPr>
        <w:t xml:space="preserve"> Os sócios trocaram impressões sobre os temas constantes da agenda que se relacionam com regras de origem</w:t>
      </w:r>
      <w:r w:rsidR="009D7723" w:rsidRPr="00B27735">
        <w:rPr>
          <w:lang w:val="pt-BR"/>
        </w:rPr>
        <w:t xml:space="preserve"> e chegaram a um consenso sobre a importância de que a Comissão Administradora convoque os técnicos de origem para tratamento dos temas</w:t>
      </w:r>
      <w:r w:rsidR="00EC5810" w:rsidRPr="00B27735">
        <w:rPr>
          <w:lang w:val="pt-BR"/>
        </w:rPr>
        <w:t>.</w:t>
      </w:r>
      <w:r w:rsidR="009A6BA7" w:rsidRPr="00B27735">
        <w:rPr>
          <w:lang w:val="pt-BR"/>
        </w:rPr>
        <w:t xml:space="preserve"> Es importante destacar que não se recebeu ainda nenhuma proposta para nenhum dos temas da agenda de ACE 36 por parte da Bolívia quanto ao Origem e que o repasso foi feito com base na Ata anterior da reunião do ACE36.</w:t>
      </w:r>
    </w:p>
    <w:p w14:paraId="3F9B8DA8" w14:textId="4D96324F" w:rsidR="0047678B" w:rsidRPr="00B27735" w:rsidRDefault="0047678B" w:rsidP="000544D6">
      <w:pPr>
        <w:pStyle w:val="Default"/>
        <w:ind w:left="720"/>
        <w:rPr>
          <w:b/>
          <w:bCs/>
          <w:lang w:val="pt-BR"/>
        </w:rPr>
      </w:pPr>
    </w:p>
    <w:p w14:paraId="1614D718" w14:textId="704F93F7" w:rsidR="0047678B" w:rsidRPr="00B27735" w:rsidRDefault="0047678B" w:rsidP="000544D6">
      <w:pPr>
        <w:pStyle w:val="Default"/>
        <w:ind w:left="720"/>
        <w:rPr>
          <w:b/>
          <w:bCs/>
          <w:lang w:val="pt-BR"/>
        </w:rPr>
      </w:pPr>
      <w:r w:rsidRPr="00B27735">
        <w:rPr>
          <w:b/>
          <w:bCs/>
          <w:lang w:val="pt-BR"/>
        </w:rPr>
        <w:t>6.5 Mercosul-Singapura</w:t>
      </w:r>
    </w:p>
    <w:p w14:paraId="4F1D9F63" w14:textId="77777777" w:rsidR="009D7723" w:rsidRPr="00B27735" w:rsidRDefault="009D7723" w:rsidP="000544D6">
      <w:pPr>
        <w:pStyle w:val="Default"/>
        <w:ind w:left="720"/>
        <w:rPr>
          <w:b/>
          <w:bCs/>
          <w:lang w:val="pt-BR"/>
        </w:rPr>
      </w:pPr>
    </w:p>
    <w:p w14:paraId="52633C07" w14:textId="0807C53A" w:rsidR="00C557A8" w:rsidRPr="00B27735" w:rsidRDefault="00EC5810" w:rsidP="0030030E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 delegação brasileira informou que Singapura concordou com as sugestões de texto para o </w:t>
      </w:r>
      <w:r w:rsidR="009D7723" w:rsidRPr="00B27735">
        <w:rPr>
          <w:lang w:val="pt-BR"/>
        </w:rPr>
        <w:t>documento referente às Notas Introdutórias aos</w:t>
      </w:r>
      <w:r w:rsidRPr="00B27735">
        <w:rPr>
          <w:lang w:val="pt-BR"/>
        </w:rPr>
        <w:t xml:space="preserve"> Requisitos Específicos </w:t>
      </w:r>
      <w:r w:rsidRPr="00B27735">
        <w:rPr>
          <w:lang w:val="pt-BR"/>
        </w:rPr>
        <w:lastRenderedPageBreak/>
        <w:t>de Origem, apresentando, por seu turno, uma nova proposta, a qual será avaliada pelos sócios oportunamente.</w:t>
      </w:r>
    </w:p>
    <w:p w14:paraId="264696A4" w14:textId="77777777" w:rsidR="009D7723" w:rsidRPr="00B27735" w:rsidRDefault="009D7723" w:rsidP="009D7723">
      <w:pPr>
        <w:pStyle w:val="Default"/>
        <w:rPr>
          <w:lang w:val="pt-BR"/>
        </w:rPr>
      </w:pPr>
    </w:p>
    <w:p w14:paraId="19E7DB3A" w14:textId="3F724E64" w:rsidR="009D7723" w:rsidRPr="00B27735" w:rsidRDefault="009D7723" w:rsidP="0030030E">
      <w:pPr>
        <w:pStyle w:val="Default"/>
        <w:jc w:val="both"/>
        <w:rPr>
          <w:lang w:val="pt-BR"/>
        </w:rPr>
      </w:pPr>
      <w:r w:rsidRPr="00B27735">
        <w:rPr>
          <w:lang w:val="pt-BR"/>
        </w:rPr>
        <w:t>As partes reafirmaram o entendimento de que</w:t>
      </w:r>
      <w:r w:rsidR="0030030E" w:rsidRPr="00B27735">
        <w:rPr>
          <w:lang w:val="pt-BR"/>
        </w:rPr>
        <w:t>, a despeito das mencionadas Notas, o Capítulo de regras de Origem já está acordado no âmbito dessa negociação.</w:t>
      </w:r>
    </w:p>
    <w:p w14:paraId="0763D9DB" w14:textId="77777777" w:rsidR="000544D6" w:rsidRPr="00B27735" w:rsidRDefault="000544D6" w:rsidP="000544D6">
      <w:pPr>
        <w:pStyle w:val="Default"/>
        <w:rPr>
          <w:b/>
          <w:bCs/>
          <w:lang w:val="pt-BR"/>
        </w:rPr>
      </w:pPr>
    </w:p>
    <w:p w14:paraId="136EC015" w14:textId="1319948C" w:rsidR="000544D6" w:rsidRPr="00B27735" w:rsidRDefault="004E1406" w:rsidP="000544D6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>7</w:t>
      </w:r>
      <w:r w:rsidR="000544D6" w:rsidRPr="00B27735">
        <w:rPr>
          <w:b/>
          <w:bCs/>
          <w:lang w:val="pt-BR"/>
        </w:rPr>
        <w:t xml:space="preserve">. </w:t>
      </w:r>
      <w:r w:rsidR="00D2546A" w:rsidRPr="00B27735">
        <w:rPr>
          <w:b/>
          <w:bCs/>
          <w:lang w:val="pt-BR"/>
        </w:rPr>
        <w:t>Certificado</w:t>
      </w:r>
      <w:r w:rsidR="00D133EE" w:rsidRPr="00B27735">
        <w:rPr>
          <w:b/>
          <w:bCs/>
          <w:lang w:val="pt-BR"/>
        </w:rPr>
        <w:t>s</w:t>
      </w:r>
      <w:r w:rsidR="00D2546A" w:rsidRPr="00B27735">
        <w:rPr>
          <w:b/>
          <w:bCs/>
          <w:lang w:val="pt-BR"/>
        </w:rPr>
        <w:t xml:space="preserve"> Derivado</w:t>
      </w:r>
      <w:r w:rsidR="00D133EE" w:rsidRPr="00B27735">
        <w:rPr>
          <w:b/>
          <w:bCs/>
          <w:lang w:val="pt-BR"/>
        </w:rPr>
        <w:t>s</w:t>
      </w:r>
    </w:p>
    <w:p w14:paraId="07B70E95" w14:textId="0E93EB4A" w:rsidR="00F80916" w:rsidRPr="00B27735" w:rsidRDefault="00F80916" w:rsidP="000544D6">
      <w:pPr>
        <w:pStyle w:val="Default"/>
        <w:rPr>
          <w:b/>
          <w:bCs/>
          <w:lang w:val="pt-BR"/>
        </w:rPr>
      </w:pPr>
    </w:p>
    <w:p w14:paraId="763428CF" w14:textId="15651C2D" w:rsidR="00B40655" w:rsidRPr="00B27735" w:rsidRDefault="00B40655" w:rsidP="000544D6">
      <w:pPr>
        <w:pStyle w:val="Default"/>
        <w:rPr>
          <w:b/>
          <w:bCs/>
          <w:lang w:val="pt-BR"/>
        </w:rPr>
      </w:pPr>
      <w:r w:rsidRPr="00B27735">
        <w:rPr>
          <w:b/>
          <w:bCs/>
          <w:lang w:val="pt-BR"/>
        </w:rPr>
        <w:t xml:space="preserve">         </w:t>
      </w:r>
    </w:p>
    <w:p w14:paraId="6AB6F2AB" w14:textId="57647781" w:rsidR="00D133EE" w:rsidRPr="00B27735" w:rsidRDefault="00B40655" w:rsidP="001F4BCA">
      <w:pPr>
        <w:pStyle w:val="Default"/>
        <w:jc w:val="both"/>
        <w:rPr>
          <w:lang w:val="pt-BR"/>
        </w:rPr>
      </w:pPr>
      <w:r w:rsidRPr="00B27735">
        <w:rPr>
          <w:lang w:val="pt-BR"/>
        </w:rPr>
        <w:t xml:space="preserve">A delegação uruguaia reiterou seu interesse </w:t>
      </w:r>
      <w:r w:rsidR="0030030E" w:rsidRPr="00B27735">
        <w:rPr>
          <w:lang w:val="pt-BR"/>
        </w:rPr>
        <w:t>na</w:t>
      </w:r>
      <w:r w:rsidRPr="00B27735">
        <w:rPr>
          <w:lang w:val="pt-BR"/>
        </w:rPr>
        <w:t xml:space="preserve"> implementa</w:t>
      </w:r>
      <w:r w:rsidR="0030030E" w:rsidRPr="00B27735">
        <w:rPr>
          <w:lang w:val="pt-BR"/>
        </w:rPr>
        <w:t>ção</w:t>
      </w:r>
      <w:r w:rsidRPr="00B27735">
        <w:rPr>
          <w:lang w:val="pt-BR"/>
        </w:rPr>
        <w:t xml:space="preserve"> </w:t>
      </w:r>
      <w:r w:rsidR="0030030E" w:rsidRPr="00B27735">
        <w:rPr>
          <w:lang w:val="pt-BR"/>
        </w:rPr>
        <w:t>d</w:t>
      </w:r>
      <w:r w:rsidRPr="00B27735">
        <w:rPr>
          <w:lang w:val="pt-BR"/>
        </w:rPr>
        <w:t>o Certificado Derivado Digital</w:t>
      </w:r>
      <w:r w:rsidR="00600172" w:rsidRPr="00B27735">
        <w:rPr>
          <w:lang w:val="pt-BR"/>
        </w:rPr>
        <w:t>, ao tempo em que afirmou estar também realizando gestões junto à ALADI sobre o assunto.</w:t>
      </w:r>
      <w:r w:rsidR="0030030E" w:rsidRPr="00B27735">
        <w:rPr>
          <w:lang w:val="pt-BR"/>
        </w:rPr>
        <w:t xml:space="preserve"> </w:t>
      </w:r>
    </w:p>
    <w:p w14:paraId="17781A25" w14:textId="77777777" w:rsidR="00D133EE" w:rsidRPr="00B27735" w:rsidRDefault="00D133EE" w:rsidP="001F4BCA">
      <w:pPr>
        <w:pStyle w:val="Default"/>
        <w:jc w:val="both"/>
        <w:rPr>
          <w:lang w:val="pt-BR"/>
        </w:rPr>
      </w:pPr>
    </w:p>
    <w:p w14:paraId="62607100" w14:textId="07886ADB" w:rsidR="001F4BCA" w:rsidRPr="00B27735" w:rsidRDefault="0030030E" w:rsidP="001F4BCA">
      <w:pPr>
        <w:pStyle w:val="Default"/>
        <w:jc w:val="both"/>
        <w:rPr>
          <w:lang w:val="pt-BR"/>
        </w:rPr>
      </w:pPr>
      <w:r w:rsidRPr="00B27735">
        <w:rPr>
          <w:lang w:val="pt-BR"/>
        </w:rPr>
        <w:t>Além disso, solicitou informações às demais delegações sobre a implementação da sistemática de emissão de certificados derivados em seus países.</w:t>
      </w:r>
    </w:p>
    <w:p w14:paraId="139406A9" w14:textId="78E7B555" w:rsidR="001F4BCA" w:rsidRPr="00B27735" w:rsidRDefault="002C2797" w:rsidP="001F4BCA">
      <w:pPr>
        <w:pStyle w:val="Default"/>
        <w:jc w:val="both"/>
        <w:rPr>
          <w:lang w:val="pt-BR"/>
        </w:rPr>
      </w:pPr>
      <w:r w:rsidRPr="00B27735">
        <w:rPr>
          <w:lang w:val="pt-BR"/>
        </w:rPr>
        <w:br/>
        <w:t>A</w:t>
      </w:r>
      <w:r w:rsidR="0069764F" w:rsidRPr="00B27735">
        <w:rPr>
          <w:lang w:val="pt-BR"/>
        </w:rPr>
        <w:t>s</w:t>
      </w:r>
      <w:r w:rsidRPr="00B27735">
        <w:rPr>
          <w:lang w:val="pt-BR"/>
        </w:rPr>
        <w:t xml:space="preserve"> delegaç</w:t>
      </w:r>
      <w:r w:rsidR="0069764F" w:rsidRPr="00B27735">
        <w:rPr>
          <w:lang w:val="pt-BR"/>
        </w:rPr>
        <w:t>ões</w:t>
      </w:r>
      <w:r w:rsidRPr="00B27735">
        <w:rPr>
          <w:lang w:val="pt-BR"/>
        </w:rPr>
        <w:t xml:space="preserve"> argentina</w:t>
      </w:r>
      <w:r w:rsidR="0069764F" w:rsidRPr="00B27735">
        <w:rPr>
          <w:lang w:val="pt-BR"/>
        </w:rPr>
        <w:t xml:space="preserve"> e brasileira</w:t>
      </w:r>
      <w:r w:rsidRPr="00B27735">
        <w:rPr>
          <w:lang w:val="pt-BR"/>
        </w:rPr>
        <w:t xml:space="preserve"> inform</w:t>
      </w:r>
      <w:r w:rsidR="0069764F" w:rsidRPr="00B27735">
        <w:rPr>
          <w:lang w:val="pt-BR"/>
        </w:rPr>
        <w:t>aram</w:t>
      </w:r>
      <w:r w:rsidRPr="00B27735">
        <w:rPr>
          <w:lang w:val="pt-BR"/>
        </w:rPr>
        <w:t xml:space="preserve"> não ter qualquer novidade sobre o assunto.</w:t>
      </w:r>
      <w:r w:rsidR="00C82077" w:rsidRPr="00B27735">
        <w:rPr>
          <w:lang w:val="pt-BR"/>
        </w:rPr>
        <w:t xml:space="preserve"> Já a delegação paraguaia reportou que </w:t>
      </w:r>
      <w:r w:rsidR="0030030E" w:rsidRPr="00B27735">
        <w:rPr>
          <w:lang w:val="pt-BR"/>
        </w:rPr>
        <w:t>está realizando um trabalho interno com vistas a implementação da possibilidade de</w:t>
      </w:r>
      <w:r w:rsidR="00C82077" w:rsidRPr="00B27735">
        <w:rPr>
          <w:lang w:val="pt-BR"/>
        </w:rPr>
        <w:t xml:space="preserve"> </w:t>
      </w:r>
      <w:r w:rsidR="006347E8" w:rsidRPr="00B27735">
        <w:rPr>
          <w:lang w:val="pt-BR"/>
        </w:rPr>
        <w:t>emissão</w:t>
      </w:r>
      <w:r w:rsidR="00C82077" w:rsidRPr="00B27735">
        <w:rPr>
          <w:lang w:val="pt-BR"/>
        </w:rPr>
        <w:t xml:space="preserve"> dos </w:t>
      </w:r>
      <w:r w:rsidR="0030030E" w:rsidRPr="00B27735">
        <w:rPr>
          <w:lang w:val="pt-BR"/>
        </w:rPr>
        <w:t xml:space="preserve">Certificados </w:t>
      </w:r>
      <w:r w:rsidR="00C82077" w:rsidRPr="00B27735">
        <w:rPr>
          <w:lang w:val="pt-BR"/>
        </w:rPr>
        <w:t>Derivados</w:t>
      </w:r>
      <w:r w:rsidR="0030030E" w:rsidRPr="00B27735">
        <w:rPr>
          <w:lang w:val="pt-BR"/>
        </w:rPr>
        <w:t xml:space="preserve"> no país</w:t>
      </w:r>
      <w:r w:rsidR="00C82077" w:rsidRPr="00B27735">
        <w:rPr>
          <w:lang w:val="pt-BR"/>
        </w:rPr>
        <w:t>.</w:t>
      </w:r>
    </w:p>
    <w:p w14:paraId="62F6B174" w14:textId="186FC98E" w:rsidR="00B40655" w:rsidRPr="00B27735" w:rsidRDefault="00E73C0B" w:rsidP="001F4BCA">
      <w:pPr>
        <w:pStyle w:val="Default"/>
        <w:jc w:val="both"/>
        <w:rPr>
          <w:lang w:val="pt-BR"/>
        </w:rPr>
      </w:pPr>
      <w:r w:rsidRPr="00B27735">
        <w:rPr>
          <w:lang w:val="pt-BR"/>
        </w:rPr>
        <w:br/>
      </w:r>
      <w:r w:rsidRPr="00B27735">
        <w:rPr>
          <w:lang w:val="pt-BR"/>
        </w:rPr>
        <w:br/>
        <w:t>O tema seguirá na agenda.</w:t>
      </w:r>
    </w:p>
    <w:p w14:paraId="2731A9C2" w14:textId="77777777" w:rsidR="00B40655" w:rsidRPr="00B27735" w:rsidRDefault="00B40655" w:rsidP="000544D6">
      <w:pPr>
        <w:pStyle w:val="Default"/>
        <w:rPr>
          <w:b/>
          <w:bCs/>
          <w:lang w:val="pt-BR"/>
        </w:rPr>
      </w:pPr>
    </w:p>
    <w:p w14:paraId="346D3742" w14:textId="150C7B7E" w:rsidR="000544D6" w:rsidRPr="00B27735" w:rsidRDefault="000544D6" w:rsidP="000544D6">
      <w:pPr>
        <w:pStyle w:val="Default"/>
        <w:rPr>
          <w:b/>
          <w:bCs/>
          <w:lang w:val="pt-BR"/>
        </w:rPr>
      </w:pPr>
    </w:p>
    <w:p w14:paraId="2AD2BFB2" w14:textId="0637ED24" w:rsidR="00F80916" w:rsidRPr="00B27735" w:rsidRDefault="00F80916" w:rsidP="00F80916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B27735">
        <w:rPr>
          <w:rFonts w:ascii="Arial" w:hAnsi="Arial" w:cs="Arial"/>
          <w:b/>
          <w:bCs/>
          <w:sz w:val="24"/>
          <w:szCs w:val="24"/>
        </w:rPr>
        <w:t>Próxima Reunião</w:t>
      </w:r>
    </w:p>
    <w:p w14:paraId="7210DE69" w14:textId="77777777" w:rsidR="00F80916" w:rsidRPr="00B27735" w:rsidRDefault="00F80916" w:rsidP="00F809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315EAE" w14:textId="77777777" w:rsidR="00F80916" w:rsidRPr="00B27735" w:rsidRDefault="00F80916" w:rsidP="00F809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D09E87D" w14:textId="77777777" w:rsidR="00F80916" w:rsidRPr="00B27735" w:rsidRDefault="00F80916" w:rsidP="00F80916">
      <w:pPr>
        <w:jc w:val="both"/>
        <w:rPr>
          <w:rFonts w:ascii="Arial" w:hAnsi="Arial" w:cs="Arial"/>
          <w:sz w:val="24"/>
          <w:szCs w:val="24"/>
        </w:rPr>
      </w:pPr>
      <w:r w:rsidRPr="00B27735">
        <w:rPr>
          <w:rFonts w:ascii="Arial" w:hAnsi="Arial" w:cs="Arial"/>
          <w:sz w:val="24"/>
          <w:szCs w:val="24"/>
        </w:rPr>
        <w:t>Será convocada para os dias 6 a 8 de novembro de 2023 em formato virtual.</w:t>
      </w:r>
    </w:p>
    <w:p w14:paraId="6028F4DA" w14:textId="77777777" w:rsidR="00F80916" w:rsidRPr="00B27735" w:rsidRDefault="00F80916" w:rsidP="00F80916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E462930" w14:textId="77777777" w:rsidR="00F80916" w:rsidRPr="00B27735" w:rsidRDefault="00F80916" w:rsidP="00F80916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4A6CFB0" w14:textId="77777777" w:rsidR="00F80916" w:rsidRPr="00B27735" w:rsidRDefault="00F80916" w:rsidP="00F80916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27735">
        <w:rPr>
          <w:rFonts w:ascii="Arial" w:hAnsi="Arial" w:cs="Arial"/>
          <w:b/>
          <w:bCs/>
          <w:sz w:val="24"/>
          <w:szCs w:val="24"/>
        </w:rPr>
        <w:t>ANEXOS</w:t>
      </w:r>
    </w:p>
    <w:p w14:paraId="0E7A3DBA" w14:textId="77777777" w:rsidR="00F80916" w:rsidRPr="00B27735" w:rsidRDefault="00F80916" w:rsidP="00F80916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7657"/>
      </w:tblGrid>
      <w:tr w:rsidR="00F80916" w:rsidRPr="00B27735" w14:paraId="285D1427" w14:textId="77777777" w:rsidTr="00D032E7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B12F" w14:textId="77777777" w:rsidR="00F80916" w:rsidRPr="00B27735" w:rsidRDefault="00F80916" w:rsidP="00D032E7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>Anexo 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01CC9" w14:textId="77777777" w:rsidR="00F80916" w:rsidRPr="00B27735" w:rsidRDefault="00F80916" w:rsidP="00D032E7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 xml:space="preserve">Lista de Participantes </w:t>
            </w:r>
          </w:p>
        </w:tc>
      </w:tr>
      <w:tr w:rsidR="00F80916" w:rsidRPr="00B27735" w14:paraId="7515F31C" w14:textId="77777777" w:rsidTr="00D032E7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F170" w14:textId="77777777" w:rsidR="00F80916" w:rsidRPr="00B27735" w:rsidRDefault="00F80916" w:rsidP="00D032E7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>Anexo 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D244A" w14:textId="77777777" w:rsidR="00F80916" w:rsidRPr="00B27735" w:rsidRDefault="00F80916" w:rsidP="00D032E7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 xml:space="preserve">Agenda </w:t>
            </w:r>
          </w:p>
        </w:tc>
      </w:tr>
      <w:tr w:rsidR="00F80916" w:rsidRPr="00B27735" w14:paraId="5CBC1B6F" w14:textId="77777777" w:rsidTr="00D032E7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C7D45" w14:textId="77777777" w:rsidR="00F80916" w:rsidRPr="00B27735" w:rsidRDefault="00F80916" w:rsidP="00D032E7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>Anexo III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EA2E5" w14:textId="77777777" w:rsidR="00F80916" w:rsidRPr="00B27735" w:rsidRDefault="00F80916" w:rsidP="00D032E7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 xml:space="preserve">Resumo da Ata </w:t>
            </w:r>
          </w:p>
        </w:tc>
      </w:tr>
      <w:tr w:rsidR="00F80916" w:rsidRPr="00B27735" w14:paraId="460E152A" w14:textId="77777777" w:rsidTr="00D032E7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4F0F" w14:textId="77777777" w:rsidR="00F80916" w:rsidRPr="00B27735" w:rsidRDefault="00F80916" w:rsidP="00D032E7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>Anexo IV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D535" w14:textId="374F23F4" w:rsidR="00F80916" w:rsidRPr="00B27735" w:rsidRDefault="00F80916" w:rsidP="00D032E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735">
              <w:rPr>
                <w:rFonts w:ascii="Arial" w:hAnsi="Arial" w:cs="Arial"/>
                <w:sz w:val="24"/>
                <w:szCs w:val="24"/>
              </w:rPr>
              <w:t xml:space="preserve">MERCOSUL/CXXX CT3 DT Nº 7_2023 </w:t>
            </w:r>
          </w:p>
        </w:tc>
      </w:tr>
    </w:tbl>
    <w:p w14:paraId="68628760" w14:textId="77777777" w:rsidR="00F80916" w:rsidRPr="00B27735" w:rsidRDefault="00F80916" w:rsidP="00F80916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20"/>
      </w:tblGrid>
      <w:tr w:rsidR="00F80916" w:rsidRPr="00B27735" w14:paraId="0E92691C" w14:textId="77777777" w:rsidTr="00D032E7">
        <w:trPr>
          <w:trHeight w:val="2378"/>
        </w:trPr>
        <w:tc>
          <w:tcPr>
            <w:tcW w:w="4464" w:type="dxa"/>
          </w:tcPr>
          <w:p w14:paraId="26F06DDB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70B32753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23F880E8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0F761189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3F8B72A9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63BA9895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087C6825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Cs/>
                <w:lang w:val="pt-BR"/>
              </w:rPr>
            </w:pPr>
            <w:r w:rsidRPr="00B27735">
              <w:rPr>
                <w:rFonts w:ascii="TimesNewRomanPSMT" w:cs="TimesNewRomanPSMT"/>
                <w:bCs/>
                <w:lang w:val="pt-BR"/>
              </w:rPr>
              <w:t>Pela Delega</w:t>
            </w:r>
            <w:r w:rsidRPr="00B27735">
              <w:rPr>
                <w:rFonts w:ascii="TimesNewRomanPSMT" w:cs="TimesNewRomanPSMT"/>
                <w:bCs/>
                <w:lang w:val="pt-BR"/>
              </w:rPr>
              <w:t>çã</w:t>
            </w:r>
            <w:r w:rsidRPr="00B27735">
              <w:rPr>
                <w:rFonts w:ascii="TimesNewRomanPSMT" w:cs="TimesNewRomanPSMT"/>
                <w:bCs/>
                <w:lang w:val="pt-BR"/>
              </w:rPr>
              <w:t>o da Argentina</w:t>
            </w:r>
          </w:p>
          <w:p w14:paraId="27B40904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  <w:lang w:val="pt-BR"/>
              </w:rPr>
            </w:pPr>
            <w:r w:rsidRPr="00B27735">
              <w:rPr>
                <w:rFonts w:ascii="TimesNewRomanPSMT" w:cs="TimesNewRomanPSMT"/>
                <w:b/>
                <w:bCs/>
                <w:lang w:val="pt-BR"/>
              </w:rPr>
              <w:t>Andrea Russo</w:t>
            </w:r>
          </w:p>
          <w:p w14:paraId="40CAB36C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F80916" w:rsidRPr="00B27735" w14:paraId="780E2D87" w14:textId="77777777" w:rsidTr="00D032E7">
              <w:trPr>
                <w:trHeight w:val="1501"/>
              </w:trPr>
              <w:tc>
                <w:tcPr>
                  <w:tcW w:w="3827" w:type="dxa"/>
                </w:tcPr>
                <w:p w14:paraId="3B520F53" w14:textId="77777777" w:rsidR="00F80916" w:rsidRPr="00B27735" w:rsidRDefault="00F80916" w:rsidP="00D032E7">
                  <w:pPr>
                    <w:pStyle w:val="Encabezamiento"/>
                    <w:pBdr>
                      <w:bottom w:val="single" w:sz="12" w:space="1" w:color="auto"/>
                    </w:pBdr>
                    <w:rPr>
                      <w:rFonts w:ascii="TimesNewRomanPSMT" w:hAnsi="Times New Roman" w:cs="TimesNewRomanPSMT"/>
                      <w:b/>
                      <w:bCs/>
                      <w:color w:val="auto"/>
                      <w:szCs w:val="24"/>
                      <w:lang w:val="pt-BR" w:eastAsia="ko-KR"/>
                    </w:rPr>
                  </w:pPr>
                </w:p>
                <w:p w14:paraId="5622BBDE" w14:textId="77777777" w:rsidR="00F80916" w:rsidRPr="00B27735" w:rsidRDefault="00F80916" w:rsidP="00D032E7">
                  <w:pPr>
                    <w:pStyle w:val="Encabezamiento"/>
                    <w:pBdr>
                      <w:bottom w:val="single" w:sz="12" w:space="1" w:color="auto"/>
                    </w:pBdr>
                    <w:rPr>
                      <w:rFonts w:ascii="TimesNewRomanPSMT" w:hAnsi="Times New Roman" w:cs="TimesNewRomanPSMT"/>
                      <w:b/>
                      <w:bCs/>
                      <w:color w:val="auto"/>
                      <w:szCs w:val="24"/>
                      <w:lang w:val="pt-BR" w:eastAsia="ko-KR"/>
                    </w:rPr>
                  </w:pPr>
                </w:p>
                <w:p w14:paraId="0D8E0FE3" w14:textId="77777777" w:rsidR="00F80916" w:rsidRPr="00B27735" w:rsidRDefault="00F80916" w:rsidP="00D032E7">
                  <w:pPr>
                    <w:pStyle w:val="Encabezamiento"/>
                    <w:pBdr>
                      <w:bottom w:val="single" w:sz="12" w:space="1" w:color="auto"/>
                    </w:pBdr>
                    <w:rPr>
                      <w:rFonts w:ascii="TimesNewRomanPSMT" w:hAnsi="Times New Roman" w:cs="TimesNewRomanPSMT"/>
                      <w:b/>
                      <w:bCs/>
                      <w:color w:val="auto"/>
                      <w:szCs w:val="24"/>
                      <w:lang w:val="pt-BR" w:eastAsia="ko-KR"/>
                    </w:rPr>
                  </w:pPr>
                </w:p>
                <w:p w14:paraId="1E0441F2" w14:textId="77777777" w:rsidR="00F80916" w:rsidRPr="00B27735" w:rsidRDefault="00F80916" w:rsidP="00D032E7">
                  <w:pPr>
                    <w:pStyle w:val="Encabezamiento"/>
                    <w:jc w:val="center"/>
                    <w:rPr>
                      <w:rFonts w:ascii="TimesNewRomanPSMT" w:hAnsi="Times New Roman" w:cs="TimesNewRomanPSMT"/>
                      <w:color w:val="auto"/>
                      <w:szCs w:val="24"/>
                      <w:lang w:val="pt-BR" w:eastAsia="ko-KR"/>
                    </w:rPr>
                  </w:pPr>
                  <w:r w:rsidRPr="00B27735">
                    <w:rPr>
                      <w:rFonts w:ascii="TimesNewRomanPSMT" w:hAnsi="Times New Roman" w:cs="TimesNewRomanPSMT"/>
                      <w:color w:val="auto"/>
                      <w:szCs w:val="24"/>
                      <w:lang w:val="pt-BR" w:eastAsia="ko-KR"/>
                    </w:rPr>
                    <w:t>Pela Delega</w:t>
                  </w:r>
                  <w:r w:rsidRPr="00B27735">
                    <w:rPr>
                      <w:rFonts w:ascii="TimesNewRomanPSMT" w:hAnsi="Times New Roman" w:cs="TimesNewRomanPSMT"/>
                      <w:color w:val="auto"/>
                      <w:szCs w:val="24"/>
                      <w:lang w:val="pt-BR" w:eastAsia="ko-KR"/>
                    </w:rPr>
                    <w:t>çã</w:t>
                  </w:r>
                  <w:r w:rsidRPr="00B27735">
                    <w:rPr>
                      <w:rFonts w:ascii="TimesNewRomanPSMT" w:hAnsi="Times New Roman" w:cs="TimesNewRomanPSMT"/>
                      <w:color w:val="auto"/>
                      <w:szCs w:val="24"/>
                      <w:lang w:val="pt-BR" w:eastAsia="ko-KR"/>
                    </w:rPr>
                    <w:t>o do Paraguai</w:t>
                  </w:r>
                </w:p>
                <w:p w14:paraId="2462A986" w14:textId="77777777" w:rsidR="00F80916" w:rsidRPr="00B27735" w:rsidRDefault="00F80916" w:rsidP="00D032E7">
                  <w:pPr>
                    <w:tabs>
                      <w:tab w:val="left" w:pos="1418"/>
                    </w:tabs>
                    <w:jc w:val="center"/>
                    <w:rPr>
                      <w:rFonts w:ascii="TimesNewRomanPSMT" w:cs="TimesNewRomanPSMT"/>
                      <w:b/>
                      <w:bCs/>
                      <w:sz w:val="24"/>
                      <w:szCs w:val="24"/>
                      <w:lang w:eastAsia="ko-KR"/>
                    </w:rPr>
                  </w:pPr>
                  <w:r w:rsidRPr="00B27735">
                    <w:rPr>
                      <w:rFonts w:ascii="TimesNewRomanPSMT" w:cs="TimesNewRomanPSMT"/>
                      <w:b/>
                      <w:bCs/>
                      <w:sz w:val="24"/>
                      <w:szCs w:val="24"/>
                      <w:lang w:eastAsia="ko-KR"/>
                    </w:rPr>
                    <w:t>Gloria Zaracho</w:t>
                  </w:r>
                </w:p>
              </w:tc>
            </w:tr>
          </w:tbl>
          <w:p w14:paraId="52F5888E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  <w:lang w:val="pt-BR"/>
              </w:rPr>
            </w:pPr>
          </w:p>
        </w:tc>
        <w:tc>
          <w:tcPr>
            <w:tcW w:w="4467" w:type="dxa"/>
          </w:tcPr>
          <w:p w14:paraId="30849ACF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6A33CE43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607CE317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3220C1C6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2DB6894B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4EBDDD35" w14:textId="77777777" w:rsidR="00F80916" w:rsidRPr="00B27735" w:rsidRDefault="00F80916" w:rsidP="00D032E7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64DC27B9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Cs/>
                <w:lang w:val="pt-BR"/>
              </w:rPr>
            </w:pPr>
            <w:r w:rsidRPr="00B27735">
              <w:rPr>
                <w:rFonts w:ascii="TimesNewRomanPSMT" w:cs="TimesNewRomanPSMT"/>
                <w:bCs/>
                <w:lang w:val="pt-BR"/>
              </w:rPr>
              <w:t>Pela Delega</w:t>
            </w:r>
            <w:r w:rsidRPr="00B27735">
              <w:rPr>
                <w:rFonts w:ascii="TimesNewRomanPSMT" w:cs="TimesNewRomanPSMT"/>
                <w:bCs/>
                <w:lang w:val="pt-BR"/>
              </w:rPr>
              <w:t>çã</w:t>
            </w:r>
            <w:r w:rsidRPr="00B27735">
              <w:rPr>
                <w:rFonts w:ascii="TimesNewRomanPSMT" w:cs="TimesNewRomanPSMT"/>
                <w:bCs/>
                <w:lang w:val="pt-BR"/>
              </w:rPr>
              <w:t>o do Brasil</w:t>
            </w:r>
          </w:p>
          <w:p w14:paraId="6CECCC81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  <w:lang w:val="pt-BR"/>
              </w:rPr>
            </w:pPr>
            <w:r w:rsidRPr="00B27735">
              <w:rPr>
                <w:rFonts w:ascii="TimesNewRomanPSMT" w:cs="TimesNewRomanPSMT"/>
                <w:b/>
                <w:bCs/>
                <w:lang w:val="pt-BR"/>
              </w:rPr>
              <w:t>Rafael Laurentino</w:t>
            </w:r>
          </w:p>
          <w:p w14:paraId="536E6B12" w14:textId="77777777" w:rsidR="00F80916" w:rsidRPr="00B27735" w:rsidRDefault="00F80916" w:rsidP="00D032E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pt-BR" w:eastAsia="ko-KR"/>
              </w:rPr>
            </w:pPr>
          </w:p>
          <w:p w14:paraId="4E0E7545" w14:textId="77777777" w:rsidR="00F80916" w:rsidRPr="00B27735" w:rsidRDefault="00F80916" w:rsidP="00D032E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pt-BR" w:eastAsia="ko-KR"/>
              </w:rPr>
            </w:pPr>
          </w:p>
          <w:p w14:paraId="1BB5A8D7" w14:textId="77777777" w:rsidR="00F80916" w:rsidRPr="00B27735" w:rsidRDefault="00F80916" w:rsidP="00D032E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pt-BR" w:eastAsia="ko-KR"/>
              </w:rPr>
            </w:pPr>
          </w:p>
          <w:p w14:paraId="231B129B" w14:textId="77777777" w:rsidR="00F80916" w:rsidRPr="00B27735" w:rsidRDefault="00F80916" w:rsidP="00D032E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pt-BR" w:eastAsia="ko-KR"/>
              </w:rPr>
            </w:pPr>
          </w:p>
          <w:p w14:paraId="60A57742" w14:textId="77777777" w:rsidR="00F80916" w:rsidRPr="00B27735" w:rsidRDefault="00F80916" w:rsidP="00D032E7">
            <w:pPr>
              <w:pStyle w:val="Encabezamiento"/>
              <w:jc w:val="center"/>
              <w:rPr>
                <w:rFonts w:ascii="TimesNewRomanPSMT" w:hAnsi="Times New Roman" w:cs="TimesNewRomanPSMT"/>
                <w:color w:val="auto"/>
                <w:szCs w:val="24"/>
                <w:lang w:val="pt-BR" w:eastAsia="ko-KR"/>
              </w:rPr>
            </w:pPr>
            <w:r w:rsidRPr="00B27735">
              <w:rPr>
                <w:rFonts w:ascii="TimesNewRomanPSMT" w:hAnsi="Times New Roman" w:cs="TimesNewRomanPSMT"/>
                <w:color w:val="auto"/>
                <w:szCs w:val="24"/>
                <w:lang w:val="pt-BR" w:eastAsia="ko-KR"/>
              </w:rPr>
              <w:t>Pela Delega</w:t>
            </w:r>
            <w:r w:rsidRPr="00B27735">
              <w:rPr>
                <w:rFonts w:ascii="TimesNewRomanPSMT" w:hAnsi="Times New Roman" w:cs="TimesNewRomanPSMT"/>
                <w:color w:val="auto"/>
                <w:szCs w:val="24"/>
                <w:lang w:val="pt-BR" w:eastAsia="ko-KR"/>
              </w:rPr>
              <w:t>çã</w:t>
            </w:r>
            <w:r w:rsidRPr="00B27735">
              <w:rPr>
                <w:rFonts w:ascii="TimesNewRomanPSMT" w:hAnsi="Times New Roman" w:cs="TimesNewRomanPSMT"/>
                <w:color w:val="auto"/>
                <w:szCs w:val="24"/>
                <w:lang w:val="pt-BR" w:eastAsia="ko-KR"/>
              </w:rPr>
              <w:t>o do Uruguai</w:t>
            </w:r>
          </w:p>
          <w:p w14:paraId="46DD0C99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  <w:lang w:val="pt-BR"/>
              </w:rPr>
            </w:pPr>
            <w:r w:rsidRPr="00B27735">
              <w:rPr>
                <w:rFonts w:ascii="TimesNewRomanPSMT" w:cs="TimesNewRomanPSMT"/>
                <w:b/>
                <w:bCs/>
                <w:lang w:val="pt-BR"/>
              </w:rPr>
              <w:t>Diego Fern</w:t>
            </w:r>
            <w:r w:rsidRPr="00B27735">
              <w:rPr>
                <w:rFonts w:ascii="TimesNewRomanPSMT" w:cs="TimesNewRomanPSMT"/>
                <w:b/>
                <w:bCs/>
                <w:lang w:val="pt-BR"/>
              </w:rPr>
              <w:t>á</w:t>
            </w:r>
            <w:r w:rsidRPr="00B27735">
              <w:rPr>
                <w:rFonts w:ascii="TimesNewRomanPSMT" w:cs="TimesNewRomanPSMT"/>
                <w:b/>
                <w:bCs/>
                <w:lang w:val="pt-BR"/>
              </w:rPr>
              <w:t>ndez</w:t>
            </w:r>
          </w:p>
          <w:p w14:paraId="29391975" w14:textId="77777777" w:rsidR="00F80916" w:rsidRPr="00B27735" w:rsidRDefault="00F80916" w:rsidP="00D032E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</w:tc>
      </w:tr>
    </w:tbl>
    <w:p w14:paraId="21D71537" w14:textId="77777777" w:rsidR="00F80916" w:rsidRPr="00B27735" w:rsidRDefault="00F80916" w:rsidP="00F80916"/>
    <w:p w14:paraId="1AEA5530" w14:textId="77777777" w:rsidR="00F80916" w:rsidRPr="0093040A" w:rsidRDefault="00F80916" w:rsidP="000544D6">
      <w:pPr>
        <w:pStyle w:val="Default"/>
        <w:rPr>
          <w:b/>
          <w:bCs/>
          <w:lang w:val="pt-BR"/>
        </w:rPr>
      </w:pPr>
    </w:p>
    <w:sectPr w:rsidR="00F80916" w:rsidRPr="00930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7C9F"/>
    <w:multiLevelType w:val="multilevel"/>
    <w:tmpl w:val="8C9CC72A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901D7A"/>
    <w:multiLevelType w:val="hybridMultilevel"/>
    <w:tmpl w:val="71E0FE52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044BE"/>
    <w:multiLevelType w:val="multilevel"/>
    <w:tmpl w:val="FE56E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47423359">
    <w:abstractNumId w:val="2"/>
  </w:num>
  <w:num w:numId="2" w16cid:durableId="584341663">
    <w:abstractNumId w:val="0"/>
  </w:num>
  <w:num w:numId="3" w16cid:durableId="201006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BA"/>
    <w:rsid w:val="00033E3A"/>
    <w:rsid w:val="00043AED"/>
    <w:rsid w:val="00050211"/>
    <w:rsid w:val="00052971"/>
    <w:rsid w:val="000544D6"/>
    <w:rsid w:val="00071796"/>
    <w:rsid w:val="00073509"/>
    <w:rsid w:val="000F7428"/>
    <w:rsid w:val="00115223"/>
    <w:rsid w:val="00125473"/>
    <w:rsid w:val="00127E57"/>
    <w:rsid w:val="0015721B"/>
    <w:rsid w:val="001625AF"/>
    <w:rsid w:val="00162634"/>
    <w:rsid w:val="00195113"/>
    <w:rsid w:val="001D53DA"/>
    <w:rsid w:val="001E41F0"/>
    <w:rsid w:val="001E6402"/>
    <w:rsid w:val="001F4BCA"/>
    <w:rsid w:val="001F58A5"/>
    <w:rsid w:val="00230D13"/>
    <w:rsid w:val="002473BA"/>
    <w:rsid w:val="00252BD3"/>
    <w:rsid w:val="002A0305"/>
    <w:rsid w:val="002A4BCB"/>
    <w:rsid w:val="002B4D2D"/>
    <w:rsid w:val="002B57B4"/>
    <w:rsid w:val="002C130E"/>
    <w:rsid w:val="002C2797"/>
    <w:rsid w:val="002E0FCC"/>
    <w:rsid w:val="002F1CAF"/>
    <w:rsid w:val="0030030E"/>
    <w:rsid w:val="00302A74"/>
    <w:rsid w:val="0034735E"/>
    <w:rsid w:val="00356B2E"/>
    <w:rsid w:val="00387225"/>
    <w:rsid w:val="003935BA"/>
    <w:rsid w:val="003C2BAE"/>
    <w:rsid w:val="003D0C17"/>
    <w:rsid w:val="003F1D67"/>
    <w:rsid w:val="0041294E"/>
    <w:rsid w:val="00426081"/>
    <w:rsid w:val="00462968"/>
    <w:rsid w:val="0047678B"/>
    <w:rsid w:val="004A3A4B"/>
    <w:rsid w:val="004E1406"/>
    <w:rsid w:val="0051403D"/>
    <w:rsid w:val="00520683"/>
    <w:rsid w:val="00521A0C"/>
    <w:rsid w:val="005B603E"/>
    <w:rsid w:val="005C0FBB"/>
    <w:rsid w:val="005D471F"/>
    <w:rsid w:val="00600172"/>
    <w:rsid w:val="00622A40"/>
    <w:rsid w:val="006347E8"/>
    <w:rsid w:val="00666A0F"/>
    <w:rsid w:val="00674172"/>
    <w:rsid w:val="0069764F"/>
    <w:rsid w:val="006A3568"/>
    <w:rsid w:val="006B1D7F"/>
    <w:rsid w:val="006B2BEB"/>
    <w:rsid w:val="007333F2"/>
    <w:rsid w:val="007A68C0"/>
    <w:rsid w:val="007A7852"/>
    <w:rsid w:val="008243A8"/>
    <w:rsid w:val="00831974"/>
    <w:rsid w:val="00831F6E"/>
    <w:rsid w:val="00860DAF"/>
    <w:rsid w:val="0088101C"/>
    <w:rsid w:val="00887977"/>
    <w:rsid w:val="008B4A74"/>
    <w:rsid w:val="008F3A73"/>
    <w:rsid w:val="00911FB0"/>
    <w:rsid w:val="0093040A"/>
    <w:rsid w:val="009A05BC"/>
    <w:rsid w:val="009A6BA7"/>
    <w:rsid w:val="009B1068"/>
    <w:rsid w:val="009B7941"/>
    <w:rsid w:val="009C5FE7"/>
    <w:rsid w:val="009D7723"/>
    <w:rsid w:val="009D7C61"/>
    <w:rsid w:val="009F06CA"/>
    <w:rsid w:val="00A05C5B"/>
    <w:rsid w:val="00A1586C"/>
    <w:rsid w:val="00A22280"/>
    <w:rsid w:val="00A5116D"/>
    <w:rsid w:val="00A538A2"/>
    <w:rsid w:val="00AA2B1B"/>
    <w:rsid w:val="00B27735"/>
    <w:rsid w:val="00B40655"/>
    <w:rsid w:val="00B5646A"/>
    <w:rsid w:val="00B92ACA"/>
    <w:rsid w:val="00BB714B"/>
    <w:rsid w:val="00BC3B34"/>
    <w:rsid w:val="00BC7ED5"/>
    <w:rsid w:val="00C2500E"/>
    <w:rsid w:val="00C27245"/>
    <w:rsid w:val="00C557A8"/>
    <w:rsid w:val="00C660E7"/>
    <w:rsid w:val="00C71B50"/>
    <w:rsid w:val="00C72AAE"/>
    <w:rsid w:val="00C82077"/>
    <w:rsid w:val="00C82CE7"/>
    <w:rsid w:val="00C82FB4"/>
    <w:rsid w:val="00CF6FB8"/>
    <w:rsid w:val="00D06F14"/>
    <w:rsid w:val="00D11BC4"/>
    <w:rsid w:val="00D133EE"/>
    <w:rsid w:val="00D2546A"/>
    <w:rsid w:val="00D316D9"/>
    <w:rsid w:val="00D464DB"/>
    <w:rsid w:val="00DA0A75"/>
    <w:rsid w:val="00E40B88"/>
    <w:rsid w:val="00E45419"/>
    <w:rsid w:val="00E474D1"/>
    <w:rsid w:val="00E55961"/>
    <w:rsid w:val="00E64D24"/>
    <w:rsid w:val="00E70D3B"/>
    <w:rsid w:val="00E73C0B"/>
    <w:rsid w:val="00E810CF"/>
    <w:rsid w:val="00EA256B"/>
    <w:rsid w:val="00EB51F7"/>
    <w:rsid w:val="00EC5810"/>
    <w:rsid w:val="00F11B58"/>
    <w:rsid w:val="00F3655B"/>
    <w:rsid w:val="00F80916"/>
    <w:rsid w:val="00F90BCB"/>
    <w:rsid w:val="00FF39A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2C4D"/>
  <w15:docId w15:val="{4ADEC334-BECB-4CF4-A383-78906D32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3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PargrafodaLista">
    <w:name w:val="List Paragraph"/>
    <w:basedOn w:val="Normal"/>
    <w:uiPriority w:val="34"/>
    <w:qFormat/>
    <w:rsid w:val="00F80916"/>
    <w:pPr>
      <w:ind w:left="720"/>
      <w:contextualSpacing/>
    </w:pPr>
  </w:style>
  <w:style w:type="paragraph" w:customStyle="1" w:styleId="Encabezamiento">
    <w:name w:val="Encabezamiento"/>
    <w:basedOn w:val="Normal"/>
    <w:rsid w:val="00F80916"/>
    <w:pPr>
      <w:tabs>
        <w:tab w:val="center" w:pos="4419"/>
        <w:tab w:val="right" w:pos="8838"/>
      </w:tabs>
    </w:pPr>
    <w:rPr>
      <w:rFonts w:ascii="Arial" w:hAnsi="Arial"/>
      <w:color w:val="00000A"/>
      <w:sz w:val="24"/>
      <w:lang w:val="es-ES" w:eastAsia="es-ES"/>
    </w:rPr>
  </w:style>
  <w:style w:type="table" w:styleId="Tabelacomgrade">
    <w:name w:val="Table Grid"/>
    <w:basedOn w:val="Tabelanormal"/>
    <w:uiPriority w:val="59"/>
    <w:rsid w:val="00F8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80916"/>
    <w:pPr>
      <w:spacing w:before="100" w:beforeAutospacing="1" w:after="100" w:afterAutospacing="1"/>
    </w:pPr>
    <w:rPr>
      <w:sz w:val="24"/>
      <w:szCs w:val="24"/>
      <w:lang w:val="es-UY"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4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46A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Reviso">
    <w:name w:val="Revision"/>
    <w:hidden/>
    <w:uiPriority w:val="99"/>
    <w:semiHidden/>
    <w:rsid w:val="009B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041D-9095-41C8-AF30-F1E1867E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Russo</dc:creator>
  <cp:keywords/>
  <dc:description/>
  <cp:lastModifiedBy>rafael.laurentinodf@outlook.com</cp:lastModifiedBy>
  <cp:revision>16</cp:revision>
  <dcterms:created xsi:type="dcterms:W3CDTF">2023-10-13T12:06:00Z</dcterms:created>
  <dcterms:modified xsi:type="dcterms:W3CDTF">2023-10-13T12:17:00Z</dcterms:modified>
</cp:coreProperties>
</file>