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0539" w14:textId="5C7CF20B" w:rsidR="007903CF" w:rsidRDefault="007903CF" w:rsidP="007903CF">
      <w:pPr>
        <w:suppressAutoHyphens/>
        <w:spacing w:after="0" w:line="240" w:lineRule="auto"/>
        <w:rPr>
          <w:rFonts w:ascii="Arial" w:eastAsia="Times New Roman" w:hAnsi="Arial" w:cs="Arial"/>
          <w:b/>
          <w:bCs/>
          <w:sz w:val="24"/>
          <w:szCs w:val="24"/>
          <w:lang w:val="pt-BR" w:eastAsia="ar-SA"/>
        </w:rPr>
      </w:pPr>
      <w:r>
        <w:rPr>
          <w:rFonts w:ascii="Arial" w:eastAsia="Times New Roman" w:hAnsi="Arial" w:cs="Arial"/>
          <w:b/>
          <w:bCs/>
          <w:noProof/>
          <w:sz w:val="24"/>
          <w:szCs w:val="24"/>
          <w:lang w:val="pt-BR" w:eastAsia="ar-SA"/>
        </w:rPr>
        <w:drawing>
          <wp:inline distT="0" distB="0" distL="0" distR="0" wp14:anchorId="17EFCD93" wp14:editId="7D36AE1C">
            <wp:extent cx="1200785" cy="8959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895985"/>
                    </a:xfrm>
                    <a:prstGeom prst="rect">
                      <a:avLst/>
                    </a:prstGeom>
                    <a:noFill/>
                  </pic:spPr>
                </pic:pic>
              </a:graphicData>
            </a:graphic>
          </wp:inline>
        </w:drawing>
      </w:r>
      <w:r>
        <w:rPr>
          <w:rFonts w:ascii="Arial" w:eastAsia="Times New Roman" w:hAnsi="Arial" w:cs="Arial"/>
          <w:b/>
          <w:bCs/>
          <w:sz w:val="24"/>
          <w:szCs w:val="24"/>
          <w:lang w:val="pt-BR" w:eastAsia="ar-SA"/>
        </w:rPr>
        <w:t xml:space="preserve">                                                                  </w:t>
      </w:r>
      <w:r>
        <w:rPr>
          <w:rFonts w:ascii="Arial" w:eastAsia="Times New Roman" w:hAnsi="Arial" w:cs="Arial"/>
          <w:b/>
          <w:bCs/>
          <w:noProof/>
          <w:sz w:val="24"/>
          <w:szCs w:val="24"/>
          <w:lang w:val="pt-BR" w:eastAsia="ar-SA"/>
        </w:rPr>
        <w:drawing>
          <wp:inline distT="0" distB="0" distL="0" distR="0" wp14:anchorId="6834105D" wp14:editId="6A81C2F8">
            <wp:extent cx="1231265" cy="895985"/>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265" cy="895985"/>
                    </a:xfrm>
                    <a:prstGeom prst="rect">
                      <a:avLst/>
                    </a:prstGeom>
                    <a:noFill/>
                  </pic:spPr>
                </pic:pic>
              </a:graphicData>
            </a:graphic>
          </wp:inline>
        </w:drawing>
      </w:r>
      <w:r>
        <w:rPr>
          <w:rFonts w:ascii="Arial" w:eastAsia="Times New Roman" w:hAnsi="Arial" w:cs="Arial"/>
          <w:b/>
          <w:bCs/>
          <w:sz w:val="24"/>
          <w:szCs w:val="24"/>
          <w:lang w:val="pt-BR" w:eastAsia="ar-SA"/>
        </w:rPr>
        <w:t xml:space="preserve">                    </w:t>
      </w:r>
    </w:p>
    <w:p w14:paraId="2D0E68CE" w14:textId="77777777" w:rsidR="007903CF" w:rsidRDefault="007903CF" w:rsidP="007903CF">
      <w:pPr>
        <w:suppressAutoHyphens/>
        <w:spacing w:after="0" w:line="240" w:lineRule="auto"/>
        <w:rPr>
          <w:rFonts w:ascii="Arial" w:eastAsia="Times New Roman" w:hAnsi="Arial" w:cs="Arial"/>
          <w:b/>
          <w:bCs/>
          <w:sz w:val="24"/>
          <w:szCs w:val="24"/>
          <w:lang w:val="pt-BR" w:eastAsia="ar-SA"/>
        </w:rPr>
      </w:pPr>
    </w:p>
    <w:p w14:paraId="6D012420" w14:textId="0025DA99" w:rsidR="007903CF" w:rsidRPr="00764C71" w:rsidRDefault="007903CF" w:rsidP="007903CF">
      <w:pPr>
        <w:suppressAutoHyphens/>
        <w:spacing w:after="0" w:line="240" w:lineRule="auto"/>
        <w:rPr>
          <w:rFonts w:ascii="Arial" w:eastAsia="Times New Roman" w:hAnsi="Arial" w:cs="Arial"/>
          <w:b/>
          <w:sz w:val="24"/>
          <w:szCs w:val="24"/>
          <w:lang w:val="pt-BR" w:eastAsia="ar-SA"/>
        </w:rPr>
      </w:pPr>
      <w:r w:rsidRPr="00764C71">
        <w:rPr>
          <w:rFonts w:ascii="Arial" w:eastAsia="Times New Roman" w:hAnsi="Arial" w:cs="Arial"/>
          <w:b/>
          <w:bCs/>
          <w:sz w:val="24"/>
          <w:szCs w:val="24"/>
          <w:lang w:val="pt-BR" w:eastAsia="ar-SA"/>
        </w:rPr>
        <w:t>MERCOSUR/SGT Nº 4/CS/ACTA Nº 0</w:t>
      </w:r>
      <w:r w:rsidR="00294A2D">
        <w:rPr>
          <w:rFonts w:ascii="Arial" w:eastAsia="Times New Roman" w:hAnsi="Arial" w:cs="Arial"/>
          <w:b/>
          <w:bCs/>
          <w:sz w:val="24"/>
          <w:szCs w:val="24"/>
          <w:lang w:val="pt-BR" w:eastAsia="ar-SA"/>
        </w:rPr>
        <w:t>1</w:t>
      </w:r>
      <w:r w:rsidRPr="00764C71">
        <w:rPr>
          <w:rFonts w:ascii="Arial" w:eastAsia="Times New Roman" w:hAnsi="Arial" w:cs="Arial"/>
          <w:b/>
          <w:bCs/>
          <w:sz w:val="24"/>
          <w:szCs w:val="24"/>
          <w:lang w:val="pt-BR" w:eastAsia="ar-SA"/>
        </w:rPr>
        <w:t>/2</w:t>
      </w:r>
      <w:r w:rsidR="00294A2D">
        <w:rPr>
          <w:rFonts w:ascii="Arial" w:eastAsia="Times New Roman" w:hAnsi="Arial" w:cs="Arial"/>
          <w:b/>
          <w:bCs/>
          <w:sz w:val="24"/>
          <w:szCs w:val="24"/>
          <w:lang w:val="pt-BR" w:eastAsia="ar-SA"/>
        </w:rPr>
        <w:t>3</w:t>
      </w:r>
    </w:p>
    <w:p w14:paraId="77FDE4F7" w14:textId="77777777" w:rsidR="00C47639" w:rsidRPr="007903CF" w:rsidRDefault="00C47639" w:rsidP="007903CF">
      <w:pPr>
        <w:tabs>
          <w:tab w:val="center" w:pos="4252"/>
        </w:tabs>
        <w:suppressAutoHyphens/>
        <w:spacing w:after="0" w:line="240" w:lineRule="auto"/>
        <w:rPr>
          <w:rFonts w:ascii="Arial" w:eastAsia="Times New Roman" w:hAnsi="Arial" w:cs="Arial"/>
          <w:b/>
          <w:sz w:val="24"/>
          <w:szCs w:val="24"/>
          <w:lang w:val="pt-BR" w:eastAsia="ar-SA"/>
        </w:rPr>
      </w:pPr>
    </w:p>
    <w:p w14:paraId="78BB22E3" w14:textId="473FC439" w:rsidR="00F41AB9" w:rsidRPr="00764C71" w:rsidRDefault="00323C09" w:rsidP="007903CF">
      <w:pPr>
        <w:tabs>
          <w:tab w:val="center" w:pos="4252"/>
        </w:tabs>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L</w:t>
      </w:r>
      <w:r w:rsidR="00C47639">
        <w:rPr>
          <w:rFonts w:ascii="Arial" w:eastAsia="Times New Roman" w:hAnsi="Arial" w:cs="Arial"/>
          <w:b/>
          <w:sz w:val="24"/>
          <w:szCs w:val="24"/>
          <w:lang w:eastAsia="ar-SA"/>
        </w:rPr>
        <w:t>I</w:t>
      </w:r>
      <w:r w:rsidR="00294A2D">
        <w:rPr>
          <w:rFonts w:ascii="Arial" w:eastAsia="Times New Roman" w:hAnsi="Arial" w:cs="Arial"/>
          <w:b/>
          <w:sz w:val="24"/>
          <w:szCs w:val="24"/>
          <w:lang w:eastAsia="ar-SA"/>
        </w:rPr>
        <w:t>I</w:t>
      </w:r>
      <w:r w:rsidR="00F41AB9" w:rsidRPr="00764C71">
        <w:rPr>
          <w:rFonts w:ascii="Arial" w:eastAsia="Times New Roman" w:hAnsi="Arial" w:cs="Arial"/>
          <w:b/>
          <w:sz w:val="24"/>
          <w:szCs w:val="24"/>
          <w:lang w:eastAsia="ar-SA"/>
        </w:rPr>
        <w:t xml:space="preserve">I REUNIÓN ORDINARIA DEL SUBGRUPO DE TRABAJO N° 4 – SGT4 – ASUNTOS FINANCIEROS DEL MERCOSUR- </w:t>
      </w:r>
      <w:r w:rsidR="00F728B6" w:rsidRPr="00764C71">
        <w:rPr>
          <w:rFonts w:ascii="Arial" w:eastAsia="Times New Roman" w:hAnsi="Arial" w:cs="Arial"/>
          <w:b/>
          <w:sz w:val="24"/>
          <w:szCs w:val="24"/>
          <w:lang w:eastAsia="ar-SA"/>
        </w:rPr>
        <w:t>COMISIÓN DE SEGUROS (CS)</w:t>
      </w:r>
    </w:p>
    <w:p w14:paraId="3E365F91" w14:textId="77777777" w:rsidR="00F41AB9" w:rsidRPr="00764C71" w:rsidRDefault="00F41AB9" w:rsidP="00764C71">
      <w:pPr>
        <w:suppressAutoHyphens/>
        <w:spacing w:after="0" w:line="240" w:lineRule="auto"/>
        <w:jc w:val="both"/>
        <w:rPr>
          <w:rFonts w:ascii="Arial" w:eastAsia="Times New Roman" w:hAnsi="Arial" w:cs="Arial"/>
          <w:b/>
          <w:sz w:val="24"/>
          <w:szCs w:val="24"/>
          <w:lang w:eastAsia="ar-SA"/>
        </w:rPr>
      </w:pPr>
    </w:p>
    <w:p w14:paraId="0921D34A" w14:textId="0F556EBA" w:rsidR="009E638F" w:rsidRPr="009E638F" w:rsidRDefault="009E638F" w:rsidP="00D23760">
      <w:pPr>
        <w:spacing w:after="120" w:line="240" w:lineRule="auto"/>
        <w:jc w:val="both"/>
        <w:rPr>
          <w:rFonts w:ascii="Arial" w:eastAsia="Times New Roman" w:hAnsi="Arial" w:cs="Arial"/>
          <w:bCs/>
          <w:color w:val="000000"/>
          <w:sz w:val="24"/>
          <w:szCs w:val="24"/>
          <w:lang w:eastAsia="es-ES"/>
        </w:rPr>
      </w:pPr>
      <w:r w:rsidRPr="009E638F">
        <w:rPr>
          <w:rFonts w:ascii="Arial" w:eastAsia="Arial" w:hAnsi="Arial" w:cs="Arial"/>
          <w:sz w:val="24"/>
          <w:szCs w:val="24"/>
          <w:lang w:eastAsia="es-ES"/>
        </w:rPr>
        <w:t xml:space="preserve">En ejercicio de la Presidencia </w:t>
      </w:r>
      <w:r w:rsidRPr="009E638F">
        <w:rPr>
          <w:rFonts w:ascii="Arial" w:eastAsia="Arial" w:hAnsi="Arial" w:cs="Arial"/>
          <w:i/>
          <w:iCs/>
          <w:sz w:val="24"/>
          <w:szCs w:val="24"/>
          <w:lang w:eastAsia="es-ES"/>
        </w:rPr>
        <w:t>Pro Tempore</w:t>
      </w:r>
      <w:r w:rsidRPr="009E638F">
        <w:rPr>
          <w:rFonts w:ascii="Arial" w:eastAsia="Arial" w:hAnsi="Arial" w:cs="Arial"/>
          <w:sz w:val="24"/>
          <w:szCs w:val="24"/>
          <w:lang w:eastAsia="es-ES"/>
        </w:rPr>
        <w:t xml:space="preserve"> de </w:t>
      </w:r>
      <w:r w:rsidR="00294A2D">
        <w:rPr>
          <w:rFonts w:ascii="Arial" w:eastAsia="Arial" w:hAnsi="Arial" w:cs="Arial"/>
          <w:sz w:val="24"/>
          <w:szCs w:val="24"/>
          <w:lang w:eastAsia="es-ES"/>
        </w:rPr>
        <w:t>Argentina</w:t>
      </w:r>
      <w:r w:rsidRPr="009E638F">
        <w:rPr>
          <w:rFonts w:ascii="Arial" w:eastAsia="Arial" w:hAnsi="Arial" w:cs="Arial"/>
          <w:sz w:val="24"/>
          <w:szCs w:val="24"/>
          <w:lang w:eastAsia="es-ES"/>
        </w:rPr>
        <w:t xml:space="preserve"> (PPT</w:t>
      </w:r>
      <w:r w:rsidR="00294A2D">
        <w:rPr>
          <w:rFonts w:ascii="Arial" w:eastAsia="Arial" w:hAnsi="Arial" w:cs="Arial"/>
          <w:sz w:val="24"/>
          <w:szCs w:val="24"/>
          <w:lang w:eastAsia="es-ES"/>
        </w:rPr>
        <w:t>A</w:t>
      </w:r>
      <w:r w:rsidRPr="009E638F">
        <w:rPr>
          <w:rFonts w:ascii="Arial" w:eastAsia="Arial" w:hAnsi="Arial" w:cs="Arial"/>
          <w:sz w:val="24"/>
          <w:szCs w:val="24"/>
          <w:lang w:eastAsia="es-ES"/>
        </w:rPr>
        <w:t xml:space="preserve">), los </w:t>
      </w:r>
      <w:r w:rsidRPr="00F17892">
        <w:rPr>
          <w:rFonts w:ascii="Arial" w:eastAsia="Arial" w:hAnsi="Arial" w:cs="Arial"/>
          <w:sz w:val="24"/>
          <w:szCs w:val="24"/>
          <w:lang w:eastAsia="es-ES"/>
        </w:rPr>
        <w:t xml:space="preserve">días </w:t>
      </w:r>
      <w:bookmarkStart w:id="0" w:name="_Hlk117588687"/>
      <w:r w:rsidR="00C47639">
        <w:rPr>
          <w:rFonts w:ascii="Arial" w:eastAsia="Arial" w:hAnsi="Arial" w:cs="Arial"/>
          <w:sz w:val="24"/>
          <w:szCs w:val="24"/>
          <w:lang w:eastAsia="es-ES"/>
        </w:rPr>
        <w:t>1</w:t>
      </w:r>
      <w:r w:rsidR="00294A2D">
        <w:rPr>
          <w:rFonts w:ascii="Arial" w:eastAsia="Arial" w:hAnsi="Arial" w:cs="Arial"/>
          <w:sz w:val="24"/>
          <w:szCs w:val="24"/>
          <w:lang w:eastAsia="es-ES"/>
        </w:rPr>
        <w:t>0 al 12 d</w:t>
      </w:r>
      <w:r w:rsidRPr="00F17892">
        <w:rPr>
          <w:rFonts w:ascii="Arial" w:eastAsia="Arial" w:hAnsi="Arial" w:cs="Arial"/>
          <w:sz w:val="24"/>
          <w:szCs w:val="24"/>
          <w:lang w:eastAsia="es-ES"/>
        </w:rPr>
        <w:t xml:space="preserve">e </w:t>
      </w:r>
      <w:r w:rsidR="00294A2D">
        <w:rPr>
          <w:rFonts w:ascii="Arial" w:eastAsia="Arial" w:hAnsi="Arial" w:cs="Arial"/>
          <w:sz w:val="24"/>
          <w:szCs w:val="24"/>
          <w:lang w:eastAsia="es-ES"/>
        </w:rPr>
        <w:t>mayo</w:t>
      </w:r>
      <w:bookmarkEnd w:id="0"/>
      <w:r w:rsidRPr="00F17892">
        <w:rPr>
          <w:rFonts w:ascii="Arial" w:eastAsia="Arial" w:hAnsi="Arial" w:cs="Arial"/>
          <w:sz w:val="24"/>
          <w:szCs w:val="24"/>
          <w:lang w:eastAsia="es-ES"/>
        </w:rPr>
        <w:t xml:space="preserve"> de 202</w:t>
      </w:r>
      <w:r w:rsidR="00294A2D">
        <w:rPr>
          <w:rFonts w:ascii="Arial" w:eastAsia="Arial" w:hAnsi="Arial" w:cs="Arial"/>
          <w:sz w:val="24"/>
          <w:szCs w:val="24"/>
          <w:lang w:eastAsia="es-ES"/>
        </w:rPr>
        <w:t>3</w:t>
      </w:r>
      <w:r w:rsidRPr="00F17892">
        <w:rPr>
          <w:rFonts w:ascii="Arial" w:eastAsia="Arial" w:hAnsi="Arial" w:cs="Arial"/>
          <w:sz w:val="24"/>
          <w:szCs w:val="24"/>
          <w:lang w:eastAsia="es-ES"/>
        </w:rPr>
        <w:t>,</w:t>
      </w:r>
      <w:r w:rsidRPr="009E638F">
        <w:rPr>
          <w:rFonts w:ascii="Arial" w:eastAsia="Arial" w:hAnsi="Arial" w:cs="Arial"/>
          <w:sz w:val="24"/>
          <w:szCs w:val="24"/>
          <w:lang w:eastAsia="es-ES"/>
        </w:rPr>
        <w:t xml:space="preserve"> se realizó por medio del sistema de videoconferencia, conforme se establece en la Resolución GMC N° 19/12 “Reuniones por el sistema de videoconferencia”,</w:t>
      </w:r>
      <w:r w:rsidRPr="009E638F">
        <w:rPr>
          <w:rFonts w:ascii="Arial" w:eastAsia="Times New Roman" w:hAnsi="Arial" w:cs="Times New Roman"/>
          <w:sz w:val="24"/>
          <w:szCs w:val="20"/>
          <w:lang w:val="es-ES_tradnl" w:eastAsia="es-ES"/>
        </w:rPr>
        <w:t xml:space="preserve"> </w:t>
      </w:r>
      <w:r w:rsidRPr="009E638F">
        <w:rPr>
          <w:rFonts w:ascii="Arial" w:eastAsia="Arial" w:hAnsi="Arial" w:cs="Arial"/>
          <w:sz w:val="24"/>
          <w:szCs w:val="24"/>
          <w:lang w:eastAsia="es-ES"/>
        </w:rPr>
        <w:t xml:space="preserve">la </w:t>
      </w:r>
      <w:r w:rsidR="00323C09">
        <w:rPr>
          <w:rFonts w:ascii="Arial" w:eastAsia="Arial" w:hAnsi="Arial" w:cs="Arial"/>
          <w:sz w:val="24"/>
          <w:szCs w:val="24"/>
          <w:lang w:eastAsia="es-ES"/>
        </w:rPr>
        <w:t>L</w:t>
      </w:r>
      <w:r w:rsidR="00DD290E">
        <w:rPr>
          <w:rFonts w:ascii="Arial" w:eastAsia="Arial" w:hAnsi="Arial" w:cs="Arial"/>
          <w:sz w:val="24"/>
          <w:szCs w:val="24"/>
          <w:lang w:eastAsia="es-ES"/>
        </w:rPr>
        <w:t>I</w:t>
      </w:r>
      <w:r w:rsidR="00294A2D">
        <w:rPr>
          <w:rFonts w:ascii="Arial" w:eastAsia="Arial" w:hAnsi="Arial" w:cs="Arial"/>
          <w:sz w:val="24"/>
          <w:szCs w:val="24"/>
          <w:lang w:eastAsia="es-ES"/>
        </w:rPr>
        <w:t>I</w:t>
      </w:r>
      <w:r w:rsidR="00323C09">
        <w:rPr>
          <w:rFonts w:ascii="Arial" w:eastAsia="Arial" w:hAnsi="Arial" w:cs="Arial"/>
          <w:sz w:val="24"/>
          <w:szCs w:val="24"/>
          <w:lang w:eastAsia="es-ES"/>
        </w:rPr>
        <w:t>I</w:t>
      </w:r>
      <w:r w:rsidRPr="009E638F">
        <w:rPr>
          <w:rFonts w:ascii="Arial" w:eastAsia="Arial" w:hAnsi="Arial" w:cs="Arial"/>
          <w:sz w:val="24"/>
          <w:szCs w:val="24"/>
          <w:lang w:eastAsia="es-ES"/>
        </w:rPr>
        <w:t xml:space="preserve"> Reunión Ordinaria del Subgrupo de Trabajo Nº 4 “Asuntos Financieros/Comisión de </w:t>
      </w:r>
      <w:r>
        <w:rPr>
          <w:rFonts w:ascii="Arial" w:eastAsia="Arial" w:hAnsi="Arial" w:cs="Arial"/>
          <w:sz w:val="24"/>
          <w:szCs w:val="24"/>
          <w:lang w:eastAsia="es-ES"/>
        </w:rPr>
        <w:t>Seguros</w:t>
      </w:r>
      <w:r w:rsidR="00822E47">
        <w:rPr>
          <w:rFonts w:ascii="Arial" w:eastAsia="Arial" w:hAnsi="Arial" w:cs="Arial"/>
          <w:sz w:val="24"/>
          <w:szCs w:val="24"/>
          <w:lang w:eastAsia="es-ES"/>
        </w:rPr>
        <w:t xml:space="preserve"> </w:t>
      </w:r>
      <w:r w:rsidRPr="009E638F">
        <w:rPr>
          <w:rFonts w:ascii="Arial" w:eastAsia="Arial" w:hAnsi="Arial" w:cs="Arial"/>
          <w:sz w:val="24"/>
          <w:szCs w:val="24"/>
          <w:lang w:eastAsia="es-ES"/>
        </w:rPr>
        <w:t>(C</w:t>
      </w:r>
      <w:r>
        <w:rPr>
          <w:rFonts w:ascii="Arial" w:eastAsia="Arial" w:hAnsi="Arial" w:cs="Arial"/>
          <w:sz w:val="24"/>
          <w:szCs w:val="24"/>
          <w:lang w:eastAsia="es-ES"/>
        </w:rPr>
        <w:t>S</w:t>
      </w:r>
      <w:r w:rsidRPr="009E638F">
        <w:rPr>
          <w:rFonts w:ascii="Arial" w:eastAsia="Arial" w:hAnsi="Arial" w:cs="Arial"/>
          <w:sz w:val="24"/>
          <w:szCs w:val="24"/>
          <w:lang w:eastAsia="es-ES"/>
        </w:rPr>
        <w:t>)</w:t>
      </w:r>
      <w:r>
        <w:rPr>
          <w:rFonts w:ascii="Arial" w:eastAsia="Arial" w:hAnsi="Arial" w:cs="Arial"/>
          <w:sz w:val="24"/>
          <w:szCs w:val="24"/>
          <w:lang w:eastAsia="es-ES"/>
        </w:rPr>
        <w:t>”</w:t>
      </w:r>
      <w:r w:rsidRPr="009E638F">
        <w:rPr>
          <w:rFonts w:ascii="Arial" w:eastAsia="Arial" w:hAnsi="Arial" w:cs="Arial"/>
          <w:sz w:val="24"/>
          <w:szCs w:val="24"/>
          <w:lang w:eastAsia="es-ES"/>
        </w:rPr>
        <w:t xml:space="preserve">, con la participación de las delegaciones de Argentina, Brasil, Paraguay y Uruguay. </w:t>
      </w:r>
    </w:p>
    <w:p w14:paraId="42826DB7" w14:textId="77777777" w:rsidR="007903CF" w:rsidRDefault="007903CF" w:rsidP="00D23760">
      <w:pPr>
        <w:suppressAutoHyphens/>
        <w:spacing w:after="120" w:line="240" w:lineRule="auto"/>
        <w:jc w:val="both"/>
        <w:rPr>
          <w:rFonts w:ascii="Arial" w:eastAsia="Times New Roman" w:hAnsi="Arial" w:cs="Arial"/>
          <w:sz w:val="24"/>
          <w:szCs w:val="24"/>
          <w:lang w:eastAsia="ar-SA"/>
        </w:rPr>
      </w:pPr>
    </w:p>
    <w:p w14:paraId="45CF255A" w14:textId="048D79B3" w:rsidR="003D3A1E" w:rsidRDefault="003D3A1E" w:rsidP="00D23760">
      <w:pPr>
        <w:suppressAutoHyphens/>
        <w:spacing w:after="120" w:line="240" w:lineRule="auto"/>
        <w:jc w:val="both"/>
        <w:rPr>
          <w:rFonts w:ascii="Arial" w:eastAsia="Times New Roman" w:hAnsi="Arial" w:cs="Arial"/>
          <w:sz w:val="24"/>
          <w:szCs w:val="24"/>
          <w:lang w:eastAsia="ar-SA"/>
        </w:rPr>
      </w:pPr>
      <w:r w:rsidRPr="00317FAD">
        <w:rPr>
          <w:rFonts w:ascii="Arial" w:eastAsia="Times New Roman" w:hAnsi="Arial" w:cs="Arial"/>
          <w:sz w:val="24"/>
          <w:szCs w:val="24"/>
          <w:lang w:eastAsia="ar-SA"/>
        </w:rPr>
        <w:t>La delegación de Bolivia participó</w:t>
      </w:r>
      <w:r w:rsidR="00BA7D03" w:rsidRPr="00317FAD">
        <w:rPr>
          <w:rFonts w:ascii="Arial" w:eastAsia="Times New Roman" w:hAnsi="Arial" w:cs="Arial"/>
          <w:sz w:val="24"/>
          <w:szCs w:val="24"/>
          <w:lang w:eastAsia="ar-SA"/>
        </w:rPr>
        <w:t xml:space="preserve">, conforme lo establecido en la </w:t>
      </w:r>
      <w:r w:rsidR="00E57552" w:rsidRPr="00317FAD">
        <w:rPr>
          <w:rFonts w:ascii="Arial" w:eastAsia="Times New Roman" w:hAnsi="Arial" w:cs="Arial"/>
          <w:sz w:val="24"/>
          <w:szCs w:val="24"/>
          <w:lang w:eastAsia="ar-SA"/>
        </w:rPr>
        <w:t>Decisión CMC N° 13/15.</w:t>
      </w:r>
    </w:p>
    <w:p w14:paraId="4B18A647" w14:textId="77777777" w:rsidR="007903CF" w:rsidRDefault="007903CF" w:rsidP="00D23760">
      <w:pPr>
        <w:suppressAutoHyphens/>
        <w:spacing w:after="120" w:line="240" w:lineRule="auto"/>
        <w:jc w:val="both"/>
        <w:rPr>
          <w:rFonts w:ascii="Arial" w:eastAsia="Times New Roman" w:hAnsi="Arial" w:cs="Arial"/>
          <w:sz w:val="24"/>
          <w:szCs w:val="24"/>
          <w:lang w:eastAsia="ar-SA"/>
        </w:rPr>
      </w:pPr>
    </w:p>
    <w:p w14:paraId="49304CCA" w14:textId="77E6478B" w:rsidR="00F728B6" w:rsidRPr="00764C71" w:rsidRDefault="00F728B6" w:rsidP="00D23760">
      <w:pPr>
        <w:suppressAutoHyphens/>
        <w:spacing w:after="120" w:line="240" w:lineRule="auto"/>
        <w:jc w:val="both"/>
        <w:rPr>
          <w:rFonts w:ascii="Arial" w:eastAsia="Times New Roman" w:hAnsi="Arial" w:cs="Arial"/>
          <w:sz w:val="24"/>
          <w:szCs w:val="24"/>
          <w:lang w:eastAsia="ar-SA"/>
        </w:rPr>
      </w:pPr>
      <w:r w:rsidRPr="00F2513F">
        <w:rPr>
          <w:rFonts w:ascii="Arial" w:eastAsia="Times New Roman" w:hAnsi="Arial" w:cs="Arial"/>
          <w:sz w:val="24"/>
          <w:szCs w:val="24"/>
          <w:lang w:eastAsia="ar-SA"/>
        </w:rPr>
        <w:t>La PPT</w:t>
      </w:r>
      <w:r w:rsidR="00317FAD">
        <w:rPr>
          <w:rFonts w:ascii="Arial" w:eastAsia="Times New Roman" w:hAnsi="Arial" w:cs="Arial"/>
          <w:sz w:val="24"/>
          <w:szCs w:val="24"/>
          <w:lang w:eastAsia="ar-SA"/>
        </w:rPr>
        <w:t>A</w:t>
      </w:r>
      <w:r w:rsidRPr="00F2513F">
        <w:rPr>
          <w:rFonts w:ascii="Arial" w:eastAsia="Times New Roman" w:hAnsi="Arial" w:cs="Arial"/>
          <w:sz w:val="24"/>
          <w:szCs w:val="24"/>
          <w:lang w:eastAsia="ar-SA"/>
        </w:rPr>
        <w:t xml:space="preserve"> en ejercicio dio la bienvenida a las delegaciones augurando un excelente trabajo.</w:t>
      </w:r>
    </w:p>
    <w:p w14:paraId="71913E1E" w14:textId="77777777" w:rsidR="007903CF" w:rsidRDefault="007903CF" w:rsidP="00D23760">
      <w:pPr>
        <w:suppressAutoHyphens/>
        <w:spacing w:after="120" w:line="240" w:lineRule="auto"/>
        <w:jc w:val="both"/>
        <w:rPr>
          <w:rFonts w:ascii="Arial" w:eastAsia="Times New Roman" w:hAnsi="Arial" w:cs="Arial"/>
          <w:sz w:val="24"/>
          <w:szCs w:val="24"/>
          <w:lang w:eastAsia="ar-SA"/>
        </w:rPr>
      </w:pPr>
    </w:p>
    <w:p w14:paraId="27FDD944" w14:textId="0BAFC7D0" w:rsidR="00F41AB9" w:rsidRPr="00764C71" w:rsidRDefault="00F41AB9" w:rsidP="00D23760">
      <w:pPr>
        <w:suppressAutoHyphens/>
        <w:spacing w:after="120" w:line="240" w:lineRule="auto"/>
        <w:jc w:val="both"/>
        <w:rPr>
          <w:rFonts w:ascii="Arial" w:eastAsia="Times New Roman" w:hAnsi="Arial" w:cs="Arial"/>
          <w:b/>
          <w:sz w:val="24"/>
          <w:szCs w:val="24"/>
          <w:lang w:eastAsia="ar-SA"/>
        </w:rPr>
      </w:pPr>
      <w:r w:rsidRPr="00764C71">
        <w:rPr>
          <w:rFonts w:ascii="Arial" w:eastAsia="Times New Roman" w:hAnsi="Arial" w:cs="Arial"/>
          <w:sz w:val="24"/>
          <w:szCs w:val="24"/>
          <w:lang w:eastAsia="ar-SA"/>
        </w:rPr>
        <w:t>La Lista de Participantes consta como</w:t>
      </w:r>
      <w:r w:rsidRPr="00764C71">
        <w:rPr>
          <w:rFonts w:ascii="Arial" w:eastAsia="Times New Roman" w:hAnsi="Arial" w:cs="Arial"/>
          <w:b/>
          <w:sz w:val="24"/>
          <w:szCs w:val="24"/>
          <w:lang w:eastAsia="ar-SA"/>
        </w:rPr>
        <w:t xml:space="preserve"> Anexo I.</w:t>
      </w:r>
    </w:p>
    <w:p w14:paraId="2E04CB93" w14:textId="77777777" w:rsidR="007903CF" w:rsidRDefault="007903CF" w:rsidP="00D23760">
      <w:pPr>
        <w:suppressAutoHyphens/>
        <w:spacing w:after="120" w:line="240" w:lineRule="auto"/>
        <w:jc w:val="both"/>
        <w:rPr>
          <w:rFonts w:ascii="Arial" w:eastAsia="Times New Roman" w:hAnsi="Arial" w:cs="Arial"/>
          <w:sz w:val="24"/>
          <w:szCs w:val="24"/>
          <w:lang w:eastAsia="ar-SA"/>
        </w:rPr>
      </w:pPr>
    </w:p>
    <w:p w14:paraId="11E0076F" w14:textId="6C08F0A5" w:rsidR="00F41AB9" w:rsidRPr="00764C71" w:rsidRDefault="00F41AB9" w:rsidP="00D23760">
      <w:pPr>
        <w:suppressAutoHyphens/>
        <w:spacing w:after="120" w:line="240" w:lineRule="auto"/>
        <w:jc w:val="both"/>
        <w:rPr>
          <w:rFonts w:ascii="Arial" w:eastAsia="Times New Roman" w:hAnsi="Arial" w:cs="Arial"/>
          <w:b/>
          <w:sz w:val="24"/>
          <w:szCs w:val="24"/>
          <w:lang w:eastAsia="ar-SA"/>
        </w:rPr>
      </w:pPr>
      <w:r w:rsidRPr="00764C71">
        <w:rPr>
          <w:rFonts w:ascii="Arial" w:eastAsia="Times New Roman" w:hAnsi="Arial" w:cs="Arial"/>
          <w:sz w:val="24"/>
          <w:szCs w:val="24"/>
          <w:lang w:eastAsia="ar-SA"/>
        </w:rPr>
        <w:t>La Agenda consta como</w:t>
      </w:r>
      <w:r w:rsidRPr="00764C71">
        <w:rPr>
          <w:rFonts w:ascii="Arial" w:eastAsia="Times New Roman" w:hAnsi="Arial" w:cs="Arial"/>
          <w:b/>
          <w:sz w:val="24"/>
          <w:szCs w:val="24"/>
          <w:lang w:eastAsia="ar-SA"/>
        </w:rPr>
        <w:t xml:space="preserve"> Anexo II.</w:t>
      </w:r>
    </w:p>
    <w:p w14:paraId="42F2D168" w14:textId="77777777" w:rsidR="007903CF" w:rsidRDefault="007903CF" w:rsidP="00D23760">
      <w:pPr>
        <w:suppressAutoHyphens/>
        <w:spacing w:after="120" w:line="240" w:lineRule="auto"/>
        <w:jc w:val="both"/>
        <w:rPr>
          <w:rFonts w:ascii="Arial" w:eastAsia="Times New Roman" w:hAnsi="Arial" w:cs="Arial"/>
          <w:sz w:val="24"/>
          <w:szCs w:val="24"/>
          <w:lang w:eastAsia="ar-SA"/>
        </w:rPr>
      </w:pPr>
    </w:p>
    <w:p w14:paraId="7739E1DD" w14:textId="090293F5" w:rsidR="00F41AB9" w:rsidRPr="00764C71" w:rsidRDefault="00F41AB9" w:rsidP="00D23760">
      <w:pPr>
        <w:suppressAutoHyphens/>
        <w:spacing w:after="120" w:line="240" w:lineRule="auto"/>
        <w:jc w:val="both"/>
        <w:rPr>
          <w:rFonts w:ascii="Arial" w:eastAsia="Times New Roman" w:hAnsi="Arial" w:cs="Arial"/>
          <w:b/>
          <w:sz w:val="24"/>
          <w:szCs w:val="24"/>
          <w:lang w:eastAsia="ar-SA"/>
        </w:rPr>
      </w:pPr>
      <w:r w:rsidRPr="00764C71">
        <w:rPr>
          <w:rFonts w:ascii="Arial" w:eastAsia="Times New Roman" w:hAnsi="Arial" w:cs="Arial"/>
          <w:sz w:val="24"/>
          <w:szCs w:val="24"/>
          <w:lang w:eastAsia="ar-SA"/>
        </w:rPr>
        <w:t>El Resumen del Acta consta como</w:t>
      </w:r>
      <w:r w:rsidRPr="00764C71">
        <w:rPr>
          <w:rFonts w:ascii="Arial" w:eastAsia="Times New Roman" w:hAnsi="Arial" w:cs="Arial"/>
          <w:b/>
          <w:sz w:val="24"/>
          <w:szCs w:val="24"/>
          <w:lang w:eastAsia="ar-SA"/>
        </w:rPr>
        <w:t xml:space="preserve"> Anexo III.</w:t>
      </w:r>
    </w:p>
    <w:p w14:paraId="6EA16B8E" w14:textId="77777777" w:rsidR="007903CF" w:rsidRDefault="007903CF" w:rsidP="00D23760">
      <w:pPr>
        <w:suppressAutoHyphens/>
        <w:spacing w:after="120" w:line="240" w:lineRule="auto"/>
        <w:jc w:val="both"/>
        <w:rPr>
          <w:rFonts w:ascii="Arial" w:eastAsia="Times New Roman" w:hAnsi="Arial" w:cs="Arial"/>
          <w:sz w:val="24"/>
          <w:szCs w:val="24"/>
          <w:lang w:eastAsia="ar-SA"/>
        </w:rPr>
      </w:pPr>
    </w:p>
    <w:p w14:paraId="64B0088C" w14:textId="78584D7B" w:rsidR="00F41AB9" w:rsidRPr="00764C71" w:rsidRDefault="00F41AB9" w:rsidP="00D23760">
      <w:pPr>
        <w:suppressAutoHyphens/>
        <w:spacing w:after="120" w:line="240" w:lineRule="auto"/>
        <w:jc w:val="both"/>
        <w:rPr>
          <w:rFonts w:ascii="Arial" w:eastAsia="Times New Roman" w:hAnsi="Arial" w:cs="Arial"/>
          <w:sz w:val="24"/>
          <w:szCs w:val="24"/>
          <w:lang w:eastAsia="ar-SA"/>
        </w:rPr>
      </w:pPr>
      <w:r w:rsidRPr="00764C71">
        <w:rPr>
          <w:rFonts w:ascii="Arial" w:eastAsia="Times New Roman" w:hAnsi="Arial" w:cs="Arial"/>
          <w:sz w:val="24"/>
          <w:szCs w:val="24"/>
          <w:lang w:eastAsia="ar-SA"/>
        </w:rPr>
        <w:t>En la Reunión fueron tratados los siguientes temas:</w:t>
      </w:r>
    </w:p>
    <w:p w14:paraId="5044D9B0" w14:textId="77777777" w:rsidR="00F41AB9" w:rsidRPr="00764C71" w:rsidRDefault="00F41AB9" w:rsidP="00764C71">
      <w:pPr>
        <w:suppressAutoHyphens/>
        <w:spacing w:after="0" w:line="240" w:lineRule="auto"/>
        <w:jc w:val="both"/>
        <w:rPr>
          <w:rFonts w:ascii="Arial" w:eastAsia="Calibri" w:hAnsi="Arial" w:cs="Arial"/>
          <w:b/>
          <w:bCs/>
          <w:sz w:val="24"/>
          <w:szCs w:val="24"/>
          <w:lang w:eastAsia="ar-SA"/>
        </w:rPr>
      </w:pPr>
    </w:p>
    <w:p w14:paraId="536D6C8B" w14:textId="79D9F892" w:rsidR="00D6417C" w:rsidRPr="00B305EE" w:rsidRDefault="00B305EE" w:rsidP="00B305EE">
      <w:pPr>
        <w:suppressAutoHyphens/>
        <w:spacing w:after="0" w:line="240" w:lineRule="auto"/>
        <w:jc w:val="both"/>
        <w:rPr>
          <w:rFonts w:ascii="Arial" w:eastAsia="Times New Roman" w:hAnsi="Arial" w:cs="Arial"/>
          <w:b/>
          <w:bCs/>
          <w:sz w:val="24"/>
          <w:szCs w:val="24"/>
          <w:lang w:eastAsia="ar-SA"/>
        </w:rPr>
      </w:pPr>
      <w:r>
        <w:rPr>
          <w:rFonts w:ascii="Arial" w:hAnsi="Arial" w:cs="Arial"/>
          <w:b/>
          <w:bCs/>
          <w:sz w:val="24"/>
          <w:szCs w:val="24"/>
        </w:rPr>
        <w:t xml:space="preserve">1.- </w:t>
      </w:r>
      <w:r w:rsidR="00294A2D" w:rsidRPr="00B305EE">
        <w:rPr>
          <w:rFonts w:ascii="Arial" w:hAnsi="Arial" w:cs="Arial"/>
          <w:b/>
          <w:bCs/>
          <w:sz w:val="24"/>
          <w:szCs w:val="24"/>
        </w:rPr>
        <w:t>SEGURO OBLIGATORIO DE VEHÍCULOS Y CARTA VERDE – ANÁLISIS DE LA PROBLEMÁTICA RESPECTO A TRANSPORTADOR CARRETERO Y VEHÍCULOS DE PASEO – ANÁLISIS DE PROPUESTAS DE UNIFICACIÓN NORMATIVA – ANÁLISIS DE PROPUESTAS DE LOS ESTADOS PARTE</w:t>
      </w:r>
    </w:p>
    <w:p w14:paraId="5D561548" w14:textId="77777777" w:rsidR="001F6FA3" w:rsidRPr="001F6FA3" w:rsidRDefault="001F6FA3" w:rsidP="001F6FA3">
      <w:pPr>
        <w:pStyle w:val="Prrafodelista"/>
        <w:suppressAutoHyphens/>
        <w:spacing w:after="0" w:line="240" w:lineRule="auto"/>
        <w:jc w:val="both"/>
        <w:rPr>
          <w:rFonts w:ascii="Arial" w:eastAsia="Times New Roman" w:hAnsi="Arial" w:cs="Arial"/>
          <w:b/>
          <w:bCs/>
          <w:sz w:val="24"/>
          <w:szCs w:val="24"/>
          <w:lang w:eastAsia="ar-SA"/>
        </w:rPr>
      </w:pPr>
    </w:p>
    <w:p w14:paraId="3CF48C9D" w14:textId="4A7B5E65" w:rsidR="001F6FA3" w:rsidRDefault="001F6FA3" w:rsidP="001F6FA3">
      <w:pPr>
        <w:suppressAutoHyphens/>
        <w:spacing w:after="0" w:line="240" w:lineRule="auto"/>
        <w:jc w:val="both"/>
        <w:rPr>
          <w:rFonts w:ascii="Arial" w:eastAsia="Times New Roman" w:hAnsi="Arial" w:cs="Arial"/>
          <w:sz w:val="24"/>
          <w:szCs w:val="24"/>
          <w:lang w:eastAsia="ar-SA"/>
        </w:rPr>
      </w:pPr>
      <w:r w:rsidRPr="001F6FA3">
        <w:rPr>
          <w:rFonts w:ascii="Arial" w:eastAsia="Times New Roman" w:hAnsi="Arial" w:cs="Arial"/>
          <w:sz w:val="24"/>
          <w:szCs w:val="24"/>
          <w:lang w:eastAsia="ar-SA"/>
        </w:rPr>
        <w:t xml:space="preserve">La delegación de Brasil informó que actualmente hay cambios legislativos en curso relacionados con la Ley de Seguros (con reflejos en el seguro obligatorio de transporte) tratándose en el Congreso Nacional, por lo que hasta tanto este tratamiento no finalice, no se presentará una propuesta para la reforma de la Carta Verde por el Estado Parte. </w:t>
      </w:r>
    </w:p>
    <w:p w14:paraId="79E13077" w14:textId="77777777" w:rsidR="001F6FA3" w:rsidRPr="001F6FA3" w:rsidRDefault="001F6FA3" w:rsidP="001F6FA3">
      <w:pPr>
        <w:suppressAutoHyphens/>
        <w:spacing w:after="0" w:line="240" w:lineRule="auto"/>
        <w:jc w:val="both"/>
        <w:rPr>
          <w:rFonts w:ascii="Arial" w:eastAsia="Times New Roman" w:hAnsi="Arial" w:cs="Arial"/>
          <w:sz w:val="24"/>
          <w:szCs w:val="24"/>
          <w:lang w:eastAsia="ar-SA"/>
        </w:rPr>
      </w:pPr>
    </w:p>
    <w:p w14:paraId="0CC33A68" w14:textId="77777777" w:rsidR="001F6FA3" w:rsidRPr="001F6FA3" w:rsidRDefault="001F6FA3" w:rsidP="001F6FA3">
      <w:pPr>
        <w:suppressAutoHyphens/>
        <w:spacing w:after="0" w:line="240" w:lineRule="auto"/>
        <w:jc w:val="both"/>
        <w:rPr>
          <w:rFonts w:ascii="Arial" w:eastAsia="Times New Roman" w:hAnsi="Arial" w:cs="Arial"/>
          <w:sz w:val="24"/>
          <w:szCs w:val="24"/>
          <w:lang w:eastAsia="ar-SA"/>
        </w:rPr>
      </w:pPr>
      <w:r w:rsidRPr="001F6FA3">
        <w:rPr>
          <w:rFonts w:ascii="Arial" w:eastAsia="Times New Roman" w:hAnsi="Arial" w:cs="Arial"/>
          <w:sz w:val="24"/>
          <w:szCs w:val="24"/>
          <w:lang w:eastAsia="ar-SA"/>
        </w:rPr>
        <w:t>La delegación de Argentina expuso con su equipo técnico sobre los antecedentes y principales cambios en los últimos años sobre Carta Verde y Seguro Obligatorio de vehículos particulares.</w:t>
      </w:r>
    </w:p>
    <w:p w14:paraId="6FD0F5CF" w14:textId="77777777" w:rsidR="001F6FA3" w:rsidRDefault="001F6FA3" w:rsidP="001F6FA3">
      <w:pPr>
        <w:suppressAutoHyphens/>
        <w:spacing w:after="0" w:line="240" w:lineRule="auto"/>
        <w:jc w:val="both"/>
        <w:rPr>
          <w:rFonts w:ascii="Arial" w:eastAsia="Times New Roman" w:hAnsi="Arial" w:cs="Arial"/>
          <w:sz w:val="24"/>
          <w:szCs w:val="24"/>
          <w:lang w:eastAsia="ar-SA"/>
        </w:rPr>
      </w:pPr>
      <w:r w:rsidRPr="001F6FA3">
        <w:rPr>
          <w:rFonts w:ascii="Arial" w:eastAsia="Times New Roman" w:hAnsi="Arial" w:cs="Arial"/>
          <w:sz w:val="24"/>
          <w:szCs w:val="24"/>
          <w:lang w:eastAsia="ar-SA"/>
        </w:rPr>
        <w:t xml:space="preserve">Luego de un intercambio entre los Estados Parte, los participantes de la Comisión consensuaron las principales cuestiones que deben abordarse para </w:t>
      </w:r>
      <w:r w:rsidRPr="001F6FA3">
        <w:rPr>
          <w:rFonts w:ascii="Arial" w:eastAsia="Times New Roman" w:hAnsi="Arial" w:cs="Arial"/>
          <w:sz w:val="24"/>
          <w:szCs w:val="24"/>
          <w:lang w:eastAsia="ar-SA"/>
        </w:rPr>
        <w:lastRenderedPageBreak/>
        <w:t>avanzar en una posible reforma de la Carta Verde vigente: el análisis de la responsabilidad civil (objetiva – subjetiva), los límites de cobertura, las cuestiones fronterizas y los convenios entre Aseguradoras.</w:t>
      </w:r>
      <w:r>
        <w:rPr>
          <w:rFonts w:ascii="Arial" w:eastAsia="Times New Roman" w:hAnsi="Arial" w:cs="Arial"/>
          <w:sz w:val="24"/>
          <w:szCs w:val="24"/>
          <w:lang w:eastAsia="ar-SA"/>
        </w:rPr>
        <w:t xml:space="preserve"> </w:t>
      </w:r>
    </w:p>
    <w:p w14:paraId="592364B4" w14:textId="77777777" w:rsidR="001F6FA3" w:rsidRDefault="001F6FA3" w:rsidP="001F6FA3">
      <w:pPr>
        <w:suppressAutoHyphens/>
        <w:spacing w:after="0" w:line="240" w:lineRule="auto"/>
        <w:jc w:val="both"/>
        <w:rPr>
          <w:rFonts w:ascii="Arial" w:eastAsia="Times New Roman" w:hAnsi="Arial" w:cs="Arial"/>
          <w:sz w:val="24"/>
          <w:szCs w:val="24"/>
          <w:lang w:eastAsia="ar-SA"/>
        </w:rPr>
      </w:pPr>
    </w:p>
    <w:p w14:paraId="5E2017EC" w14:textId="3E72E762" w:rsidR="001F6FA3" w:rsidRPr="001F6FA3" w:rsidRDefault="001F6FA3" w:rsidP="001F6FA3">
      <w:pPr>
        <w:suppressAutoHyphens/>
        <w:spacing w:after="0" w:line="240" w:lineRule="auto"/>
        <w:jc w:val="both"/>
        <w:rPr>
          <w:rFonts w:ascii="Arial" w:eastAsia="Times New Roman" w:hAnsi="Arial" w:cs="Arial"/>
          <w:sz w:val="24"/>
          <w:szCs w:val="24"/>
          <w:lang w:eastAsia="ar-SA"/>
        </w:rPr>
      </w:pPr>
      <w:r w:rsidRPr="001F6FA3">
        <w:rPr>
          <w:rFonts w:ascii="Arial" w:eastAsia="Times New Roman" w:hAnsi="Arial" w:cs="Arial"/>
          <w:sz w:val="24"/>
          <w:szCs w:val="24"/>
          <w:lang w:val="es-ES" w:eastAsia="ar-SA"/>
        </w:rPr>
        <w:t xml:space="preserve">Los Estados Parte analizarán internamente los antecedentes de las cuestiones enunciadas en el párrafo anterior. La delegación de Uruguay revisará los antecedentes sobre la responsabilidad civil objetiva, en miras a una posible modificación de las condiciones contractuales.          </w:t>
      </w:r>
    </w:p>
    <w:p w14:paraId="23D8D8EA" w14:textId="77777777" w:rsidR="001F6FA3" w:rsidRPr="001F6FA3" w:rsidRDefault="001F6FA3" w:rsidP="001F6FA3">
      <w:pPr>
        <w:suppressAutoHyphens/>
        <w:spacing w:after="0" w:line="240" w:lineRule="auto"/>
        <w:jc w:val="both"/>
        <w:rPr>
          <w:rFonts w:ascii="Arial" w:eastAsia="Times New Roman" w:hAnsi="Arial" w:cs="Arial"/>
          <w:sz w:val="24"/>
          <w:szCs w:val="24"/>
          <w:lang w:val="es-ES" w:eastAsia="ar-SA"/>
        </w:rPr>
      </w:pPr>
    </w:p>
    <w:p w14:paraId="3E9628D4" w14:textId="5CBCD613" w:rsidR="00294A2D" w:rsidRPr="001F6FA3" w:rsidRDefault="00294A2D" w:rsidP="00D6417C">
      <w:pPr>
        <w:pStyle w:val="Prrafodelista"/>
        <w:suppressAutoHyphens/>
        <w:spacing w:after="0" w:line="240" w:lineRule="auto"/>
        <w:jc w:val="both"/>
        <w:rPr>
          <w:rFonts w:ascii="Arial" w:eastAsia="Times New Roman" w:hAnsi="Arial" w:cs="Arial"/>
          <w:sz w:val="24"/>
          <w:szCs w:val="24"/>
          <w:lang w:eastAsia="ar-SA"/>
        </w:rPr>
      </w:pPr>
      <w:r w:rsidRPr="001F6FA3">
        <w:rPr>
          <w:rFonts w:ascii="Arial" w:hAnsi="Arial" w:cs="Arial"/>
          <w:sz w:val="24"/>
          <w:szCs w:val="24"/>
        </w:rPr>
        <w:t xml:space="preserve"> </w:t>
      </w:r>
    </w:p>
    <w:p w14:paraId="56532B0D" w14:textId="19C40595" w:rsidR="00294A2D" w:rsidRPr="00B305EE" w:rsidRDefault="00B305EE" w:rsidP="00B305EE">
      <w:pPr>
        <w:suppressAutoHyphens/>
        <w:spacing w:after="0" w:line="240" w:lineRule="auto"/>
        <w:jc w:val="both"/>
        <w:rPr>
          <w:rFonts w:ascii="Arial" w:eastAsia="Times New Roman" w:hAnsi="Arial" w:cs="Arial"/>
          <w:b/>
          <w:bCs/>
          <w:sz w:val="24"/>
          <w:szCs w:val="24"/>
          <w:lang w:eastAsia="ar-SA"/>
        </w:rPr>
      </w:pPr>
      <w:r>
        <w:rPr>
          <w:rFonts w:ascii="Arial" w:hAnsi="Arial" w:cs="Arial"/>
          <w:b/>
          <w:bCs/>
          <w:sz w:val="24"/>
          <w:szCs w:val="24"/>
        </w:rPr>
        <w:t xml:space="preserve">2.- </w:t>
      </w:r>
      <w:r w:rsidR="00294A2D" w:rsidRPr="00B305EE">
        <w:rPr>
          <w:rFonts w:ascii="Arial" w:hAnsi="Arial" w:cs="Arial"/>
          <w:b/>
          <w:bCs/>
          <w:sz w:val="24"/>
          <w:szCs w:val="24"/>
        </w:rPr>
        <w:t>ACTUALIZACIÓN DEL “DOCUMENTO DE SEGUIMIENTO E INFORMACIÓN DE ACTIVIDADES DE LA COMISIÓN DE SEGUROS”</w:t>
      </w:r>
    </w:p>
    <w:p w14:paraId="2D24C452" w14:textId="77777777" w:rsidR="00317FAD" w:rsidRDefault="00317FAD" w:rsidP="00317FAD">
      <w:pPr>
        <w:jc w:val="both"/>
        <w:rPr>
          <w:rFonts w:ascii="Arial" w:eastAsia="Times New Roman" w:hAnsi="Arial" w:cs="Arial"/>
          <w:b/>
          <w:bCs/>
          <w:sz w:val="24"/>
          <w:szCs w:val="24"/>
          <w:lang w:eastAsia="ar-SA"/>
        </w:rPr>
      </w:pPr>
    </w:p>
    <w:p w14:paraId="6F4FCBFB" w14:textId="77777777" w:rsidR="00816595" w:rsidRDefault="00317FAD" w:rsidP="00816595">
      <w:pPr>
        <w:jc w:val="both"/>
        <w:rPr>
          <w:rFonts w:ascii="Arial" w:eastAsia="Times New Roman" w:hAnsi="Arial" w:cs="Arial"/>
          <w:b/>
          <w:bCs/>
          <w:sz w:val="24"/>
          <w:szCs w:val="24"/>
          <w:lang w:val="es-PY" w:eastAsia="ar-SA"/>
        </w:rPr>
      </w:pPr>
      <w:r w:rsidRPr="00317FAD">
        <w:rPr>
          <w:rFonts w:ascii="Arial" w:eastAsia="Times New Roman" w:hAnsi="Arial" w:cs="Arial"/>
          <w:sz w:val="24"/>
          <w:szCs w:val="24"/>
          <w:lang w:val="es-PY" w:eastAsia="ar-SA"/>
        </w:rPr>
        <w:t xml:space="preserve">Las delegaciones actualizaron el documento del informe de Seguimiento e información de las actividades de la Comisión de Seguros conforme a los temas desarrollados en la presente reunión. </w:t>
      </w:r>
      <w:r w:rsidRPr="00317FAD">
        <w:rPr>
          <w:rFonts w:ascii="Arial" w:eastAsia="Times New Roman" w:hAnsi="Arial" w:cs="Arial"/>
          <w:b/>
          <w:bCs/>
          <w:sz w:val="24"/>
          <w:szCs w:val="24"/>
          <w:lang w:val="es-PY" w:eastAsia="ar-SA"/>
        </w:rPr>
        <w:t>El mismo consta como Anexo V-Reservado.</w:t>
      </w:r>
    </w:p>
    <w:p w14:paraId="7DE92639" w14:textId="1029D405" w:rsidR="00816595" w:rsidRPr="00816595" w:rsidRDefault="00816595" w:rsidP="001F6FA3">
      <w:pPr>
        <w:jc w:val="both"/>
        <w:rPr>
          <w:rFonts w:ascii="Arial" w:eastAsia="Times New Roman" w:hAnsi="Arial" w:cs="Arial"/>
          <w:b/>
          <w:bCs/>
          <w:sz w:val="24"/>
          <w:szCs w:val="24"/>
          <w:lang w:val="es-PY" w:eastAsia="ar-SA"/>
        </w:rPr>
      </w:pPr>
      <w:r w:rsidRPr="00816595">
        <w:rPr>
          <w:rFonts w:ascii="Arial" w:hAnsi="Arial" w:cs="Arial"/>
          <w:sz w:val="24"/>
          <w:szCs w:val="24"/>
          <w:lang w:val="es-PY" w:eastAsia="ar-SA"/>
        </w:rPr>
        <w:t>La Comisión eleva a consideración de la Coordinación Nacional la propuesta de que el Documento de “Seguimiento e Información de Actividades de la Comisión de Seguros” contenga el seguimiento histórico por períodos de cinco años, a fin de facilitar la búsqueda de antecedentes y la actualización del mismo. Iniciando el contenido del segundo documento a partir de la próxima reunión de trabajo, si no hubiere oposición.</w:t>
      </w:r>
    </w:p>
    <w:p w14:paraId="57592E2D" w14:textId="77777777" w:rsidR="00D6417C" w:rsidRPr="00294A2D" w:rsidRDefault="00D6417C" w:rsidP="00D6417C">
      <w:pPr>
        <w:pStyle w:val="Prrafodelista"/>
        <w:suppressAutoHyphens/>
        <w:spacing w:after="0" w:line="240" w:lineRule="auto"/>
        <w:jc w:val="both"/>
        <w:rPr>
          <w:rFonts w:ascii="Arial" w:eastAsia="Times New Roman" w:hAnsi="Arial" w:cs="Arial"/>
          <w:b/>
          <w:bCs/>
          <w:sz w:val="24"/>
          <w:szCs w:val="24"/>
          <w:lang w:eastAsia="ar-SA"/>
        </w:rPr>
      </w:pPr>
    </w:p>
    <w:p w14:paraId="65B948DF" w14:textId="3D8B2454" w:rsidR="00294A2D" w:rsidRPr="00B305EE" w:rsidRDefault="00B305EE" w:rsidP="00B305EE">
      <w:pPr>
        <w:suppressAutoHyphens/>
        <w:spacing w:after="0" w:line="240" w:lineRule="auto"/>
        <w:jc w:val="both"/>
        <w:rPr>
          <w:rFonts w:ascii="Arial" w:eastAsia="Times New Roman" w:hAnsi="Arial" w:cs="Arial"/>
          <w:b/>
          <w:bCs/>
          <w:sz w:val="24"/>
          <w:szCs w:val="24"/>
          <w:lang w:eastAsia="ar-SA"/>
        </w:rPr>
      </w:pPr>
      <w:bookmarkStart w:id="1" w:name="_Hlk134696576"/>
      <w:r>
        <w:rPr>
          <w:rFonts w:ascii="Arial" w:hAnsi="Arial" w:cs="Arial"/>
          <w:b/>
          <w:bCs/>
          <w:sz w:val="24"/>
          <w:szCs w:val="24"/>
        </w:rPr>
        <w:t xml:space="preserve">3.- </w:t>
      </w:r>
      <w:r w:rsidR="00294A2D" w:rsidRPr="00B305EE">
        <w:rPr>
          <w:rFonts w:ascii="Arial" w:hAnsi="Arial" w:cs="Arial"/>
          <w:b/>
          <w:bCs/>
          <w:sz w:val="24"/>
          <w:szCs w:val="24"/>
        </w:rPr>
        <w:t>NORMAS REGULATORIAS DICTADAS EN EL PRIMER TRIMESTRE DE 2023 EN CADA ESTADO PARTE</w:t>
      </w:r>
      <w:bookmarkStart w:id="2" w:name="_Hlk132896144"/>
    </w:p>
    <w:bookmarkEnd w:id="1"/>
    <w:p w14:paraId="4A55E872" w14:textId="77777777" w:rsidR="00317FAD" w:rsidRDefault="00317FAD" w:rsidP="00317FAD">
      <w:pPr>
        <w:suppressAutoHyphens/>
        <w:spacing w:after="0" w:line="240" w:lineRule="auto"/>
        <w:jc w:val="both"/>
        <w:rPr>
          <w:rFonts w:ascii="Arial" w:eastAsia="Times New Roman" w:hAnsi="Arial" w:cs="Arial"/>
          <w:b/>
          <w:bCs/>
          <w:sz w:val="24"/>
          <w:szCs w:val="24"/>
          <w:lang w:eastAsia="ar-SA"/>
        </w:rPr>
      </w:pPr>
    </w:p>
    <w:p w14:paraId="26114AC4" w14:textId="1203E98B" w:rsidR="00317FAD" w:rsidRDefault="00317FAD" w:rsidP="00317FAD">
      <w:pPr>
        <w:suppressAutoHyphens/>
        <w:spacing w:after="0" w:line="240" w:lineRule="auto"/>
        <w:jc w:val="both"/>
        <w:rPr>
          <w:rFonts w:ascii="Arial" w:eastAsia="Times New Roman" w:hAnsi="Arial" w:cs="Arial"/>
          <w:b/>
          <w:bCs/>
          <w:sz w:val="24"/>
          <w:szCs w:val="24"/>
          <w:lang w:eastAsia="ar-SA"/>
        </w:rPr>
      </w:pPr>
      <w:r w:rsidRPr="00317FAD">
        <w:rPr>
          <w:rFonts w:ascii="Arial" w:eastAsia="Times New Roman" w:hAnsi="Arial" w:cs="Arial"/>
          <w:sz w:val="24"/>
          <w:szCs w:val="24"/>
          <w:lang w:eastAsia="ar-SA"/>
        </w:rPr>
        <w:t xml:space="preserve">Las delegaciones presentaron las principales normativas emitidas desde la última reunión, cuyo listado se encuentra en </w:t>
      </w:r>
      <w:r w:rsidRPr="00317FAD">
        <w:rPr>
          <w:rFonts w:ascii="Arial" w:eastAsia="Times New Roman" w:hAnsi="Arial" w:cs="Arial"/>
          <w:b/>
          <w:bCs/>
          <w:sz w:val="24"/>
          <w:szCs w:val="24"/>
          <w:lang w:eastAsia="ar-SA"/>
        </w:rPr>
        <w:t xml:space="preserve">el Anexo </w:t>
      </w:r>
      <w:r w:rsidR="00B305EE">
        <w:rPr>
          <w:rFonts w:ascii="Arial" w:eastAsia="Times New Roman" w:hAnsi="Arial" w:cs="Arial"/>
          <w:b/>
          <w:bCs/>
          <w:sz w:val="24"/>
          <w:szCs w:val="24"/>
          <w:lang w:eastAsia="ar-SA"/>
        </w:rPr>
        <w:t>IV</w:t>
      </w:r>
      <w:r w:rsidRPr="00317FAD">
        <w:rPr>
          <w:rFonts w:ascii="Arial" w:eastAsia="Times New Roman" w:hAnsi="Arial" w:cs="Arial"/>
          <w:b/>
          <w:bCs/>
          <w:sz w:val="24"/>
          <w:szCs w:val="24"/>
          <w:lang w:eastAsia="ar-SA"/>
        </w:rPr>
        <w:t>.</w:t>
      </w:r>
    </w:p>
    <w:p w14:paraId="5A9CDB4D" w14:textId="77777777" w:rsidR="000C6890" w:rsidRDefault="000C6890" w:rsidP="001F6FA3">
      <w:pPr>
        <w:suppressAutoHyphens/>
        <w:spacing w:after="0" w:line="240" w:lineRule="auto"/>
        <w:jc w:val="both"/>
        <w:rPr>
          <w:rFonts w:ascii="Arial" w:eastAsia="Times New Roman" w:hAnsi="Arial" w:cs="Arial"/>
          <w:b/>
          <w:bCs/>
          <w:sz w:val="24"/>
          <w:szCs w:val="24"/>
          <w:lang w:eastAsia="ar-SA"/>
        </w:rPr>
      </w:pPr>
    </w:p>
    <w:p w14:paraId="3DA84990" w14:textId="4E95F44F" w:rsidR="001F6FA3" w:rsidRPr="00317FAD" w:rsidRDefault="001F6FA3" w:rsidP="00317FAD">
      <w:pPr>
        <w:suppressAutoHyphens/>
        <w:spacing w:after="0" w:line="240" w:lineRule="auto"/>
        <w:jc w:val="both"/>
        <w:rPr>
          <w:rFonts w:ascii="Arial" w:eastAsia="Times New Roman" w:hAnsi="Arial" w:cs="Arial"/>
          <w:sz w:val="24"/>
          <w:szCs w:val="24"/>
          <w:lang w:eastAsia="ar-SA"/>
        </w:rPr>
      </w:pPr>
      <w:r w:rsidRPr="001F6FA3">
        <w:rPr>
          <w:rFonts w:ascii="Arial" w:eastAsia="Times New Roman" w:hAnsi="Arial" w:cs="Arial"/>
          <w:sz w:val="24"/>
          <w:szCs w:val="24"/>
          <w:lang w:eastAsia="ar-SA"/>
        </w:rPr>
        <w:t>Luego de</w:t>
      </w:r>
      <w:r w:rsidR="000C6890">
        <w:rPr>
          <w:rFonts w:ascii="Arial" w:eastAsia="Times New Roman" w:hAnsi="Arial" w:cs="Arial"/>
          <w:sz w:val="24"/>
          <w:szCs w:val="24"/>
          <w:lang w:eastAsia="ar-SA"/>
        </w:rPr>
        <w:t>l</w:t>
      </w:r>
      <w:r w:rsidRPr="001F6FA3">
        <w:rPr>
          <w:rFonts w:ascii="Arial" w:eastAsia="Times New Roman" w:hAnsi="Arial" w:cs="Arial"/>
          <w:sz w:val="24"/>
          <w:szCs w:val="24"/>
          <w:lang w:eastAsia="ar-SA"/>
        </w:rPr>
        <w:t xml:space="preserve"> intercambio de información sobre las principales normas emitidas durante el período y el marco normativo vigente de cada Estado Parte, la delegación de Paraguay propuso para la próxima reunión llevar adelante un Taller Técnico sobre el marco regulatorio (con énfasis en la distinción de jerarquía normativa para cada Estado Parte), el modelo de Supervisión, las condiciones exigidas para operar en cada país y el acceso a la información (links) en sus respectivos sitios web.</w:t>
      </w:r>
    </w:p>
    <w:p w14:paraId="69F351D4" w14:textId="77777777" w:rsidR="00D6417C" w:rsidRPr="00294A2D" w:rsidRDefault="00D6417C" w:rsidP="00D6417C">
      <w:pPr>
        <w:pStyle w:val="Prrafodelista"/>
        <w:suppressAutoHyphens/>
        <w:spacing w:after="0" w:line="240" w:lineRule="auto"/>
        <w:jc w:val="both"/>
        <w:rPr>
          <w:rFonts w:ascii="Arial" w:eastAsia="Times New Roman" w:hAnsi="Arial" w:cs="Arial"/>
          <w:b/>
          <w:bCs/>
          <w:sz w:val="24"/>
          <w:szCs w:val="24"/>
          <w:lang w:eastAsia="ar-SA"/>
        </w:rPr>
      </w:pPr>
      <w:bookmarkStart w:id="3" w:name="_Hlk132898254"/>
    </w:p>
    <w:p w14:paraId="09E2E56A" w14:textId="2A7C3FF3" w:rsidR="00294A2D" w:rsidRPr="00B305EE" w:rsidRDefault="00B305EE" w:rsidP="00B305EE">
      <w:pPr>
        <w:suppressAutoHyphens/>
        <w:spacing w:after="0" w:line="240" w:lineRule="auto"/>
        <w:jc w:val="both"/>
        <w:rPr>
          <w:rFonts w:ascii="Arial" w:eastAsia="Times New Roman" w:hAnsi="Arial" w:cs="Arial"/>
          <w:b/>
          <w:bCs/>
          <w:sz w:val="24"/>
          <w:szCs w:val="24"/>
          <w:lang w:eastAsia="ar-SA"/>
        </w:rPr>
      </w:pPr>
      <w:r>
        <w:rPr>
          <w:rFonts w:ascii="Arial" w:eastAsia="Arial" w:hAnsi="Arial" w:cs="Arial"/>
          <w:b/>
          <w:bCs/>
          <w:color w:val="000000"/>
          <w:sz w:val="24"/>
          <w:szCs w:val="24"/>
        </w:rPr>
        <w:t xml:space="preserve">4.- </w:t>
      </w:r>
      <w:r w:rsidR="00294A2D" w:rsidRPr="00B305EE">
        <w:rPr>
          <w:rFonts w:ascii="Arial" w:eastAsia="Arial" w:hAnsi="Arial" w:cs="Arial"/>
          <w:b/>
          <w:bCs/>
          <w:color w:val="000000"/>
          <w:sz w:val="24"/>
          <w:szCs w:val="24"/>
        </w:rPr>
        <w:t xml:space="preserve">INFORME SEMESTRAL SOBRE EL GRADO DE AVANCE </w:t>
      </w:r>
      <w:r w:rsidR="00294A2D" w:rsidRPr="00B305EE">
        <w:rPr>
          <w:rFonts w:ascii="Arial" w:eastAsia="Arial" w:hAnsi="Arial" w:cs="Arial"/>
          <w:b/>
          <w:bCs/>
          <w:color w:val="000000"/>
          <w:spacing w:val="-1"/>
          <w:w w:val="101"/>
          <w:sz w:val="24"/>
          <w:szCs w:val="24"/>
        </w:rPr>
        <w:t>DEL</w:t>
      </w:r>
      <w:r w:rsidR="00294A2D" w:rsidRPr="00B305EE">
        <w:rPr>
          <w:rFonts w:ascii="Arial" w:eastAsia="Arial" w:hAnsi="Arial" w:cs="Arial"/>
          <w:b/>
          <w:bCs/>
          <w:color w:val="000000"/>
          <w:spacing w:val="49"/>
          <w:sz w:val="24"/>
          <w:szCs w:val="24"/>
        </w:rPr>
        <w:t xml:space="preserve"> </w:t>
      </w:r>
      <w:r w:rsidR="00294A2D" w:rsidRPr="00B305EE">
        <w:rPr>
          <w:rFonts w:ascii="Arial" w:eastAsia="Arial" w:hAnsi="Arial" w:cs="Arial"/>
          <w:b/>
          <w:bCs/>
          <w:color w:val="000000"/>
          <w:sz w:val="24"/>
          <w:szCs w:val="24"/>
        </w:rPr>
        <w:t>PROGRAMA</w:t>
      </w:r>
      <w:r w:rsidR="00294A2D" w:rsidRPr="00B305EE">
        <w:rPr>
          <w:rFonts w:ascii="Arial" w:eastAsia="Arial" w:hAnsi="Arial" w:cs="Arial"/>
          <w:b/>
          <w:bCs/>
          <w:color w:val="000000"/>
          <w:spacing w:val="50"/>
          <w:sz w:val="24"/>
          <w:szCs w:val="24"/>
        </w:rPr>
        <w:t xml:space="preserve"> </w:t>
      </w:r>
      <w:r w:rsidR="00294A2D" w:rsidRPr="00B305EE">
        <w:rPr>
          <w:rFonts w:ascii="Arial" w:eastAsia="Arial" w:hAnsi="Arial" w:cs="Arial"/>
          <w:b/>
          <w:bCs/>
          <w:color w:val="000000"/>
          <w:spacing w:val="-1"/>
          <w:w w:val="101"/>
          <w:sz w:val="24"/>
          <w:szCs w:val="24"/>
        </w:rPr>
        <w:t>DE</w:t>
      </w:r>
      <w:r w:rsidR="00294A2D" w:rsidRPr="00B305EE">
        <w:rPr>
          <w:rFonts w:ascii="Arial" w:eastAsia="Arial" w:hAnsi="Arial" w:cs="Arial"/>
          <w:b/>
          <w:bCs/>
          <w:color w:val="000000"/>
          <w:spacing w:val="48"/>
          <w:sz w:val="24"/>
          <w:szCs w:val="24"/>
        </w:rPr>
        <w:t xml:space="preserve"> </w:t>
      </w:r>
      <w:r w:rsidR="00294A2D" w:rsidRPr="00B305EE">
        <w:rPr>
          <w:rFonts w:ascii="Arial" w:eastAsia="Arial" w:hAnsi="Arial" w:cs="Arial"/>
          <w:b/>
          <w:bCs/>
          <w:color w:val="000000"/>
          <w:sz w:val="24"/>
          <w:szCs w:val="24"/>
        </w:rPr>
        <w:t xml:space="preserve">TRABAJO DEL PERIÓDO </w:t>
      </w:r>
      <w:r w:rsidR="00294A2D" w:rsidRPr="00B305EE">
        <w:rPr>
          <w:rFonts w:ascii="Arial" w:eastAsia="Arial" w:hAnsi="Arial" w:cs="Arial"/>
          <w:b/>
          <w:bCs/>
          <w:color w:val="000000"/>
          <w:spacing w:val="-1"/>
          <w:w w:val="102"/>
          <w:sz w:val="24"/>
          <w:szCs w:val="24"/>
        </w:rPr>
        <w:t>2023-2024</w:t>
      </w:r>
    </w:p>
    <w:p w14:paraId="04AF08A1" w14:textId="77777777" w:rsidR="000C6890" w:rsidRDefault="000C6890" w:rsidP="00294A2D">
      <w:pPr>
        <w:widowControl w:val="0"/>
        <w:autoSpaceDE w:val="0"/>
        <w:autoSpaceDN w:val="0"/>
        <w:jc w:val="both"/>
        <w:rPr>
          <w:rFonts w:ascii="Arial" w:hAnsi="Arial" w:cs="Arial"/>
          <w:sz w:val="24"/>
          <w:szCs w:val="24"/>
        </w:rPr>
      </w:pPr>
      <w:bookmarkStart w:id="4" w:name="_Hlk132895528"/>
    </w:p>
    <w:p w14:paraId="4ADCDC64" w14:textId="6E07FC81" w:rsidR="00317FAD" w:rsidRDefault="00294A2D" w:rsidP="00294A2D">
      <w:pPr>
        <w:widowControl w:val="0"/>
        <w:autoSpaceDE w:val="0"/>
        <w:autoSpaceDN w:val="0"/>
        <w:jc w:val="both"/>
        <w:rPr>
          <w:rFonts w:ascii="Arial" w:hAnsi="Arial" w:cs="Arial"/>
          <w:b/>
          <w:bCs/>
          <w:sz w:val="24"/>
          <w:szCs w:val="24"/>
        </w:rPr>
      </w:pPr>
      <w:r w:rsidRPr="001F6FA3">
        <w:rPr>
          <w:rFonts w:ascii="Arial" w:hAnsi="Arial" w:cs="Arial"/>
          <w:sz w:val="24"/>
          <w:szCs w:val="24"/>
        </w:rPr>
        <w:t>Las delegaciones elaboraron el Informe Semestral sobre el grado de avance del Programa de Trabajo del período 2023-2024. El documento consensuado lo elevaron a consideración de los Coordinadores Nacionales del SGT N° 4</w:t>
      </w:r>
      <w:r w:rsidRPr="001F6FA3">
        <w:rPr>
          <w:rFonts w:ascii="Arial" w:hAnsi="Arial" w:cs="Arial"/>
          <w:b/>
          <w:bCs/>
          <w:sz w:val="24"/>
          <w:szCs w:val="24"/>
        </w:rPr>
        <w:t xml:space="preserve"> (Anexo </w:t>
      </w:r>
      <w:r w:rsidR="00E57864">
        <w:rPr>
          <w:rFonts w:ascii="Arial" w:hAnsi="Arial" w:cs="Arial"/>
          <w:b/>
          <w:bCs/>
          <w:sz w:val="24"/>
          <w:szCs w:val="24"/>
        </w:rPr>
        <w:t>VI</w:t>
      </w:r>
      <w:r w:rsidRPr="001F6FA3">
        <w:rPr>
          <w:rFonts w:ascii="Arial" w:hAnsi="Arial" w:cs="Arial"/>
          <w:b/>
          <w:bCs/>
          <w:sz w:val="24"/>
          <w:szCs w:val="24"/>
        </w:rPr>
        <w:t>).</w:t>
      </w:r>
    </w:p>
    <w:p w14:paraId="1AB0945A" w14:textId="3E8351FF" w:rsidR="000C6890" w:rsidRPr="000C6890" w:rsidRDefault="000C6890" w:rsidP="00294A2D">
      <w:pPr>
        <w:widowControl w:val="0"/>
        <w:autoSpaceDE w:val="0"/>
        <w:autoSpaceDN w:val="0"/>
        <w:jc w:val="both"/>
        <w:rPr>
          <w:rFonts w:ascii="Arial" w:hAnsi="Arial" w:cs="Arial"/>
          <w:b/>
          <w:bCs/>
          <w:sz w:val="24"/>
          <w:szCs w:val="24"/>
        </w:rPr>
      </w:pPr>
      <w:r>
        <w:rPr>
          <w:rFonts w:ascii="Arial" w:hAnsi="Arial" w:cs="Arial"/>
          <w:sz w:val="24"/>
          <w:szCs w:val="24"/>
        </w:rPr>
        <w:t xml:space="preserve">Tal como se informa en el punto </w:t>
      </w:r>
      <w:r w:rsidRPr="000C6890">
        <w:rPr>
          <w:rFonts w:ascii="Arial" w:hAnsi="Arial" w:cs="Arial"/>
          <w:b/>
          <w:bCs/>
          <w:sz w:val="24"/>
          <w:szCs w:val="24"/>
        </w:rPr>
        <w:t>3. NORMAS REGULATORIAS DICTADAS EN EL PRIMER TRIMESTRE DE 2023 EN CADA ESTADO PARTE</w:t>
      </w:r>
      <w:r>
        <w:rPr>
          <w:rFonts w:ascii="Arial" w:hAnsi="Arial" w:cs="Arial"/>
          <w:b/>
          <w:bCs/>
          <w:sz w:val="24"/>
          <w:szCs w:val="24"/>
        </w:rPr>
        <w:t xml:space="preserve">, </w:t>
      </w:r>
      <w:r>
        <w:rPr>
          <w:rFonts w:ascii="Arial" w:hAnsi="Arial" w:cs="Arial"/>
          <w:sz w:val="24"/>
          <w:szCs w:val="24"/>
        </w:rPr>
        <w:t>se llevará adelante un Taller Técnico en la próxima reunión de la Comisión.</w:t>
      </w:r>
    </w:p>
    <w:bookmarkEnd w:id="3"/>
    <w:p w14:paraId="3BAFA21B" w14:textId="314A9858" w:rsidR="00294A2D" w:rsidRPr="00B305EE" w:rsidRDefault="00B305EE" w:rsidP="00B305EE">
      <w:pPr>
        <w:widowControl w:val="0"/>
        <w:autoSpaceDE w:val="0"/>
        <w:autoSpaceDN w:val="0"/>
        <w:jc w:val="both"/>
        <w:rPr>
          <w:rFonts w:ascii="Arial" w:hAnsi="Arial" w:cs="Arial"/>
          <w:b/>
          <w:bCs/>
          <w:sz w:val="24"/>
          <w:szCs w:val="24"/>
        </w:rPr>
      </w:pPr>
      <w:r>
        <w:rPr>
          <w:rFonts w:ascii="Arial" w:hAnsi="Arial" w:cs="Arial"/>
          <w:b/>
          <w:bCs/>
          <w:sz w:val="24"/>
          <w:szCs w:val="24"/>
        </w:rPr>
        <w:lastRenderedPageBreak/>
        <w:t xml:space="preserve">5.- </w:t>
      </w:r>
      <w:r w:rsidR="00294A2D" w:rsidRPr="00B305EE">
        <w:rPr>
          <w:rFonts w:ascii="Arial" w:hAnsi="Arial" w:cs="Arial"/>
          <w:b/>
          <w:bCs/>
          <w:sz w:val="24"/>
          <w:szCs w:val="24"/>
        </w:rPr>
        <w:t>ASUNTOS VARIOS</w:t>
      </w:r>
    </w:p>
    <w:bookmarkEnd w:id="2"/>
    <w:bookmarkEnd w:id="4"/>
    <w:p w14:paraId="472169AE" w14:textId="04450B6C" w:rsidR="001F6FA3" w:rsidRDefault="000C6890" w:rsidP="00764C71">
      <w:pPr>
        <w:suppressLineNumber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No se presentaron otros asuntos.</w:t>
      </w:r>
    </w:p>
    <w:p w14:paraId="67D3F27F" w14:textId="77777777" w:rsidR="000C6890" w:rsidRPr="000C6890" w:rsidRDefault="000C6890" w:rsidP="00764C71">
      <w:pPr>
        <w:suppressLineNumbers/>
        <w:suppressAutoHyphens/>
        <w:spacing w:after="0" w:line="240" w:lineRule="auto"/>
        <w:jc w:val="both"/>
        <w:rPr>
          <w:rFonts w:ascii="Arial" w:eastAsia="Times New Roman" w:hAnsi="Arial" w:cs="Arial"/>
          <w:bCs/>
          <w:color w:val="000000"/>
          <w:sz w:val="24"/>
          <w:szCs w:val="24"/>
          <w:lang w:eastAsia="ar-SA"/>
        </w:rPr>
      </w:pPr>
    </w:p>
    <w:p w14:paraId="1577056A" w14:textId="36312107" w:rsidR="00F41AB9" w:rsidRPr="00764C71" w:rsidRDefault="00F41AB9" w:rsidP="00764C71">
      <w:pPr>
        <w:suppressLineNumbers/>
        <w:suppressAutoHyphens/>
        <w:spacing w:after="0" w:line="240" w:lineRule="auto"/>
        <w:jc w:val="both"/>
        <w:rPr>
          <w:rFonts w:ascii="Arial" w:eastAsia="Times New Roman" w:hAnsi="Arial" w:cs="Arial"/>
          <w:sz w:val="24"/>
          <w:szCs w:val="24"/>
          <w:lang w:eastAsia="ar-SA"/>
        </w:rPr>
      </w:pPr>
      <w:r w:rsidRPr="00764C71">
        <w:rPr>
          <w:rFonts w:ascii="Arial" w:eastAsia="Times New Roman" w:hAnsi="Arial" w:cs="Arial"/>
          <w:b/>
          <w:color w:val="000000"/>
          <w:sz w:val="24"/>
          <w:szCs w:val="24"/>
          <w:lang w:eastAsia="ar-SA"/>
        </w:rPr>
        <w:t>PRÓXIMA REUNIÓN</w:t>
      </w:r>
    </w:p>
    <w:p w14:paraId="121779A5" w14:textId="77777777" w:rsidR="00F41AB9" w:rsidRPr="00764C71" w:rsidRDefault="00F41AB9" w:rsidP="00764C71">
      <w:pPr>
        <w:suppressAutoHyphens/>
        <w:spacing w:after="0" w:line="240" w:lineRule="auto"/>
        <w:jc w:val="both"/>
        <w:rPr>
          <w:rFonts w:ascii="Arial" w:eastAsia="Times New Roman" w:hAnsi="Arial" w:cs="Arial"/>
          <w:sz w:val="24"/>
          <w:szCs w:val="24"/>
          <w:lang w:eastAsia="ar-SA"/>
        </w:rPr>
      </w:pPr>
    </w:p>
    <w:p w14:paraId="29A26305" w14:textId="4FA0660E" w:rsidR="00F41AB9" w:rsidRPr="003378F0" w:rsidRDefault="00F41AB9" w:rsidP="00764C71">
      <w:pPr>
        <w:suppressAutoHyphens/>
        <w:spacing w:after="0" w:line="240" w:lineRule="auto"/>
        <w:jc w:val="both"/>
        <w:rPr>
          <w:rFonts w:ascii="Arial" w:eastAsia="Times New Roman" w:hAnsi="Arial" w:cs="Arial"/>
          <w:sz w:val="24"/>
          <w:szCs w:val="24"/>
          <w:lang w:eastAsia="ar-SA"/>
        </w:rPr>
      </w:pPr>
      <w:r w:rsidRPr="003378F0">
        <w:rPr>
          <w:rFonts w:ascii="Arial" w:eastAsia="Times New Roman" w:hAnsi="Arial" w:cs="Arial"/>
          <w:sz w:val="24"/>
          <w:szCs w:val="24"/>
          <w:lang w:eastAsia="ar-SA"/>
        </w:rPr>
        <w:t>La próxima reunión del SGT N° 4 se realizará durante la próxima PPT</w:t>
      </w:r>
      <w:r w:rsidR="001031E8">
        <w:rPr>
          <w:rFonts w:ascii="Arial" w:eastAsia="Times New Roman" w:hAnsi="Arial" w:cs="Arial"/>
          <w:sz w:val="24"/>
          <w:szCs w:val="24"/>
          <w:lang w:eastAsia="ar-SA"/>
        </w:rPr>
        <w:t xml:space="preserve"> en el </w:t>
      </w:r>
      <w:r w:rsidR="00294A2D">
        <w:rPr>
          <w:rFonts w:ascii="Arial" w:eastAsia="Times New Roman" w:hAnsi="Arial" w:cs="Arial"/>
          <w:sz w:val="24"/>
          <w:szCs w:val="24"/>
          <w:lang w:eastAsia="ar-SA"/>
        </w:rPr>
        <w:t>ejercicio.</w:t>
      </w:r>
    </w:p>
    <w:p w14:paraId="55BD7382" w14:textId="77777777" w:rsidR="00F41AB9" w:rsidRPr="00764C71" w:rsidRDefault="00F41AB9" w:rsidP="00764C71">
      <w:pPr>
        <w:suppressAutoHyphens/>
        <w:spacing w:after="0" w:line="240" w:lineRule="auto"/>
        <w:jc w:val="both"/>
        <w:rPr>
          <w:rFonts w:ascii="Arial" w:eastAsia="Times New Roman" w:hAnsi="Arial" w:cs="Arial"/>
          <w:sz w:val="24"/>
          <w:szCs w:val="24"/>
          <w:lang w:eastAsia="ar-SA"/>
        </w:rPr>
      </w:pPr>
    </w:p>
    <w:p w14:paraId="0A7CC4BD" w14:textId="320ABE23" w:rsidR="00F41AB9" w:rsidRPr="00582852" w:rsidRDefault="00F41AB9" w:rsidP="00764C71">
      <w:pPr>
        <w:suppressAutoHyphens/>
        <w:overflowPunct w:val="0"/>
        <w:spacing w:after="0" w:line="240" w:lineRule="auto"/>
        <w:jc w:val="both"/>
        <w:rPr>
          <w:rFonts w:ascii="Arial" w:eastAsia="Times New Roman" w:hAnsi="Arial" w:cs="Arial"/>
          <w:b/>
          <w:sz w:val="24"/>
          <w:szCs w:val="24"/>
          <w:lang w:eastAsia="ar-SA"/>
        </w:rPr>
      </w:pPr>
      <w:r w:rsidRPr="00582852">
        <w:rPr>
          <w:rFonts w:ascii="Arial" w:eastAsia="Times New Roman" w:hAnsi="Arial" w:cs="Arial"/>
          <w:b/>
          <w:sz w:val="24"/>
          <w:szCs w:val="24"/>
          <w:lang w:eastAsia="ar-SA"/>
        </w:rPr>
        <w:t xml:space="preserve">LISTA DE ANEXOS </w:t>
      </w:r>
    </w:p>
    <w:p w14:paraId="6F94455F" w14:textId="77777777" w:rsidR="00F41AB9" w:rsidRPr="00582852" w:rsidRDefault="00F41AB9" w:rsidP="00764C71">
      <w:pPr>
        <w:suppressLineNumbers/>
        <w:tabs>
          <w:tab w:val="center" w:pos="4252"/>
          <w:tab w:val="right" w:pos="8504"/>
        </w:tabs>
        <w:suppressAutoHyphens/>
        <w:spacing w:after="0" w:line="240" w:lineRule="auto"/>
        <w:jc w:val="both"/>
        <w:rPr>
          <w:rFonts w:ascii="Arial" w:eastAsia="Times New Roman" w:hAnsi="Arial" w:cs="Arial"/>
          <w:sz w:val="24"/>
          <w:szCs w:val="24"/>
          <w:lang w:eastAsia="ar-SA"/>
        </w:rPr>
      </w:pPr>
    </w:p>
    <w:p w14:paraId="26364EFD" w14:textId="0F854B90" w:rsidR="00F41AB9" w:rsidRPr="00582852" w:rsidRDefault="00F41AB9" w:rsidP="00764C71">
      <w:pPr>
        <w:suppressLineNumbers/>
        <w:tabs>
          <w:tab w:val="center" w:pos="4252"/>
          <w:tab w:val="right" w:pos="8504"/>
        </w:tabs>
        <w:suppressAutoHyphens/>
        <w:spacing w:after="0" w:line="240" w:lineRule="auto"/>
        <w:jc w:val="both"/>
        <w:rPr>
          <w:rFonts w:ascii="Arial" w:eastAsia="Times New Roman" w:hAnsi="Arial" w:cs="Arial"/>
          <w:sz w:val="24"/>
          <w:szCs w:val="24"/>
          <w:lang w:eastAsia="ar-SA"/>
        </w:rPr>
      </w:pPr>
      <w:r w:rsidRPr="00582852">
        <w:rPr>
          <w:rFonts w:ascii="Arial" w:eastAsia="Times New Roman" w:hAnsi="Arial" w:cs="Arial"/>
          <w:sz w:val="24"/>
          <w:szCs w:val="24"/>
          <w:lang w:eastAsia="ar-SA"/>
        </w:rPr>
        <w:t>Los Anexos que forman parte de la presente Acta son las siguientes:</w:t>
      </w:r>
    </w:p>
    <w:p w14:paraId="07B09F5E" w14:textId="77777777" w:rsidR="003D17FE" w:rsidRPr="00582852" w:rsidRDefault="003D17FE" w:rsidP="00764C71">
      <w:pPr>
        <w:suppressLineNumbers/>
        <w:tabs>
          <w:tab w:val="center" w:pos="4252"/>
          <w:tab w:val="right" w:pos="8504"/>
        </w:tabs>
        <w:suppressAutoHyphens/>
        <w:spacing w:after="0" w:line="240" w:lineRule="auto"/>
        <w:jc w:val="both"/>
        <w:rPr>
          <w:rFonts w:ascii="Arial" w:eastAsia="Times New Roman" w:hAnsi="Arial" w:cs="Arial"/>
          <w:sz w:val="24"/>
          <w:szCs w:val="24"/>
          <w:lang w:eastAsia="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19"/>
      </w:tblGrid>
      <w:tr w:rsidR="00582852" w:rsidRPr="00582852" w14:paraId="0A40F0FB" w14:textId="77777777" w:rsidTr="00261FF5">
        <w:tc>
          <w:tcPr>
            <w:tcW w:w="1985" w:type="dxa"/>
          </w:tcPr>
          <w:p w14:paraId="640A9829" w14:textId="7196BD6B" w:rsidR="00892A12" w:rsidRPr="00582852" w:rsidRDefault="00892A12" w:rsidP="00764C71">
            <w:pPr>
              <w:suppressLineNumbers/>
              <w:tabs>
                <w:tab w:val="center" w:pos="4252"/>
                <w:tab w:val="right" w:pos="8504"/>
              </w:tabs>
              <w:suppressAutoHyphens/>
              <w:jc w:val="both"/>
              <w:rPr>
                <w:rFonts w:ascii="Arial" w:eastAsia="Times New Roman" w:hAnsi="Arial" w:cs="Arial"/>
                <w:b/>
                <w:bCs/>
                <w:sz w:val="24"/>
                <w:szCs w:val="24"/>
                <w:lang w:eastAsia="ar-SA"/>
              </w:rPr>
            </w:pPr>
            <w:r w:rsidRPr="00582852">
              <w:rPr>
                <w:rFonts w:ascii="Arial" w:eastAsia="Times New Roman" w:hAnsi="Arial" w:cs="Arial"/>
                <w:b/>
                <w:bCs/>
                <w:sz w:val="24"/>
                <w:szCs w:val="24"/>
                <w:lang w:val="pt-BR" w:eastAsia="ar-SA"/>
              </w:rPr>
              <w:t>Anexo I</w:t>
            </w:r>
          </w:p>
        </w:tc>
        <w:tc>
          <w:tcPr>
            <w:tcW w:w="6519" w:type="dxa"/>
          </w:tcPr>
          <w:p w14:paraId="057C3D1B" w14:textId="1EBA05E4" w:rsidR="00892A12" w:rsidRPr="00582852" w:rsidRDefault="00892A12" w:rsidP="00764C71">
            <w:pPr>
              <w:suppressLineNumbers/>
              <w:tabs>
                <w:tab w:val="center" w:pos="4252"/>
                <w:tab w:val="right" w:pos="8504"/>
              </w:tabs>
              <w:suppressAutoHyphens/>
              <w:jc w:val="both"/>
              <w:rPr>
                <w:rFonts w:ascii="Arial" w:eastAsia="Times New Roman" w:hAnsi="Arial" w:cs="Arial"/>
                <w:sz w:val="24"/>
                <w:szCs w:val="24"/>
                <w:lang w:eastAsia="ar-SA"/>
              </w:rPr>
            </w:pPr>
            <w:r w:rsidRPr="00582852">
              <w:rPr>
                <w:rFonts w:ascii="Arial" w:eastAsia="Times New Roman" w:hAnsi="Arial" w:cs="Arial"/>
                <w:sz w:val="24"/>
                <w:szCs w:val="24"/>
                <w:lang w:val="pt-BR" w:eastAsia="ar-SA"/>
              </w:rPr>
              <w:t>Lista de Participantes</w:t>
            </w:r>
          </w:p>
        </w:tc>
      </w:tr>
      <w:tr w:rsidR="00582852" w:rsidRPr="00582852" w14:paraId="1DAA24A0" w14:textId="77777777" w:rsidTr="00261FF5">
        <w:tc>
          <w:tcPr>
            <w:tcW w:w="1985" w:type="dxa"/>
          </w:tcPr>
          <w:p w14:paraId="78697B30" w14:textId="6312BE91" w:rsidR="00892A12" w:rsidRPr="00582852" w:rsidRDefault="00892A12" w:rsidP="00764C71">
            <w:pPr>
              <w:suppressLineNumbers/>
              <w:tabs>
                <w:tab w:val="center" w:pos="4252"/>
                <w:tab w:val="right" w:pos="8504"/>
              </w:tabs>
              <w:suppressAutoHyphens/>
              <w:jc w:val="both"/>
              <w:rPr>
                <w:rFonts w:ascii="Arial" w:eastAsia="Times New Roman" w:hAnsi="Arial" w:cs="Arial"/>
                <w:b/>
                <w:bCs/>
                <w:sz w:val="24"/>
                <w:szCs w:val="24"/>
                <w:lang w:eastAsia="ar-SA"/>
              </w:rPr>
            </w:pPr>
            <w:r w:rsidRPr="00582852">
              <w:rPr>
                <w:rFonts w:ascii="Arial" w:eastAsia="Times New Roman" w:hAnsi="Arial" w:cs="Arial"/>
                <w:b/>
                <w:bCs/>
                <w:sz w:val="24"/>
                <w:szCs w:val="24"/>
                <w:lang w:val="pt-BR" w:eastAsia="ar-SA"/>
              </w:rPr>
              <w:t>Anexo II</w:t>
            </w:r>
          </w:p>
        </w:tc>
        <w:tc>
          <w:tcPr>
            <w:tcW w:w="6519" w:type="dxa"/>
          </w:tcPr>
          <w:p w14:paraId="01A7CE83" w14:textId="1F0767CE" w:rsidR="00892A12" w:rsidRPr="00582852" w:rsidRDefault="00892A12" w:rsidP="00764C71">
            <w:pPr>
              <w:suppressLineNumbers/>
              <w:tabs>
                <w:tab w:val="center" w:pos="4252"/>
                <w:tab w:val="right" w:pos="8504"/>
              </w:tabs>
              <w:suppressAutoHyphens/>
              <w:jc w:val="both"/>
              <w:rPr>
                <w:rFonts w:ascii="Arial" w:eastAsia="Times New Roman" w:hAnsi="Arial" w:cs="Arial"/>
                <w:sz w:val="24"/>
                <w:szCs w:val="24"/>
                <w:lang w:eastAsia="ar-SA"/>
              </w:rPr>
            </w:pPr>
            <w:r w:rsidRPr="00582852">
              <w:rPr>
                <w:rFonts w:ascii="Arial" w:eastAsia="Times New Roman" w:hAnsi="Arial" w:cs="Arial"/>
                <w:sz w:val="24"/>
                <w:szCs w:val="24"/>
                <w:lang w:val="pt-BR" w:eastAsia="ar-SA"/>
              </w:rPr>
              <w:t>Agenda</w:t>
            </w:r>
          </w:p>
        </w:tc>
      </w:tr>
      <w:tr w:rsidR="00582852" w:rsidRPr="00582852" w14:paraId="0D3EA5A5" w14:textId="77777777" w:rsidTr="00261FF5">
        <w:tc>
          <w:tcPr>
            <w:tcW w:w="1985" w:type="dxa"/>
          </w:tcPr>
          <w:p w14:paraId="175C8A34" w14:textId="77777777" w:rsidR="00892A12" w:rsidRDefault="00892A12" w:rsidP="00764C71">
            <w:pPr>
              <w:suppressLineNumbers/>
              <w:tabs>
                <w:tab w:val="center" w:pos="4252"/>
                <w:tab w:val="right" w:pos="8504"/>
              </w:tabs>
              <w:suppressAutoHyphens/>
              <w:jc w:val="both"/>
              <w:rPr>
                <w:rFonts w:ascii="Arial" w:eastAsia="Times New Roman" w:hAnsi="Arial" w:cs="Arial"/>
                <w:b/>
                <w:bCs/>
                <w:sz w:val="24"/>
                <w:szCs w:val="24"/>
                <w:lang w:val="es-PY" w:eastAsia="ar-SA"/>
              </w:rPr>
            </w:pPr>
            <w:r w:rsidRPr="00582852">
              <w:rPr>
                <w:rFonts w:ascii="Arial" w:eastAsia="Times New Roman" w:hAnsi="Arial" w:cs="Arial"/>
                <w:b/>
                <w:bCs/>
                <w:sz w:val="24"/>
                <w:szCs w:val="24"/>
                <w:lang w:val="es-PY" w:eastAsia="ar-SA"/>
              </w:rPr>
              <w:t>Anexo III</w:t>
            </w:r>
          </w:p>
          <w:p w14:paraId="234BC7F9" w14:textId="212DA7DD" w:rsidR="004C4AAB" w:rsidRPr="00582852" w:rsidRDefault="004C4AAB" w:rsidP="00764C71">
            <w:pPr>
              <w:suppressLineNumbers/>
              <w:tabs>
                <w:tab w:val="center" w:pos="4252"/>
                <w:tab w:val="right" w:pos="8504"/>
              </w:tabs>
              <w:suppressAutoHyphens/>
              <w:jc w:val="both"/>
              <w:rPr>
                <w:rFonts w:ascii="Arial" w:eastAsia="Times New Roman" w:hAnsi="Arial" w:cs="Arial"/>
                <w:b/>
                <w:bCs/>
                <w:sz w:val="24"/>
                <w:szCs w:val="24"/>
                <w:lang w:eastAsia="ar-SA"/>
              </w:rPr>
            </w:pPr>
          </w:p>
        </w:tc>
        <w:tc>
          <w:tcPr>
            <w:tcW w:w="6519" w:type="dxa"/>
          </w:tcPr>
          <w:p w14:paraId="50DFC845" w14:textId="3412DB4E" w:rsidR="009E18C0" w:rsidRDefault="00892A12" w:rsidP="00764C71">
            <w:pPr>
              <w:suppressLineNumbers/>
              <w:tabs>
                <w:tab w:val="center" w:pos="4252"/>
                <w:tab w:val="right" w:pos="8504"/>
              </w:tabs>
              <w:suppressAutoHyphens/>
              <w:jc w:val="both"/>
              <w:rPr>
                <w:rFonts w:ascii="Arial" w:eastAsia="Times New Roman" w:hAnsi="Arial" w:cs="Arial"/>
                <w:sz w:val="24"/>
                <w:szCs w:val="24"/>
                <w:lang w:val="es-PY" w:eastAsia="ar-SA"/>
              </w:rPr>
            </w:pPr>
            <w:r w:rsidRPr="00582852">
              <w:rPr>
                <w:rFonts w:ascii="Arial" w:eastAsia="Times New Roman" w:hAnsi="Arial" w:cs="Arial"/>
                <w:sz w:val="24"/>
                <w:szCs w:val="24"/>
                <w:lang w:val="es-PY" w:eastAsia="ar-SA"/>
              </w:rPr>
              <w:t>Resumen del Acta</w:t>
            </w:r>
          </w:p>
          <w:p w14:paraId="2D436321" w14:textId="6F8D8D3E" w:rsidR="004C4AAB" w:rsidRPr="00582852" w:rsidRDefault="004C4AAB" w:rsidP="004C4AAB">
            <w:pPr>
              <w:suppressLineNumbers/>
              <w:tabs>
                <w:tab w:val="center" w:pos="4252"/>
                <w:tab w:val="right" w:pos="8504"/>
              </w:tabs>
              <w:suppressAutoHyphens/>
              <w:jc w:val="both"/>
              <w:rPr>
                <w:rFonts w:ascii="Arial" w:eastAsia="Times New Roman" w:hAnsi="Arial" w:cs="Arial"/>
                <w:sz w:val="24"/>
                <w:szCs w:val="24"/>
                <w:lang w:eastAsia="ar-SA"/>
              </w:rPr>
            </w:pPr>
          </w:p>
        </w:tc>
      </w:tr>
      <w:tr w:rsidR="00582852" w:rsidRPr="00582852" w14:paraId="4EF63C71" w14:textId="77777777" w:rsidTr="00261FF5">
        <w:tc>
          <w:tcPr>
            <w:tcW w:w="1985" w:type="dxa"/>
          </w:tcPr>
          <w:p w14:paraId="4E389374" w14:textId="52FC598D" w:rsidR="00892A12" w:rsidRPr="00582852" w:rsidRDefault="004C4AAB" w:rsidP="00764C71">
            <w:pPr>
              <w:suppressLineNumbers/>
              <w:tabs>
                <w:tab w:val="center" w:pos="4252"/>
                <w:tab w:val="right" w:pos="8504"/>
              </w:tabs>
              <w:suppressAutoHyphens/>
              <w:jc w:val="both"/>
              <w:rPr>
                <w:rFonts w:ascii="Arial" w:eastAsia="Times New Roman" w:hAnsi="Arial" w:cs="Arial"/>
                <w:b/>
                <w:bCs/>
                <w:sz w:val="24"/>
                <w:szCs w:val="24"/>
                <w:lang w:val="es-PY" w:eastAsia="ar-SA"/>
              </w:rPr>
            </w:pPr>
            <w:r>
              <w:rPr>
                <w:rFonts w:ascii="Arial" w:eastAsia="Times New Roman" w:hAnsi="Arial" w:cs="Arial"/>
                <w:b/>
                <w:bCs/>
                <w:sz w:val="24"/>
                <w:szCs w:val="24"/>
                <w:lang w:val="pt-BR" w:eastAsia="ar-SA"/>
              </w:rPr>
              <w:t xml:space="preserve">Anexo </w:t>
            </w:r>
            <w:r w:rsidR="009E18C0">
              <w:rPr>
                <w:rFonts w:ascii="Arial" w:eastAsia="Times New Roman" w:hAnsi="Arial" w:cs="Arial"/>
                <w:b/>
                <w:bCs/>
                <w:sz w:val="24"/>
                <w:szCs w:val="24"/>
                <w:lang w:val="pt-BR" w:eastAsia="ar-SA"/>
              </w:rPr>
              <w:t>I</w:t>
            </w:r>
            <w:r w:rsidR="00892A12" w:rsidRPr="00582852">
              <w:rPr>
                <w:rFonts w:ascii="Arial" w:eastAsia="Times New Roman" w:hAnsi="Arial" w:cs="Arial"/>
                <w:b/>
                <w:bCs/>
                <w:sz w:val="24"/>
                <w:szCs w:val="24"/>
                <w:lang w:val="pt-BR" w:eastAsia="ar-SA"/>
              </w:rPr>
              <w:t>V</w:t>
            </w:r>
          </w:p>
        </w:tc>
        <w:tc>
          <w:tcPr>
            <w:tcW w:w="6519" w:type="dxa"/>
          </w:tcPr>
          <w:p w14:paraId="6B7DAA2C" w14:textId="5533DAFF" w:rsidR="00892A12" w:rsidRPr="00F35752" w:rsidRDefault="00E57864" w:rsidP="0039192C">
            <w:pPr>
              <w:suppressLineNumbers/>
              <w:tabs>
                <w:tab w:val="center" w:pos="4252"/>
                <w:tab w:val="right" w:pos="8504"/>
              </w:tabs>
              <w:suppressAutoHyphens/>
              <w:jc w:val="both"/>
              <w:rPr>
                <w:rFonts w:ascii="Arial" w:eastAsia="Times New Roman" w:hAnsi="Arial" w:cs="Arial"/>
                <w:sz w:val="24"/>
                <w:szCs w:val="24"/>
                <w:lang w:eastAsia="ar-SA"/>
              </w:rPr>
            </w:pPr>
            <w:r>
              <w:rPr>
                <w:rFonts w:ascii="Arial" w:eastAsia="Times New Roman" w:hAnsi="Arial" w:cs="Arial"/>
                <w:sz w:val="24"/>
                <w:szCs w:val="24"/>
                <w:lang w:eastAsia="ar-SA"/>
              </w:rPr>
              <w:t>Principales Normas emitidas período octubre 2022 – mayo 2023</w:t>
            </w:r>
          </w:p>
        </w:tc>
      </w:tr>
      <w:tr w:rsidR="00582852" w:rsidRPr="00582852" w14:paraId="60BCA2B9" w14:textId="77777777" w:rsidTr="00261FF5">
        <w:tc>
          <w:tcPr>
            <w:tcW w:w="1985" w:type="dxa"/>
          </w:tcPr>
          <w:p w14:paraId="37657310" w14:textId="24707A10" w:rsidR="00892A12" w:rsidRPr="00582852" w:rsidRDefault="00892A12" w:rsidP="009E18C0">
            <w:pPr>
              <w:suppressLineNumbers/>
              <w:tabs>
                <w:tab w:val="center" w:pos="4252"/>
                <w:tab w:val="right" w:pos="8504"/>
              </w:tabs>
              <w:suppressAutoHyphens/>
              <w:jc w:val="both"/>
              <w:rPr>
                <w:rFonts w:ascii="Arial" w:eastAsia="Times New Roman" w:hAnsi="Arial" w:cs="Arial"/>
                <w:b/>
                <w:bCs/>
                <w:sz w:val="24"/>
                <w:szCs w:val="24"/>
                <w:lang w:val="pt-BR" w:eastAsia="ar-SA"/>
              </w:rPr>
            </w:pPr>
            <w:r w:rsidRPr="00582852">
              <w:rPr>
                <w:rFonts w:ascii="Arial" w:eastAsia="Times New Roman" w:hAnsi="Arial" w:cs="Arial"/>
                <w:b/>
                <w:bCs/>
                <w:sz w:val="24"/>
                <w:szCs w:val="24"/>
                <w:lang w:val="es-PY" w:eastAsia="ar-SA"/>
              </w:rPr>
              <w:t>Anexo V</w:t>
            </w:r>
          </w:p>
        </w:tc>
        <w:tc>
          <w:tcPr>
            <w:tcW w:w="6519" w:type="dxa"/>
          </w:tcPr>
          <w:p w14:paraId="49FBECEA" w14:textId="57514898" w:rsidR="00A421A2" w:rsidRPr="00F35752" w:rsidRDefault="007F3436" w:rsidP="0039192C">
            <w:pPr>
              <w:suppressLineNumbers/>
              <w:tabs>
                <w:tab w:val="center" w:pos="4252"/>
                <w:tab w:val="right" w:pos="8504"/>
              </w:tabs>
              <w:suppressAutoHyphens/>
              <w:jc w:val="both"/>
              <w:rPr>
                <w:rFonts w:ascii="Arial" w:eastAsia="Times New Roman" w:hAnsi="Arial" w:cs="Arial"/>
                <w:sz w:val="24"/>
                <w:szCs w:val="24"/>
                <w:lang w:eastAsia="ar-SA"/>
              </w:rPr>
            </w:pPr>
            <w:r>
              <w:rPr>
                <w:rFonts w:ascii="Arial" w:eastAsia="Times New Roman" w:hAnsi="Arial" w:cs="Arial"/>
                <w:sz w:val="24"/>
                <w:szCs w:val="24"/>
                <w:lang w:eastAsia="ar-SA"/>
              </w:rPr>
              <w:t>RESERVADO MERCOSUR/SGT4/CS/D</w:t>
            </w:r>
            <w:r w:rsidR="00E57864">
              <w:rPr>
                <w:rFonts w:ascii="Arial" w:eastAsia="Times New Roman" w:hAnsi="Arial" w:cs="Arial"/>
                <w:sz w:val="24"/>
                <w:szCs w:val="24"/>
                <w:lang w:eastAsia="ar-SA"/>
              </w:rPr>
              <w:t xml:space="preserve">T Nº 1/23 </w:t>
            </w:r>
            <w:r>
              <w:rPr>
                <w:rFonts w:ascii="Arial" w:eastAsia="Times New Roman" w:hAnsi="Arial" w:cs="Arial"/>
                <w:sz w:val="24"/>
                <w:szCs w:val="24"/>
                <w:lang w:eastAsia="ar-SA"/>
              </w:rPr>
              <w:t>Documento de Seguimiento</w:t>
            </w:r>
            <w:r w:rsidR="00E57864">
              <w:rPr>
                <w:rFonts w:ascii="Arial" w:eastAsia="Times New Roman" w:hAnsi="Arial" w:cs="Arial"/>
                <w:sz w:val="24"/>
                <w:szCs w:val="24"/>
                <w:lang w:eastAsia="ar-SA"/>
              </w:rPr>
              <w:t xml:space="preserve"> e información de las actividades de la Comisión de Seguros.</w:t>
            </w:r>
          </w:p>
        </w:tc>
      </w:tr>
      <w:tr w:rsidR="00582852" w:rsidRPr="00582852" w14:paraId="196E59BE" w14:textId="77777777" w:rsidTr="00261FF5">
        <w:tc>
          <w:tcPr>
            <w:tcW w:w="1985" w:type="dxa"/>
          </w:tcPr>
          <w:p w14:paraId="5146295B" w14:textId="19E93A3F" w:rsidR="00892A12" w:rsidRPr="00582852" w:rsidRDefault="003D17FE" w:rsidP="009E18C0">
            <w:pPr>
              <w:suppressLineNumbers/>
              <w:tabs>
                <w:tab w:val="center" w:pos="4252"/>
                <w:tab w:val="right" w:pos="8504"/>
              </w:tabs>
              <w:suppressAutoHyphens/>
              <w:jc w:val="both"/>
              <w:rPr>
                <w:rFonts w:ascii="Arial" w:eastAsia="Times New Roman" w:hAnsi="Arial" w:cs="Arial"/>
                <w:b/>
                <w:bCs/>
                <w:sz w:val="24"/>
                <w:szCs w:val="24"/>
                <w:lang w:val="es-PY" w:eastAsia="ar-SA"/>
              </w:rPr>
            </w:pPr>
            <w:r w:rsidRPr="00582852">
              <w:rPr>
                <w:rFonts w:ascii="Arial" w:eastAsia="Times New Roman" w:hAnsi="Arial" w:cs="Arial"/>
                <w:b/>
                <w:bCs/>
                <w:sz w:val="24"/>
                <w:szCs w:val="24"/>
                <w:lang w:eastAsia="ar-SA"/>
              </w:rPr>
              <w:t>Anexo V</w:t>
            </w:r>
            <w:r w:rsidR="004C4AAB">
              <w:rPr>
                <w:rFonts w:ascii="Arial" w:eastAsia="Times New Roman" w:hAnsi="Arial" w:cs="Arial"/>
                <w:b/>
                <w:bCs/>
                <w:sz w:val="24"/>
                <w:szCs w:val="24"/>
                <w:lang w:eastAsia="ar-SA"/>
              </w:rPr>
              <w:t>I</w:t>
            </w:r>
          </w:p>
        </w:tc>
        <w:tc>
          <w:tcPr>
            <w:tcW w:w="6519" w:type="dxa"/>
          </w:tcPr>
          <w:p w14:paraId="0BAD7BAD" w14:textId="59FB17B2" w:rsidR="00892A12" w:rsidRPr="00582852" w:rsidRDefault="00E57864" w:rsidP="00764C71">
            <w:pPr>
              <w:suppressLineNumbers/>
              <w:tabs>
                <w:tab w:val="center" w:pos="4252"/>
                <w:tab w:val="right" w:pos="8504"/>
              </w:tabs>
              <w:suppressAutoHyphens/>
              <w:jc w:val="both"/>
              <w:rPr>
                <w:rFonts w:ascii="Arial" w:eastAsia="Times New Roman" w:hAnsi="Arial" w:cs="Arial"/>
                <w:sz w:val="24"/>
                <w:szCs w:val="24"/>
                <w:lang w:eastAsia="ar-SA"/>
              </w:rPr>
            </w:pPr>
            <w:r w:rsidRPr="00E57864">
              <w:rPr>
                <w:rFonts w:ascii="Arial" w:eastAsia="Times New Roman" w:hAnsi="Arial" w:cs="Arial"/>
                <w:sz w:val="24"/>
                <w:szCs w:val="24"/>
                <w:lang w:eastAsia="ar-SA"/>
              </w:rPr>
              <w:t>Informe Semestral sobre el grado de avance del Programa de Trabajo del período 2023-2024</w:t>
            </w:r>
          </w:p>
        </w:tc>
      </w:tr>
    </w:tbl>
    <w:p w14:paraId="05D3F9D6" w14:textId="6387407B" w:rsidR="007F3436" w:rsidRDefault="009E18C0" w:rsidP="007F3436">
      <w:pPr>
        <w:suppressLineNumbers/>
        <w:tabs>
          <w:tab w:val="left" w:pos="2268"/>
          <w:tab w:val="center" w:pos="4252"/>
          <w:tab w:val="right" w:pos="8504"/>
        </w:tabs>
        <w:suppressAutoHyphens/>
        <w:spacing w:after="0" w:line="240" w:lineRule="auto"/>
        <w:ind w:left="2258" w:hanging="2400"/>
        <w:jc w:val="both"/>
        <w:rPr>
          <w:rFonts w:ascii="Arial" w:eastAsia="Times New Roman" w:hAnsi="Arial" w:cs="Arial"/>
          <w:sz w:val="24"/>
          <w:szCs w:val="24"/>
          <w:lang w:eastAsia="ar-SA"/>
        </w:rPr>
      </w:pPr>
      <w:r>
        <w:rPr>
          <w:rFonts w:ascii="Arial" w:eastAsia="Times New Roman" w:hAnsi="Arial" w:cs="Arial"/>
          <w:b/>
          <w:bCs/>
          <w:sz w:val="24"/>
          <w:szCs w:val="24"/>
          <w:lang w:eastAsia="ar-SA"/>
        </w:rPr>
        <w:t xml:space="preserve">  </w:t>
      </w:r>
    </w:p>
    <w:p w14:paraId="2B2F59C0" w14:textId="6EB9AC78" w:rsidR="009E18C0" w:rsidRDefault="009E18C0" w:rsidP="00764C71">
      <w:pPr>
        <w:suppressAutoHyphens/>
        <w:spacing w:after="0" w:line="240" w:lineRule="auto"/>
        <w:jc w:val="both"/>
        <w:rPr>
          <w:rFonts w:ascii="Arial" w:eastAsia="Times New Roman" w:hAnsi="Arial" w:cs="Arial"/>
          <w:sz w:val="24"/>
          <w:szCs w:val="24"/>
          <w:lang w:eastAsia="ar-SA"/>
        </w:rPr>
      </w:pPr>
    </w:p>
    <w:p w14:paraId="69EF1FD6" w14:textId="69A85CAD" w:rsidR="009E18C0" w:rsidRDefault="009E18C0" w:rsidP="00764C71">
      <w:pPr>
        <w:suppressAutoHyphens/>
        <w:spacing w:after="0" w:line="240" w:lineRule="auto"/>
        <w:jc w:val="both"/>
        <w:rPr>
          <w:rFonts w:ascii="Arial" w:eastAsia="Times New Roman" w:hAnsi="Arial" w:cs="Arial"/>
          <w:sz w:val="24"/>
          <w:szCs w:val="24"/>
          <w:lang w:eastAsia="ar-SA"/>
        </w:rPr>
      </w:pPr>
      <w:r w:rsidRPr="009E18C0">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p>
    <w:p w14:paraId="15A54A4F" w14:textId="77777777" w:rsidR="009E18C0" w:rsidRDefault="009E18C0" w:rsidP="00764C71">
      <w:pPr>
        <w:suppressAutoHyphens/>
        <w:spacing w:after="0" w:line="240" w:lineRule="auto"/>
        <w:jc w:val="both"/>
        <w:rPr>
          <w:rFonts w:ascii="Arial" w:eastAsia="Times New Roman" w:hAnsi="Arial" w:cs="Arial"/>
          <w:sz w:val="24"/>
          <w:szCs w:val="24"/>
          <w:lang w:eastAsia="ar-SA"/>
        </w:rPr>
      </w:pPr>
    </w:p>
    <w:p w14:paraId="2A3F2C0D" w14:textId="77777777" w:rsidR="00D34176" w:rsidRDefault="00D34176" w:rsidP="00764C71">
      <w:pPr>
        <w:suppressAutoHyphens/>
        <w:spacing w:after="0" w:line="240" w:lineRule="auto"/>
        <w:jc w:val="both"/>
        <w:rPr>
          <w:rFonts w:ascii="Arial" w:eastAsia="Times New Roman" w:hAnsi="Arial" w:cs="Arial"/>
          <w:sz w:val="24"/>
          <w:szCs w:val="24"/>
          <w:lang w:eastAsia="ar-SA"/>
        </w:rPr>
      </w:pPr>
    </w:p>
    <w:p w14:paraId="5489C56A" w14:textId="77777777" w:rsidR="00D34176" w:rsidRDefault="00D34176" w:rsidP="00764C71">
      <w:pPr>
        <w:suppressAutoHyphens/>
        <w:spacing w:after="0" w:line="240" w:lineRule="auto"/>
        <w:jc w:val="both"/>
        <w:rPr>
          <w:rFonts w:ascii="Arial" w:eastAsia="Times New Roman" w:hAnsi="Arial" w:cs="Arial"/>
          <w:sz w:val="24"/>
          <w:szCs w:val="24"/>
          <w:lang w:eastAsia="ar-SA"/>
        </w:rPr>
      </w:pPr>
    </w:p>
    <w:p w14:paraId="4467536B" w14:textId="77777777" w:rsidR="00D34176" w:rsidRPr="00BF400A" w:rsidRDefault="00D34176" w:rsidP="00764C71">
      <w:pPr>
        <w:suppressAutoHyphens/>
        <w:spacing w:after="0" w:line="240" w:lineRule="auto"/>
        <w:jc w:val="both"/>
        <w:rPr>
          <w:rFonts w:ascii="Arial" w:eastAsia="Times New Roman" w:hAnsi="Arial" w:cs="Arial"/>
          <w:sz w:val="24"/>
          <w:szCs w:val="24"/>
          <w:lang w:eastAsia="ar-SA"/>
        </w:rPr>
      </w:pPr>
    </w:p>
    <w:tbl>
      <w:tblPr>
        <w:tblW w:w="0" w:type="auto"/>
        <w:jc w:val="center"/>
        <w:tblLook w:val="04A0" w:firstRow="1" w:lastRow="0" w:firstColumn="1" w:lastColumn="0" w:noHBand="0" w:noVBand="1"/>
      </w:tblPr>
      <w:tblGrid>
        <w:gridCol w:w="4111"/>
        <w:gridCol w:w="4281"/>
      </w:tblGrid>
      <w:tr w:rsidR="00EB07A2" w:rsidRPr="00EB07A2" w14:paraId="00C7E0B0" w14:textId="77777777" w:rsidTr="00261FF5">
        <w:trPr>
          <w:jc w:val="center"/>
        </w:trPr>
        <w:tc>
          <w:tcPr>
            <w:tcW w:w="4111" w:type="dxa"/>
            <w:shd w:val="clear" w:color="auto" w:fill="auto"/>
          </w:tcPr>
          <w:p w14:paraId="04DC9977" w14:textId="77777777" w:rsidR="00F41AB9" w:rsidRPr="00EB07A2" w:rsidRDefault="00F41AB9"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sidRPr="00EB07A2">
              <w:rPr>
                <w:rFonts w:ascii="Arial" w:eastAsia="Times New Roman" w:hAnsi="Arial" w:cs="Arial"/>
                <w:b/>
                <w:sz w:val="24"/>
                <w:szCs w:val="24"/>
                <w:lang w:eastAsia="ar-SA"/>
              </w:rPr>
              <w:t>___________________________</w:t>
            </w:r>
          </w:p>
          <w:p w14:paraId="531F9FD8" w14:textId="5CB611E7" w:rsidR="00F41AB9" w:rsidRPr="00EB07A2" w:rsidRDefault="00F41AB9"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sidRPr="00EB07A2">
              <w:rPr>
                <w:rFonts w:ascii="Arial" w:eastAsia="Times New Roman" w:hAnsi="Arial" w:cs="Arial"/>
                <w:b/>
                <w:bCs/>
                <w:sz w:val="24"/>
                <w:szCs w:val="24"/>
                <w:lang w:eastAsia="ar-SA"/>
              </w:rPr>
              <w:t xml:space="preserve">Por la </w:t>
            </w:r>
            <w:r w:rsidR="00417796">
              <w:rPr>
                <w:rFonts w:ascii="Arial" w:eastAsia="Times New Roman" w:hAnsi="Arial" w:cs="Arial"/>
                <w:b/>
                <w:bCs/>
                <w:sz w:val="24"/>
                <w:szCs w:val="24"/>
                <w:lang w:eastAsia="ar-SA"/>
              </w:rPr>
              <w:t>d</w:t>
            </w:r>
            <w:r w:rsidRPr="00EB07A2">
              <w:rPr>
                <w:rFonts w:ascii="Arial" w:eastAsia="Times New Roman" w:hAnsi="Arial" w:cs="Arial"/>
                <w:b/>
                <w:bCs/>
                <w:sz w:val="24"/>
                <w:szCs w:val="24"/>
                <w:lang w:eastAsia="ar-SA"/>
              </w:rPr>
              <w:t>elegación de Argentina</w:t>
            </w:r>
          </w:p>
          <w:p w14:paraId="71A4F208" w14:textId="1DF9E719" w:rsidR="009F3583" w:rsidRPr="00417796" w:rsidRDefault="00772229"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sidRPr="00E57864">
              <w:rPr>
                <w:rFonts w:ascii="Arial" w:eastAsia="Times New Roman" w:hAnsi="Arial" w:cs="Arial"/>
                <w:sz w:val="24"/>
                <w:szCs w:val="24"/>
                <w:lang w:eastAsia="ar-SA"/>
              </w:rPr>
              <w:t>Natalia López Uris</w:t>
            </w:r>
          </w:p>
          <w:p w14:paraId="7F43FFFD" w14:textId="77777777" w:rsidR="00F41AB9" w:rsidRPr="00EB07A2" w:rsidRDefault="00F41AB9" w:rsidP="00417796">
            <w:pPr>
              <w:suppressAutoHyphens/>
              <w:spacing w:after="0" w:line="240" w:lineRule="auto"/>
              <w:jc w:val="center"/>
              <w:rPr>
                <w:rFonts w:ascii="Arial" w:eastAsia="Times New Roman" w:hAnsi="Arial" w:cs="Arial"/>
                <w:b/>
                <w:sz w:val="24"/>
                <w:szCs w:val="24"/>
                <w:shd w:val="clear" w:color="auto" w:fill="FFFF00"/>
                <w:lang w:eastAsia="ar-SA"/>
              </w:rPr>
            </w:pPr>
          </w:p>
          <w:p w14:paraId="7848003C" w14:textId="3B431122" w:rsidR="00F41AB9" w:rsidRPr="00EB07A2" w:rsidRDefault="00F41AB9" w:rsidP="00417796">
            <w:pPr>
              <w:suppressAutoHyphens/>
              <w:spacing w:after="0" w:line="240" w:lineRule="auto"/>
              <w:jc w:val="center"/>
              <w:rPr>
                <w:rFonts w:ascii="Arial" w:eastAsia="Times New Roman" w:hAnsi="Arial" w:cs="Arial"/>
                <w:sz w:val="24"/>
                <w:szCs w:val="24"/>
                <w:lang w:eastAsia="ar-SA"/>
              </w:rPr>
            </w:pPr>
          </w:p>
          <w:p w14:paraId="1BF7FBB1" w14:textId="7F062A36" w:rsidR="0026550E" w:rsidRPr="00EB07A2" w:rsidRDefault="0026550E" w:rsidP="00417796">
            <w:pPr>
              <w:suppressAutoHyphens/>
              <w:spacing w:after="0" w:line="240" w:lineRule="auto"/>
              <w:jc w:val="center"/>
              <w:rPr>
                <w:rFonts w:ascii="Arial" w:eastAsia="Times New Roman" w:hAnsi="Arial" w:cs="Arial"/>
                <w:sz w:val="24"/>
                <w:szCs w:val="24"/>
                <w:lang w:eastAsia="ar-SA"/>
              </w:rPr>
            </w:pPr>
          </w:p>
        </w:tc>
        <w:tc>
          <w:tcPr>
            <w:tcW w:w="4281" w:type="dxa"/>
            <w:shd w:val="clear" w:color="auto" w:fill="auto"/>
          </w:tcPr>
          <w:p w14:paraId="137F634F" w14:textId="77777777" w:rsidR="00F41AB9" w:rsidRPr="00EB07A2" w:rsidRDefault="00F41AB9"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sidRPr="00EB07A2">
              <w:rPr>
                <w:rFonts w:ascii="Arial" w:eastAsia="Times New Roman" w:hAnsi="Arial" w:cs="Arial"/>
                <w:b/>
                <w:sz w:val="24"/>
                <w:szCs w:val="24"/>
                <w:lang w:eastAsia="ar-SA"/>
              </w:rPr>
              <w:t>____________________________</w:t>
            </w:r>
          </w:p>
          <w:p w14:paraId="1251A1A3" w14:textId="463BB7D4" w:rsidR="00F41AB9" w:rsidRPr="00EB07A2" w:rsidRDefault="00F41AB9" w:rsidP="00417796">
            <w:pPr>
              <w:suppressLineNumbers/>
              <w:tabs>
                <w:tab w:val="center" w:pos="4252"/>
                <w:tab w:val="right" w:pos="8504"/>
              </w:tabs>
              <w:suppressAutoHyphens/>
              <w:spacing w:after="0" w:line="240" w:lineRule="auto"/>
              <w:jc w:val="center"/>
              <w:rPr>
                <w:rFonts w:ascii="Arial" w:eastAsia="Times New Roman" w:hAnsi="Arial" w:cs="Arial"/>
                <w:b/>
                <w:bCs/>
                <w:sz w:val="24"/>
                <w:szCs w:val="24"/>
                <w:lang w:eastAsia="ar-SA"/>
              </w:rPr>
            </w:pPr>
            <w:r w:rsidRPr="00EB07A2">
              <w:rPr>
                <w:rFonts w:ascii="Arial" w:eastAsia="Times New Roman" w:hAnsi="Arial" w:cs="Arial"/>
                <w:b/>
                <w:bCs/>
                <w:sz w:val="24"/>
                <w:szCs w:val="24"/>
                <w:lang w:eastAsia="ar-SA"/>
              </w:rPr>
              <w:t xml:space="preserve">Por la </w:t>
            </w:r>
            <w:r w:rsidR="00417796">
              <w:rPr>
                <w:rFonts w:ascii="Arial" w:eastAsia="Times New Roman" w:hAnsi="Arial" w:cs="Arial"/>
                <w:b/>
                <w:bCs/>
                <w:sz w:val="24"/>
                <w:szCs w:val="24"/>
                <w:lang w:eastAsia="ar-SA"/>
              </w:rPr>
              <w:t>d</w:t>
            </w:r>
            <w:r w:rsidRPr="00EB07A2">
              <w:rPr>
                <w:rFonts w:ascii="Arial" w:eastAsia="Times New Roman" w:hAnsi="Arial" w:cs="Arial"/>
                <w:b/>
                <w:bCs/>
                <w:sz w:val="24"/>
                <w:szCs w:val="24"/>
                <w:lang w:eastAsia="ar-SA"/>
              </w:rPr>
              <w:t>elegación de B</w:t>
            </w:r>
            <w:r w:rsidR="009B4D3E" w:rsidRPr="00EB07A2">
              <w:rPr>
                <w:rFonts w:ascii="Arial" w:eastAsia="Times New Roman" w:hAnsi="Arial" w:cs="Arial"/>
                <w:b/>
                <w:bCs/>
                <w:sz w:val="24"/>
                <w:szCs w:val="24"/>
                <w:lang w:eastAsia="ar-SA"/>
              </w:rPr>
              <w:t>olivia</w:t>
            </w:r>
          </w:p>
          <w:p w14:paraId="529D8A1A" w14:textId="33B99585" w:rsidR="007E474B" w:rsidRPr="00EB07A2" w:rsidRDefault="007412E1"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Ronald Iván Gonzales Romero</w:t>
            </w:r>
          </w:p>
        </w:tc>
      </w:tr>
      <w:tr w:rsidR="00EB07A2" w:rsidRPr="00EB07A2" w14:paraId="6F0339DD" w14:textId="77777777" w:rsidTr="00261FF5">
        <w:trPr>
          <w:jc w:val="center"/>
        </w:trPr>
        <w:tc>
          <w:tcPr>
            <w:tcW w:w="4111" w:type="dxa"/>
            <w:shd w:val="clear" w:color="auto" w:fill="auto"/>
          </w:tcPr>
          <w:p w14:paraId="0F03803B" w14:textId="77777777" w:rsidR="00F41AB9" w:rsidRPr="00EB07A2" w:rsidRDefault="00F41AB9"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sidRPr="00EB07A2">
              <w:rPr>
                <w:rFonts w:ascii="Arial" w:eastAsia="Times New Roman" w:hAnsi="Arial" w:cs="Arial"/>
                <w:b/>
                <w:sz w:val="24"/>
                <w:szCs w:val="24"/>
                <w:lang w:eastAsia="ar-SA"/>
              </w:rPr>
              <w:t>_________________________</w:t>
            </w:r>
          </w:p>
          <w:p w14:paraId="145B0512" w14:textId="7F016972" w:rsidR="00F41AB9" w:rsidRPr="00EB07A2" w:rsidRDefault="00F41AB9" w:rsidP="00417796">
            <w:pPr>
              <w:suppressLineNumbers/>
              <w:tabs>
                <w:tab w:val="center" w:pos="4252"/>
                <w:tab w:val="right" w:pos="8504"/>
              </w:tabs>
              <w:suppressAutoHyphens/>
              <w:spacing w:after="0" w:line="240" w:lineRule="auto"/>
              <w:jc w:val="center"/>
              <w:rPr>
                <w:rFonts w:ascii="Arial" w:eastAsia="Times New Roman" w:hAnsi="Arial" w:cs="Arial"/>
                <w:b/>
                <w:bCs/>
                <w:sz w:val="24"/>
                <w:szCs w:val="24"/>
                <w:lang w:eastAsia="ar-SA"/>
              </w:rPr>
            </w:pPr>
            <w:r w:rsidRPr="00EB07A2">
              <w:rPr>
                <w:rFonts w:ascii="Arial" w:eastAsia="Times New Roman" w:hAnsi="Arial" w:cs="Arial"/>
                <w:b/>
                <w:bCs/>
                <w:sz w:val="24"/>
                <w:szCs w:val="24"/>
                <w:lang w:eastAsia="ar-SA"/>
              </w:rPr>
              <w:t xml:space="preserve">Por la </w:t>
            </w:r>
            <w:r w:rsidR="00417796">
              <w:rPr>
                <w:rFonts w:ascii="Arial" w:eastAsia="Times New Roman" w:hAnsi="Arial" w:cs="Arial"/>
                <w:b/>
                <w:bCs/>
                <w:sz w:val="24"/>
                <w:szCs w:val="24"/>
                <w:lang w:eastAsia="ar-SA"/>
              </w:rPr>
              <w:t>d</w:t>
            </w:r>
            <w:r w:rsidRPr="00EB07A2">
              <w:rPr>
                <w:rFonts w:ascii="Arial" w:eastAsia="Times New Roman" w:hAnsi="Arial" w:cs="Arial"/>
                <w:b/>
                <w:bCs/>
                <w:sz w:val="24"/>
                <w:szCs w:val="24"/>
                <w:lang w:eastAsia="ar-SA"/>
              </w:rPr>
              <w:t xml:space="preserve">elegación de </w:t>
            </w:r>
            <w:r w:rsidR="009E4811" w:rsidRPr="00EB07A2">
              <w:rPr>
                <w:rFonts w:ascii="Arial" w:eastAsia="Times New Roman" w:hAnsi="Arial" w:cs="Arial"/>
                <w:b/>
                <w:bCs/>
                <w:sz w:val="24"/>
                <w:szCs w:val="24"/>
                <w:lang w:eastAsia="ar-SA"/>
              </w:rPr>
              <w:t>Brasil</w:t>
            </w:r>
          </w:p>
          <w:p w14:paraId="2174971A" w14:textId="2EB49FA0" w:rsidR="00F41AB9" w:rsidRPr="00417796" w:rsidRDefault="005C4A6C"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sidRPr="00E57864">
              <w:rPr>
                <w:rFonts w:ascii="Arial" w:eastAsia="Times New Roman" w:hAnsi="Arial" w:cs="Arial"/>
                <w:sz w:val="24"/>
                <w:szCs w:val="24"/>
                <w:lang w:eastAsia="ar-SA"/>
              </w:rPr>
              <w:t xml:space="preserve">Rodrigo de Borobia Pires </w:t>
            </w:r>
            <w:r w:rsidR="00A91F7C" w:rsidRPr="00E57864">
              <w:rPr>
                <w:rFonts w:ascii="Arial" w:eastAsia="Times New Roman" w:hAnsi="Arial" w:cs="Arial"/>
                <w:sz w:val="24"/>
                <w:szCs w:val="24"/>
                <w:lang w:eastAsia="ar-SA"/>
              </w:rPr>
              <w:t>G.</w:t>
            </w:r>
          </w:p>
          <w:p w14:paraId="38458BCD" w14:textId="77777777" w:rsidR="00261FF5" w:rsidRDefault="00261FF5" w:rsidP="00417796">
            <w:pPr>
              <w:suppressLineNumbers/>
              <w:tabs>
                <w:tab w:val="right" w:pos="8504"/>
              </w:tabs>
              <w:suppressAutoHyphens/>
              <w:spacing w:after="0" w:line="240" w:lineRule="auto"/>
              <w:jc w:val="center"/>
              <w:rPr>
                <w:rFonts w:ascii="Arial" w:eastAsia="Times New Roman" w:hAnsi="Arial" w:cs="Arial"/>
                <w:sz w:val="24"/>
                <w:szCs w:val="24"/>
                <w:lang w:eastAsia="ar-SA"/>
              </w:rPr>
            </w:pPr>
          </w:p>
          <w:p w14:paraId="0568F0BC" w14:textId="77777777" w:rsidR="00D23760" w:rsidRDefault="00D23760" w:rsidP="00417796">
            <w:pPr>
              <w:suppressLineNumbers/>
              <w:tabs>
                <w:tab w:val="right" w:pos="8504"/>
              </w:tabs>
              <w:suppressAutoHyphens/>
              <w:spacing w:after="0" w:line="240" w:lineRule="auto"/>
              <w:jc w:val="center"/>
              <w:rPr>
                <w:rFonts w:ascii="Arial" w:eastAsia="Times New Roman" w:hAnsi="Arial" w:cs="Arial"/>
                <w:sz w:val="24"/>
                <w:szCs w:val="24"/>
                <w:lang w:eastAsia="ar-SA"/>
              </w:rPr>
            </w:pPr>
          </w:p>
          <w:p w14:paraId="200F8797" w14:textId="29FA6106" w:rsidR="00D23760" w:rsidRPr="00EB07A2" w:rsidRDefault="00D23760" w:rsidP="00417796">
            <w:pPr>
              <w:suppressLineNumbers/>
              <w:tabs>
                <w:tab w:val="right" w:pos="8504"/>
              </w:tabs>
              <w:suppressAutoHyphens/>
              <w:spacing w:after="0" w:line="240" w:lineRule="auto"/>
              <w:jc w:val="center"/>
              <w:rPr>
                <w:rFonts w:ascii="Arial" w:eastAsia="Times New Roman" w:hAnsi="Arial" w:cs="Arial"/>
                <w:sz w:val="24"/>
                <w:szCs w:val="24"/>
                <w:lang w:eastAsia="ar-SA"/>
              </w:rPr>
            </w:pPr>
          </w:p>
        </w:tc>
        <w:tc>
          <w:tcPr>
            <w:tcW w:w="4281" w:type="dxa"/>
            <w:shd w:val="clear" w:color="auto" w:fill="auto"/>
          </w:tcPr>
          <w:p w14:paraId="0ED17A89" w14:textId="77777777" w:rsidR="00F41AB9" w:rsidRPr="00EB07A2" w:rsidRDefault="00F41AB9" w:rsidP="00417796">
            <w:pPr>
              <w:suppressLineNumbers/>
              <w:tabs>
                <w:tab w:val="center" w:pos="4252"/>
                <w:tab w:val="right" w:pos="8504"/>
              </w:tabs>
              <w:suppressAutoHyphens/>
              <w:spacing w:after="0" w:line="240" w:lineRule="auto"/>
              <w:jc w:val="center"/>
              <w:rPr>
                <w:rFonts w:ascii="Arial" w:eastAsia="Times New Roman" w:hAnsi="Arial" w:cs="Arial"/>
                <w:b/>
                <w:sz w:val="24"/>
                <w:szCs w:val="24"/>
                <w:lang w:eastAsia="ar-SA"/>
              </w:rPr>
            </w:pPr>
            <w:r w:rsidRPr="00EB07A2">
              <w:rPr>
                <w:rFonts w:ascii="Arial" w:eastAsia="Times New Roman" w:hAnsi="Arial" w:cs="Arial"/>
                <w:b/>
                <w:sz w:val="24"/>
                <w:szCs w:val="24"/>
                <w:lang w:eastAsia="ar-SA"/>
              </w:rPr>
              <w:t>_________________________</w:t>
            </w:r>
          </w:p>
          <w:p w14:paraId="1CDB0A1E" w14:textId="5FDD00D2" w:rsidR="00F41AB9" w:rsidRPr="00EB07A2" w:rsidRDefault="00F41AB9" w:rsidP="00417796">
            <w:pPr>
              <w:suppressLineNumbers/>
              <w:tabs>
                <w:tab w:val="center" w:pos="4252"/>
                <w:tab w:val="right" w:pos="8504"/>
              </w:tabs>
              <w:suppressAutoHyphens/>
              <w:spacing w:after="0" w:line="240" w:lineRule="auto"/>
              <w:jc w:val="center"/>
              <w:rPr>
                <w:rFonts w:ascii="Arial" w:eastAsia="Times New Roman" w:hAnsi="Arial" w:cs="Arial"/>
                <w:b/>
                <w:bCs/>
                <w:sz w:val="24"/>
                <w:szCs w:val="24"/>
                <w:lang w:eastAsia="ar-SA"/>
              </w:rPr>
            </w:pPr>
            <w:r w:rsidRPr="00EB07A2">
              <w:rPr>
                <w:rFonts w:ascii="Arial" w:eastAsia="Times New Roman" w:hAnsi="Arial" w:cs="Arial"/>
                <w:b/>
                <w:bCs/>
                <w:sz w:val="24"/>
                <w:szCs w:val="24"/>
                <w:lang w:eastAsia="ar-SA"/>
              </w:rPr>
              <w:t xml:space="preserve">Por la </w:t>
            </w:r>
            <w:r w:rsidR="00417796">
              <w:rPr>
                <w:rFonts w:ascii="Arial" w:eastAsia="Times New Roman" w:hAnsi="Arial" w:cs="Arial"/>
                <w:b/>
                <w:bCs/>
                <w:sz w:val="24"/>
                <w:szCs w:val="24"/>
                <w:lang w:eastAsia="ar-SA"/>
              </w:rPr>
              <w:t>d</w:t>
            </w:r>
            <w:r w:rsidRPr="00EB07A2">
              <w:rPr>
                <w:rFonts w:ascii="Arial" w:eastAsia="Times New Roman" w:hAnsi="Arial" w:cs="Arial"/>
                <w:b/>
                <w:bCs/>
                <w:sz w:val="24"/>
                <w:szCs w:val="24"/>
                <w:lang w:eastAsia="ar-SA"/>
              </w:rPr>
              <w:t xml:space="preserve">elegación de </w:t>
            </w:r>
            <w:r w:rsidR="003567D2" w:rsidRPr="00EB07A2">
              <w:rPr>
                <w:rFonts w:ascii="Arial" w:eastAsia="Times New Roman" w:hAnsi="Arial" w:cs="Arial"/>
                <w:b/>
                <w:bCs/>
                <w:sz w:val="24"/>
                <w:szCs w:val="24"/>
                <w:lang w:eastAsia="ar-SA"/>
              </w:rPr>
              <w:t>Para</w:t>
            </w:r>
            <w:r w:rsidRPr="00EB07A2">
              <w:rPr>
                <w:rFonts w:ascii="Arial" w:eastAsia="Times New Roman" w:hAnsi="Arial" w:cs="Arial"/>
                <w:b/>
                <w:bCs/>
                <w:sz w:val="24"/>
                <w:szCs w:val="24"/>
                <w:lang w:eastAsia="ar-SA"/>
              </w:rPr>
              <w:t>guay</w:t>
            </w:r>
          </w:p>
          <w:p w14:paraId="32DD4DED" w14:textId="1C67C0F2" w:rsidR="009F3583" w:rsidRPr="00417796" w:rsidRDefault="000C6890"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Hugo</w:t>
            </w:r>
            <w:r w:rsidR="00E57864">
              <w:rPr>
                <w:rFonts w:ascii="Arial" w:eastAsia="Times New Roman" w:hAnsi="Arial" w:cs="Arial"/>
                <w:sz w:val="24"/>
                <w:szCs w:val="24"/>
                <w:lang w:eastAsia="ar-SA"/>
              </w:rPr>
              <w:t xml:space="preserve"> Francisco Servían Ramírez</w:t>
            </w:r>
          </w:p>
        </w:tc>
      </w:tr>
      <w:tr w:rsidR="00A13B77" w:rsidRPr="00E57864" w14:paraId="710A73CC" w14:textId="77777777" w:rsidTr="00261FF5">
        <w:trPr>
          <w:jc w:val="center"/>
        </w:trPr>
        <w:tc>
          <w:tcPr>
            <w:tcW w:w="4111" w:type="dxa"/>
            <w:shd w:val="clear" w:color="auto" w:fill="auto"/>
          </w:tcPr>
          <w:p w14:paraId="7A3E1990" w14:textId="77777777" w:rsidR="00A13B77" w:rsidRPr="00E57864" w:rsidRDefault="00A13B77" w:rsidP="00417796">
            <w:pPr>
              <w:suppressLineNumbers/>
              <w:tabs>
                <w:tab w:val="center" w:pos="4252"/>
                <w:tab w:val="right" w:pos="8504"/>
              </w:tabs>
              <w:suppressAutoHyphens/>
              <w:spacing w:after="0" w:line="240" w:lineRule="auto"/>
              <w:jc w:val="center"/>
              <w:rPr>
                <w:rFonts w:ascii="Arial" w:eastAsia="Times New Roman" w:hAnsi="Arial" w:cs="Arial"/>
                <w:b/>
                <w:sz w:val="24"/>
                <w:szCs w:val="24"/>
                <w:lang w:eastAsia="ar-SA"/>
              </w:rPr>
            </w:pPr>
            <w:r w:rsidRPr="00E57864">
              <w:rPr>
                <w:rFonts w:ascii="Arial" w:eastAsia="Times New Roman" w:hAnsi="Arial" w:cs="Arial"/>
                <w:b/>
                <w:sz w:val="24"/>
                <w:szCs w:val="24"/>
                <w:lang w:eastAsia="ar-SA"/>
              </w:rPr>
              <w:t>_________________________</w:t>
            </w:r>
          </w:p>
          <w:p w14:paraId="6B8F9C9B" w14:textId="054C5719" w:rsidR="00A13B77" w:rsidRPr="00E57864" w:rsidRDefault="00A13B77" w:rsidP="00417796">
            <w:pPr>
              <w:suppressLineNumbers/>
              <w:tabs>
                <w:tab w:val="center" w:pos="4252"/>
                <w:tab w:val="right" w:pos="8504"/>
              </w:tabs>
              <w:suppressAutoHyphens/>
              <w:spacing w:after="0" w:line="240" w:lineRule="auto"/>
              <w:jc w:val="center"/>
              <w:rPr>
                <w:rFonts w:ascii="Arial" w:eastAsia="Times New Roman" w:hAnsi="Arial" w:cs="Arial"/>
                <w:b/>
                <w:bCs/>
                <w:sz w:val="24"/>
                <w:szCs w:val="24"/>
                <w:lang w:eastAsia="ar-SA"/>
              </w:rPr>
            </w:pPr>
            <w:r w:rsidRPr="00E57864">
              <w:rPr>
                <w:rFonts w:ascii="Arial" w:eastAsia="Times New Roman" w:hAnsi="Arial" w:cs="Arial"/>
                <w:b/>
                <w:bCs/>
                <w:sz w:val="24"/>
                <w:szCs w:val="24"/>
                <w:lang w:eastAsia="ar-SA"/>
              </w:rPr>
              <w:t xml:space="preserve">Por la </w:t>
            </w:r>
            <w:r w:rsidR="00417796" w:rsidRPr="00E57864">
              <w:rPr>
                <w:rFonts w:ascii="Arial" w:eastAsia="Times New Roman" w:hAnsi="Arial" w:cs="Arial"/>
                <w:b/>
                <w:bCs/>
                <w:sz w:val="24"/>
                <w:szCs w:val="24"/>
                <w:lang w:eastAsia="ar-SA"/>
              </w:rPr>
              <w:t>d</w:t>
            </w:r>
            <w:r w:rsidRPr="00E57864">
              <w:rPr>
                <w:rFonts w:ascii="Arial" w:eastAsia="Times New Roman" w:hAnsi="Arial" w:cs="Arial"/>
                <w:b/>
                <w:bCs/>
                <w:sz w:val="24"/>
                <w:szCs w:val="24"/>
                <w:lang w:eastAsia="ar-SA"/>
              </w:rPr>
              <w:t>elegación de Uruguay</w:t>
            </w:r>
          </w:p>
          <w:p w14:paraId="194370C5" w14:textId="180F05B5" w:rsidR="00772229" w:rsidRPr="00E57864" w:rsidRDefault="00772229" w:rsidP="00417796">
            <w:pPr>
              <w:suppressLineNumbers/>
              <w:tabs>
                <w:tab w:val="center" w:pos="4252"/>
                <w:tab w:val="right" w:pos="8504"/>
              </w:tabs>
              <w:suppressAutoHyphens/>
              <w:spacing w:after="0" w:line="240" w:lineRule="auto"/>
              <w:jc w:val="center"/>
              <w:rPr>
                <w:rFonts w:ascii="Arial" w:eastAsia="Times New Roman" w:hAnsi="Arial" w:cs="Arial"/>
                <w:sz w:val="24"/>
                <w:szCs w:val="24"/>
                <w:lang w:eastAsia="ar-SA"/>
              </w:rPr>
            </w:pPr>
            <w:r w:rsidRPr="00E57864">
              <w:rPr>
                <w:rFonts w:ascii="Arial" w:eastAsia="Times New Roman" w:hAnsi="Arial" w:cs="Arial"/>
                <w:sz w:val="24"/>
                <w:szCs w:val="24"/>
                <w:lang w:eastAsia="ar-SA"/>
              </w:rPr>
              <w:t>Sofía Garófalo</w:t>
            </w:r>
          </w:p>
        </w:tc>
        <w:tc>
          <w:tcPr>
            <w:tcW w:w="4281" w:type="dxa"/>
            <w:shd w:val="clear" w:color="auto" w:fill="auto"/>
          </w:tcPr>
          <w:p w14:paraId="4B4A00B8" w14:textId="77777777" w:rsidR="00A13B77" w:rsidRPr="00E57864" w:rsidRDefault="00A13B77" w:rsidP="00A13B77">
            <w:pPr>
              <w:suppressLineNumbers/>
              <w:tabs>
                <w:tab w:val="center" w:pos="4252"/>
                <w:tab w:val="right" w:pos="8504"/>
              </w:tabs>
              <w:suppressAutoHyphens/>
              <w:spacing w:after="0" w:line="240" w:lineRule="auto"/>
              <w:jc w:val="both"/>
              <w:rPr>
                <w:rFonts w:ascii="Arial" w:eastAsia="Times New Roman" w:hAnsi="Arial" w:cs="Arial"/>
                <w:b/>
                <w:sz w:val="24"/>
                <w:szCs w:val="24"/>
                <w:lang w:eastAsia="ar-SA"/>
              </w:rPr>
            </w:pPr>
          </w:p>
        </w:tc>
      </w:tr>
    </w:tbl>
    <w:p w14:paraId="6A06E9E5" w14:textId="77777777" w:rsidR="00F41AB9" w:rsidRPr="00EB07A2" w:rsidRDefault="00F41AB9" w:rsidP="00764C71">
      <w:pPr>
        <w:suppressAutoHyphens/>
        <w:spacing w:after="0" w:line="240" w:lineRule="auto"/>
        <w:jc w:val="both"/>
        <w:rPr>
          <w:rFonts w:ascii="Arial" w:hAnsi="Arial" w:cs="Arial"/>
          <w:sz w:val="24"/>
          <w:szCs w:val="24"/>
        </w:rPr>
      </w:pPr>
    </w:p>
    <w:sectPr w:rsidR="00F41AB9" w:rsidRPr="00EB07A2" w:rsidSect="00A90AA9">
      <w:footerReference w:type="default" r:id="rId10"/>
      <w:headerReference w:type="first" r:id="rId11"/>
      <w:footerReference w:type="first" r:id="rId12"/>
      <w:pgSz w:w="11906" w:h="16838"/>
      <w:pgMar w:top="1276" w:right="1701" w:bottom="709" w:left="1701"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D79C" w14:textId="77777777" w:rsidR="00B230DD" w:rsidRDefault="00B230DD" w:rsidP="00F41AB9">
      <w:pPr>
        <w:spacing w:after="0" w:line="240" w:lineRule="auto"/>
      </w:pPr>
      <w:r>
        <w:separator/>
      </w:r>
    </w:p>
  </w:endnote>
  <w:endnote w:type="continuationSeparator" w:id="0">
    <w:p w14:paraId="162AFA60" w14:textId="77777777" w:rsidR="00B230DD" w:rsidRDefault="00B230DD" w:rsidP="00F4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49041"/>
      <w:docPartObj>
        <w:docPartGallery w:val="Page Numbers (Bottom of Page)"/>
        <w:docPartUnique/>
      </w:docPartObj>
    </w:sdtPr>
    <w:sdtContent>
      <w:p w14:paraId="33D99F8C" w14:textId="4CA429ED" w:rsidR="00BD192C" w:rsidRDefault="00BD192C">
        <w:pPr>
          <w:pStyle w:val="Piedepgina"/>
          <w:jc w:val="right"/>
        </w:pPr>
        <w:r>
          <w:fldChar w:fldCharType="begin"/>
        </w:r>
        <w:r>
          <w:instrText>PAGE   \* MERGEFORMAT</w:instrText>
        </w:r>
        <w:r>
          <w:fldChar w:fldCharType="separate"/>
        </w:r>
        <w:r w:rsidR="008827E1" w:rsidRPr="008827E1">
          <w:rPr>
            <w:noProof/>
            <w:lang w:val="es-ES"/>
          </w:rPr>
          <w:t>2</w:t>
        </w:r>
        <w:r>
          <w:fldChar w:fldCharType="end"/>
        </w:r>
      </w:p>
    </w:sdtContent>
  </w:sdt>
  <w:p w14:paraId="6B4FD0AC" w14:textId="77777777" w:rsidR="00F41AB9" w:rsidRDefault="00F41A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0231"/>
      <w:docPartObj>
        <w:docPartGallery w:val="Page Numbers (Bottom of Page)"/>
        <w:docPartUnique/>
      </w:docPartObj>
    </w:sdtPr>
    <w:sdtContent>
      <w:p w14:paraId="728845E5" w14:textId="1224EDB0" w:rsidR="00261FF5" w:rsidRDefault="00261FF5">
        <w:pPr>
          <w:pStyle w:val="Piedepgina"/>
          <w:jc w:val="right"/>
        </w:pPr>
        <w:r>
          <w:fldChar w:fldCharType="begin"/>
        </w:r>
        <w:r>
          <w:instrText>PAGE   \* MERGEFORMAT</w:instrText>
        </w:r>
        <w:r>
          <w:fldChar w:fldCharType="separate"/>
        </w:r>
        <w:r w:rsidR="008827E1" w:rsidRPr="008827E1">
          <w:rPr>
            <w:noProof/>
            <w:lang w:val="es-ES"/>
          </w:rPr>
          <w:t>1</w:t>
        </w:r>
        <w:r>
          <w:fldChar w:fldCharType="end"/>
        </w:r>
      </w:p>
    </w:sdtContent>
  </w:sdt>
  <w:p w14:paraId="6062F621" w14:textId="77777777" w:rsidR="00BD192C" w:rsidRDefault="00BD19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816B" w14:textId="77777777" w:rsidR="00B230DD" w:rsidRDefault="00B230DD" w:rsidP="00F41AB9">
      <w:pPr>
        <w:spacing w:after="0" w:line="240" w:lineRule="auto"/>
      </w:pPr>
      <w:r>
        <w:separator/>
      </w:r>
    </w:p>
  </w:footnote>
  <w:footnote w:type="continuationSeparator" w:id="0">
    <w:p w14:paraId="34998963" w14:textId="77777777" w:rsidR="00B230DD" w:rsidRDefault="00B230DD" w:rsidP="00F41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4700" w14:textId="40FA475F" w:rsidR="0026550E" w:rsidRPr="00A90AA9" w:rsidRDefault="00862D20" w:rsidP="007F71E2">
    <w:pPr>
      <w:suppressAutoHyphens/>
      <w:spacing w:after="0" w:line="240" w:lineRule="auto"/>
      <w:jc w:val="both"/>
      <w:rPr>
        <w:sz w:val="20"/>
        <w:szCs w:val="20"/>
        <w:lang w:val="pt-BR"/>
      </w:rPr>
    </w:pPr>
    <w:r>
      <w:rPr>
        <w:rFonts w:ascii="Arial" w:eastAsia="Times New Roman" w:hAnsi="Arial" w:cs="Arial"/>
        <w:sz w:val="24"/>
        <w:szCs w:val="24"/>
        <w:lang w:val="pt-BR"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283"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753C59"/>
    <w:multiLevelType w:val="hybridMultilevel"/>
    <w:tmpl w:val="2678507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AB86B2D"/>
    <w:multiLevelType w:val="hybridMultilevel"/>
    <w:tmpl w:val="AC7A5052"/>
    <w:lvl w:ilvl="0" w:tplc="DCB476E2">
      <w:start w:val="1"/>
      <w:numFmt w:val="decimal"/>
      <w:lvlText w:val="%1."/>
      <w:lvlJc w:val="left"/>
      <w:pPr>
        <w:ind w:left="720" w:hanging="360"/>
      </w:pPr>
      <w:rPr>
        <w:rFonts w:ascii="Arial" w:eastAsiaTheme="minorHAnsi" w:hAnsi="Arial" w:cs="Arial" w:hint="default"/>
        <w:b/>
        <w:bCs/>
        <w:sz w:val="24"/>
        <w:szCs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61D8689E"/>
    <w:multiLevelType w:val="hybridMultilevel"/>
    <w:tmpl w:val="D472A590"/>
    <w:lvl w:ilvl="0" w:tplc="0908D4B2">
      <w:start w:val="1"/>
      <w:numFmt w:val="decimal"/>
      <w:suff w:val="space"/>
      <w:lvlText w:val="%1."/>
      <w:lvlJc w:val="left"/>
      <w:rPr>
        <w:rFonts w:ascii="Arial" w:eastAsia="Arial" w:hAnsi="Arial" w:cs="Arial" w:hint="default"/>
        <w:b/>
        <w:bCs/>
        <w:spacing w:val="130"/>
        <w:w w:val="105"/>
        <w:sz w:val="24"/>
      </w:rPr>
    </w:lvl>
    <w:lvl w:ilvl="1" w:tplc="8B12CFF4">
      <w:start w:val="1"/>
      <w:numFmt w:val="bullet"/>
      <w:lvlText w:val="•"/>
      <w:lvlJc w:val="left"/>
      <w:pPr>
        <w:ind w:left="2258" w:hanging="420"/>
      </w:pPr>
    </w:lvl>
    <w:lvl w:ilvl="2" w:tplc="585E73CA">
      <w:start w:val="1"/>
      <w:numFmt w:val="bullet"/>
      <w:lvlText w:val="•"/>
      <w:lvlJc w:val="left"/>
      <w:pPr>
        <w:ind w:left="2678" w:hanging="420"/>
      </w:pPr>
    </w:lvl>
    <w:lvl w:ilvl="3" w:tplc="921E3338">
      <w:start w:val="1"/>
      <w:numFmt w:val="bullet"/>
      <w:lvlText w:val="•"/>
      <w:lvlJc w:val="left"/>
      <w:pPr>
        <w:ind w:left="3098" w:hanging="420"/>
      </w:pPr>
    </w:lvl>
    <w:lvl w:ilvl="4" w:tplc="424A9ACE">
      <w:start w:val="1"/>
      <w:numFmt w:val="bullet"/>
      <w:lvlText w:val="•"/>
      <w:lvlJc w:val="left"/>
      <w:pPr>
        <w:ind w:left="3518" w:hanging="420"/>
      </w:pPr>
    </w:lvl>
    <w:lvl w:ilvl="5" w:tplc="4B7076CC">
      <w:start w:val="1"/>
      <w:numFmt w:val="bullet"/>
      <w:lvlText w:val="•"/>
      <w:lvlJc w:val="left"/>
      <w:pPr>
        <w:ind w:left="3938" w:hanging="420"/>
      </w:pPr>
    </w:lvl>
    <w:lvl w:ilvl="6" w:tplc="E3D86C80">
      <w:start w:val="1"/>
      <w:numFmt w:val="bullet"/>
      <w:lvlText w:val="•"/>
      <w:lvlJc w:val="left"/>
      <w:pPr>
        <w:ind w:left="4358" w:hanging="420"/>
      </w:pPr>
    </w:lvl>
    <w:lvl w:ilvl="7" w:tplc="DE609910">
      <w:start w:val="1"/>
      <w:numFmt w:val="bullet"/>
      <w:lvlText w:val="•"/>
      <w:lvlJc w:val="left"/>
      <w:pPr>
        <w:ind w:left="4778" w:hanging="420"/>
      </w:pPr>
    </w:lvl>
    <w:lvl w:ilvl="8" w:tplc="621C5CC6">
      <w:start w:val="1"/>
      <w:numFmt w:val="bullet"/>
      <w:lvlText w:val="•"/>
      <w:lvlJc w:val="left"/>
      <w:pPr>
        <w:ind w:left="5198" w:hanging="420"/>
      </w:pPr>
    </w:lvl>
  </w:abstractNum>
  <w:num w:numId="1" w16cid:durableId="1106775052">
    <w:abstractNumId w:val="0"/>
  </w:num>
  <w:num w:numId="2" w16cid:durableId="1481144575">
    <w:abstractNumId w:val="1"/>
  </w:num>
  <w:num w:numId="3" w16cid:durableId="1323197117">
    <w:abstractNumId w:val="2"/>
  </w:num>
  <w:num w:numId="4" w16cid:durableId="2121490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B9"/>
    <w:rsid w:val="00024E72"/>
    <w:rsid w:val="00026E3D"/>
    <w:rsid w:val="00041885"/>
    <w:rsid w:val="000433B6"/>
    <w:rsid w:val="00066D67"/>
    <w:rsid w:val="00077075"/>
    <w:rsid w:val="000953F1"/>
    <w:rsid w:val="000A2248"/>
    <w:rsid w:val="000C06DC"/>
    <w:rsid w:val="000C6890"/>
    <w:rsid w:val="000D5DE1"/>
    <w:rsid w:val="000E020C"/>
    <w:rsid w:val="000E173E"/>
    <w:rsid w:val="000F7D27"/>
    <w:rsid w:val="001031E8"/>
    <w:rsid w:val="00123F0C"/>
    <w:rsid w:val="00125C17"/>
    <w:rsid w:val="001649D5"/>
    <w:rsid w:val="00170EB1"/>
    <w:rsid w:val="001713D1"/>
    <w:rsid w:val="00185982"/>
    <w:rsid w:val="0018674F"/>
    <w:rsid w:val="001B2AC8"/>
    <w:rsid w:val="001B6B3C"/>
    <w:rsid w:val="001C71B5"/>
    <w:rsid w:val="001E390E"/>
    <w:rsid w:val="001F51DF"/>
    <w:rsid w:val="001F6FA3"/>
    <w:rsid w:val="00227A43"/>
    <w:rsid w:val="0023286E"/>
    <w:rsid w:val="0025404B"/>
    <w:rsid w:val="00261FF5"/>
    <w:rsid w:val="0026550E"/>
    <w:rsid w:val="00294A2D"/>
    <w:rsid w:val="00295345"/>
    <w:rsid w:val="002A6728"/>
    <w:rsid w:val="002B36EE"/>
    <w:rsid w:val="00317FAD"/>
    <w:rsid w:val="003232CD"/>
    <w:rsid w:val="00323C09"/>
    <w:rsid w:val="0033282C"/>
    <w:rsid w:val="003378F0"/>
    <w:rsid w:val="003545DB"/>
    <w:rsid w:val="003567D2"/>
    <w:rsid w:val="0036482A"/>
    <w:rsid w:val="0039192C"/>
    <w:rsid w:val="003A60DD"/>
    <w:rsid w:val="003A6CFD"/>
    <w:rsid w:val="003B47F5"/>
    <w:rsid w:val="003D0CBB"/>
    <w:rsid w:val="003D17FE"/>
    <w:rsid w:val="003D3A1E"/>
    <w:rsid w:val="003F140C"/>
    <w:rsid w:val="00403C05"/>
    <w:rsid w:val="00417796"/>
    <w:rsid w:val="00421261"/>
    <w:rsid w:val="00425054"/>
    <w:rsid w:val="0042705F"/>
    <w:rsid w:val="00431E7D"/>
    <w:rsid w:val="00432874"/>
    <w:rsid w:val="00434F22"/>
    <w:rsid w:val="00435B0C"/>
    <w:rsid w:val="0044598F"/>
    <w:rsid w:val="004514A6"/>
    <w:rsid w:val="00457EA0"/>
    <w:rsid w:val="004967C8"/>
    <w:rsid w:val="004A36BE"/>
    <w:rsid w:val="004B2249"/>
    <w:rsid w:val="004C0871"/>
    <w:rsid w:val="004C4AAB"/>
    <w:rsid w:val="004D1DFD"/>
    <w:rsid w:val="005204B7"/>
    <w:rsid w:val="005376C0"/>
    <w:rsid w:val="00540AC3"/>
    <w:rsid w:val="00547DD7"/>
    <w:rsid w:val="00550FA4"/>
    <w:rsid w:val="0056136E"/>
    <w:rsid w:val="00565012"/>
    <w:rsid w:val="00577026"/>
    <w:rsid w:val="00582852"/>
    <w:rsid w:val="005C4A6C"/>
    <w:rsid w:val="005E61B7"/>
    <w:rsid w:val="005F0D50"/>
    <w:rsid w:val="005F782A"/>
    <w:rsid w:val="00620A4F"/>
    <w:rsid w:val="0064131B"/>
    <w:rsid w:val="006445EC"/>
    <w:rsid w:val="006566C5"/>
    <w:rsid w:val="00657AEF"/>
    <w:rsid w:val="006653BC"/>
    <w:rsid w:val="00666B13"/>
    <w:rsid w:val="00674E39"/>
    <w:rsid w:val="00677282"/>
    <w:rsid w:val="006A067A"/>
    <w:rsid w:val="006A6B1E"/>
    <w:rsid w:val="006C189C"/>
    <w:rsid w:val="006D6F9F"/>
    <w:rsid w:val="006E3317"/>
    <w:rsid w:val="006F4717"/>
    <w:rsid w:val="00710F25"/>
    <w:rsid w:val="0073246C"/>
    <w:rsid w:val="007412E1"/>
    <w:rsid w:val="007426C9"/>
    <w:rsid w:val="00751DB7"/>
    <w:rsid w:val="0075545C"/>
    <w:rsid w:val="00764699"/>
    <w:rsid w:val="00764C71"/>
    <w:rsid w:val="007676B9"/>
    <w:rsid w:val="00772229"/>
    <w:rsid w:val="00772874"/>
    <w:rsid w:val="007807E5"/>
    <w:rsid w:val="00784D7E"/>
    <w:rsid w:val="007903CF"/>
    <w:rsid w:val="007920A2"/>
    <w:rsid w:val="007A1A84"/>
    <w:rsid w:val="007A6097"/>
    <w:rsid w:val="007A71BC"/>
    <w:rsid w:val="007B5C85"/>
    <w:rsid w:val="007D5CDC"/>
    <w:rsid w:val="007E3CA8"/>
    <w:rsid w:val="007E474B"/>
    <w:rsid w:val="007F318F"/>
    <w:rsid w:val="007F3436"/>
    <w:rsid w:val="007F5B7B"/>
    <w:rsid w:val="007F71E2"/>
    <w:rsid w:val="00800AAA"/>
    <w:rsid w:val="00811278"/>
    <w:rsid w:val="00816595"/>
    <w:rsid w:val="00822E47"/>
    <w:rsid w:val="00842061"/>
    <w:rsid w:val="00856BEB"/>
    <w:rsid w:val="00862D20"/>
    <w:rsid w:val="008701B8"/>
    <w:rsid w:val="008827E1"/>
    <w:rsid w:val="00892A12"/>
    <w:rsid w:val="00893FB1"/>
    <w:rsid w:val="008A5197"/>
    <w:rsid w:val="008B68E0"/>
    <w:rsid w:val="008C3295"/>
    <w:rsid w:val="008C5075"/>
    <w:rsid w:val="008C7F08"/>
    <w:rsid w:val="008E1862"/>
    <w:rsid w:val="009117DE"/>
    <w:rsid w:val="00931BD8"/>
    <w:rsid w:val="00943014"/>
    <w:rsid w:val="009452F6"/>
    <w:rsid w:val="009528B9"/>
    <w:rsid w:val="00967A17"/>
    <w:rsid w:val="00987360"/>
    <w:rsid w:val="009B4D3E"/>
    <w:rsid w:val="009D0337"/>
    <w:rsid w:val="009D5F57"/>
    <w:rsid w:val="009E18C0"/>
    <w:rsid w:val="009E4811"/>
    <w:rsid w:val="009E638F"/>
    <w:rsid w:val="009F166B"/>
    <w:rsid w:val="009F3583"/>
    <w:rsid w:val="009F5A18"/>
    <w:rsid w:val="00A02C10"/>
    <w:rsid w:val="00A13B77"/>
    <w:rsid w:val="00A2121D"/>
    <w:rsid w:val="00A353BD"/>
    <w:rsid w:val="00A37734"/>
    <w:rsid w:val="00A421A2"/>
    <w:rsid w:val="00A45D9E"/>
    <w:rsid w:val="00A656FE"/>
    <w:rsid w:val="00A715FE"/>
    <w:rsid w:val="00A90AA9"/>
    <w:rsid w:val="00A91F7C"/>
    <w:rsid w:val="00A95BB1"/>
    <w:rsid w:val="00A95CD2"/>
    <w:rsid w:val="00AA0D96"/>
    <w:rsid w:val="00AA590D"/>
    <w:rsid w:val="00AB696C"/>
    <w:rsid w:val="00AC04F2"/>
    <w:rsid w:val="00AC3DBE"/>
    <w:rsid w:val="00AD0AA5"/>
    <w:rsid w:val="00AD0CB4"/>
    <w:rsid w:val="00AE08A5"/>
    <w:rsid w:val="00B002EC"/>
    <w:rsid w:val="00B206E7"/>
    <w:rsid w:val="00B230DD"/>
    <w:rsid w:val="00B305EE"/>
    <w:rsid w:val="00B36514"/>
    <w:rsid w:val="00B5120E"/>
    <w:rsid w:val="00B76950"/>
    <w:rsid w:val="00B90FFD"/>
    <w:rsid w:val="00BA17B8"/>
    <w:rsid w:val="00BA17D9"/>
    <w:rsid w:val="00BA7D03"/>
    <w:rsid w:val="00BB39DE"/>
    <w:rsid w:val="00BB70AA"/>
    <w:rsid w:val="00BD192C"/>
    <w:rsid w:val="00BF400A"/>
    <w:rsid w:val="00C11C1E"/>
    <w:rsid w:val="00C12542"/>
    <w:rsid w:val="00C2743F"/>
    <w:rsid w:val="00C4557F"/>
    <w:rsid w:val="00C47639"/>
    <w:rsid w:val="00C53229"/>
    <w:rsid w:val="00C655C3"/>
    <w:rsid w:val="00C73471"/>
    <w:rsid w:val="00C74404"/>
    <w:rsid w:val="00CB410E"/>
    <w:rsid w:val="00CD16E2"/>
    <w:rsid w:val="00CD2253"/>
    <w:rsid w:val="00CE7FB6"/>
    <w:rsid w:val="00CF326A"/>
    <w:rsid w:val="00CF4C0E"/>
    <w:rsid w:val="00D12393"/>
    <w:rsid w:val="00D23760"/>
    <w:rsid w:val="00D255A0"/>
    <w:rsid w:val="00D34176"/>
    <w:rsid w:val="00D367DF"/>
    <w:rsid w:val="00D41628"/>
    <w:rsid w:val="00D6417C"/>
    <w:rsid w:val="00D8131C"/>
    <w:rsid w:val="00D87D5D"/>
    <w:rsid w:val="00D95A5E"/>
    <w:rsid w:val="00DA7664"/>
    <w:rsid w:val="00DB5E99"/>
    <w:rsid w:val="00DC1C1B"/>
    <w:rsid w:val="00DD290E"/>
    <w:rsid w:val="00DD5885"/>
    <w:rsid w:val="00DF2279"/>
    <w:rsid w:val="00E04670"/>
    <w:rsid w:val="00E469F4"/>
    <w:rsid w:val="00E57552"/>
    <w:rsid w:val="00E57864"/>
    <w:rsid w:val="00E63069"/>
    <w:rsid w:val="00E64003"/>
    <w:rsid w:val="00E82E2E"/>
    <w:rsid w:val="00E861A7"/>
    <w:rsid w:val="00EA7C6E"/>
    <w:rsid w:val="00EB07A2"/>
    <w:rsid w:val="00ED7775"/>
    <w:rsid w:val="00EF3907"/>
    <w:rsid w:val="00F00C53"/>
    <w:rsid w:val="00F17892"/>
    <w:rsid w:val="00F2513F"/>
    <w:rsid w:val="00F323EF"/>
    <w:rsid w:val="00F35752"/>
    <w:rsid w:val="00F362BB"/>
    <w:rsid w:val="00F41AB9"/>
    <w:rsid w:val="00F67F45"/>
    <w:rsid w:val="00F728B6"/>
    <w:rsid w:val="00F779F4"/>
    <w:rsid w:val="00F83F8D"/>
    <w:rsid w:val="00F842A9"/>
    <w:rsid w:val="00F8449C"/>
    <w:rsid w:val="00F92B89"/>
    <w:rsid w:val="00FA2236"/>
    <w:rsid w:val="00FA4631"/>
    <w:rsid w:val="00FE37B7"/>
    <w:rsid w:val="00FE6668"/>
    <w:rsid w:val="00FF75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3E93"/>
  <w15:docId w15:val="{4BEBC6DC-9845-4EC4-BBB0-1B4A232C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1AB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41AB9"/>
  </w:style>
  <w:style w:type="paragraph" w:styleId="Piedepgina">
    <w:name w:val="footer"/>
    <w:basedOn w:val="Normal"/>
    <w:link w:val="PiedepginaCar"/>
    <w:uiPriority w:val="99"/>
    <w:unhideWhenUsed/>
    <w:rsid w:val="00F41AB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41AB9"/>
  </w:style>
  <w:style w:type="paragraph" w:styleId="Prrafodelista">
    <w:name w:val="List Paragraph"/>
    <w:basedOn w:val="Normal"/>
    <w:uiPriority w:val="34"/>
    <w:qFormat/>
    <w:rsid w:val="00F728B6"/>
    <w:pPr>
      <w:ind w:left="720"/>
      <w:contextualSpacing/>
    </w:pPr>
  </w:style>
  <w:style w:type="paragraph" w:styleId="Textodeglobo">
    <w:name w:val="Balloon Text"/>
    <w:basedOn w:val="Normal"/>
    <w:link w:val="TextodegloboCar"/>
    <w:uiPriority w:val="99"/>
    <w:semiHidden/>
    <w:unhideWhenUsed/>
    <w:rsid w:val="009F5A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A18"/>
    <w:rPr>
      <w:rFonts w:ascii="Tahoma" w:hAnsi="Tahoma" w:cs="Tahoma"/>
      <w:sz w:val="16"/>
      <w:szCs w:val="16"/>
    </w:rPr>
  </w:style>
  <w:style w:type="table" w:styleId="Tablaconcuadrcula">
    <w:name w:val="Table Grid"/>
    <w:basedOn w:val="Tablanormal"/>
    <w:uiPriority w:val="39"/>
    <w:unhideWhenUsed/>
    <w:rsid w:val="0089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476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639"/>
    <w:rPr>
      <w:sz w:val="20"/>
      <w:szCs w:val="20"/>
    </w:rPr>
  </w:style>
  <w:style w:type="character" w:styleId="Refdenotaalpie">
    <w:name w:val="footnote reference"/>
    <w:basedOn w:val="Fuentedeprrafopredeter"/>
    <w:uiPriority w:val="99"/>
    <w:semiHidden/>
    <w:unhideWhenUsed/>
    <w:rsid w:val="00C47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01BA-055B-466C-A8AC-5A7F891D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4654</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Cassia Pires</dc:creator>
  <cp:lastModifiedBy>BCRA</cp:lastModifiedBy>
  <cp:revision>2</cp:revision>
  <cp:lastPrinted>2022-10-20T21:13:00Z</cp:lastPrinted>
  <dcterms:created xsi:type="dcterms:W3CDTF">2023-05-19T14:07:00Z</dcterms:created>
  <dcterms:modified xsi:type="dcterms:W3CDTF">2023-05-19T14:07:00Z</dcterms:modified>
</cp:coreProperties>
</file>