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10" w:rsidRDefault="00350510" w:rsidP="00350510">
      <w:pPr>
        <w:ind w:left="0" w:hanging="2"/>
        <w:rPr>
          <w:b/>
        </w:rPr>
      </w:pPr>
      <w:r>
        <w:rPr>
          <w:noProof/>
          <w:lang w:val="es-ES"/>
        </w:rPr>
        <w:drawing>
          <wp:anchor distT="0" distB="0" distL="114935" distR="114935" simplePos="0" relativeHeight="251659264" behindDoc="0" locked="0" layoutInCell="1" hidden="0" allowOverlap="1" wp14:anchorId="7B6209AA" wp14:editId="7B19C3E7">
            <wp:simplePos x="0" y="0"/>
            <wp:positionH relativeFrom="column">
              <wp:posOffset>114935</wp:posOffset>
            </wp:positionH>
            <wp:positionV relativeFrom="paragraph">
              <wp:posOffset>0</wp:posOffset>
            </wp:positionV>
            <wp:extent cx="1314450" cy="789940"/>
            <wp:effectExtent l="0" t="0" r="0" b="0"/>
            <wp:wrapSquare wrapText="bothSides" distT="0" distB="0" distL="114935" distR="114935"/>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5625" t="4994" r="6045" b="6422"/>
                    <a:stretch>
                      <a:fillRect/>
                    </a:stretch>
                  </pic:blipFill>
                  <pic:spPr>
                    <a:xfrm>
                      <a:off x="0" y="0"/>
                      <a:ext cx="1314450" cy="789940"/>
                    </a:xfrm>
                    <a:prstGeom prst="rect">
                      <a:avLst/>
                    </a:prstGeom>
                    <a:ln/>
                  </pic:spPr>
                </pic:pic>
              </a:graphicData>
            </a:graphic>
          </wp:anchor>
        </w:drawing>
      </w:r>
      <w:r>
        <w:rPr>
          <w:noProof/>
          <w:lang w:val="es-ES"/>
        </w:rPr>
        <w:drawing>
          <wp:anchor distT="0" distB="0" distL="114935" distR="114935" simplePos="0" relativeHeight="251660288" behindDoc="0" locked="0" layoutInCell="1" hidden="0" allowOverlap="1" wp14:anchorId="267D6C95" wp14:editId="34BB46C1">
            <wp:simplePos x="0" y="0"/>
            <wp:positionH relativeFrom="column">
              <wp:posOffset>4146550</wp:posOffset>
            </wp:positionH>
            <wp:positionV relativeFrom="paragraph">
              <wp:posOffset>-3809</wp:posOffset>
            </wp:positionV>
            <wp:extent cx="1314450" cy="789940"/>
            <wp:effectExtent l="0" t="0" r="0" b="0"/>
            <wp:wrapSquare wrapText="bothSides" distT="0" distB="0" distL="114935" distR="114935"/>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5625" t="4994" r="6045" b="6422"/>
                    <a:stretch>
                      <a:fillRect/>
                    </a:stretch>
                  </pic:blipFill>
                  <pic:spPr>
                    <a:xfrm>
                      <a:off x="0" y="0"/>
                      <a:ext cx="1314450" cy="789940"/>
                    </a:xfrm>
                    <a:prstGeom prst="rect">
                      <a:avLst/>
                    </a:prstGeom>
                    <a:ln/>
                  </pic:spPr>
                </pic:pic>
              </a:graphicData>
            </a:graphic>
          </wp:anchor>
        </w:drawing>
      </w:r>
    </w:p>
    <w:p w:rsidR="00350510" w:rsidRDefault="00350510" w:rsidP="00350510">
      <w:pPr>
        <w:ind w:left="0" w:hanging="2"/>
        <w:rPr>
          <w:b/>
          <w:color w:val="000000"/>
        </w:rPr>
      </w:pPr>
      <w:r>
        <w:rPr>
          <w:b/>
          <w:color w:val="000000"/>
        </w:rPr>
        <w:t xml:space="preserve">                                                                      </w:t>
      </w:r>
    </w:p>
    <w:p w:rsidR="00350510" w:rsidRDefault="00350510" w:rsidP="00350510">
      <w:pPr>
        <w:ind w:left="0" w:hanging="2"/>
        <w:rPr>
          <w:b/>
          <w:color w:val="000000"/>
        </w:rPr>
      </w:pPr>
    </w:p>
    <w:p w:rsidR="00350510" w:rsidRDefault="00350510" w:rsidP="00350510">
      <w:pPr>
        <w:ind w:left="0" w:hanging="2"/>
        <w:rPr>
          <w:b/>
          <w:color w:val="000000"/>
        </w:rPr>
      </w:pPr>
    </w:p>
    <w:p w:rsidR="00350510" w:rsidRDefault="00350510" w:rsidP="00350510">
      <w:pPr>
        <w:ind w:left="0" w:hanging="2"/>
        <w:rPr>
          <w:b/>
        </w:rPr>
      </w:pPr>
    </w:p>
    <w:p w:rsidR="00350510" w:rsidRDefault="00350510" w:rsidP="00350510">
      <w:pPr>
        <w:ind w:left="0" w:hanging="2"/>
      </w:pPr>
      <w:r>
        <w:rPr>
          <w:b/>
        </w:rPr>
        <w:t>MERCOSUR /SGT Nº 10/ CG/ACTA Nº 01/2023</w:t>
      </w:r>
    </w:p>
    <w:p w:rsidR="00350510" w:rsidRDefault="00350510" w:rsidP="00350510">
      <w:pPr>
        <w:ind w:left="0" w:hanging="2"/>
        <w:rPr>
          <w:b/>
        </w:rPr>
      </w:pPr>
    </w:p>
    <w:p w:rsidR="00350510" w:rsidRPr="008447B7" w:rsidRDefault="00350510" w:rsidP="00350510">
      <w:pPr>
        <w:ind w:left="0" w:hanging="2"/>
        <w:rPr>
          <w:b/>
        </w:rPr>
      </w:pPr>
    </w:p>
    <w:p w:rsidR="00350510" w:rsidRPr="008447B7" w:rsidRDefault="00350510" w:rsidP="00350510">
      <w:pPr>
        <w:ind w:left="0" w:hanging="2"/>
        <w:jc w:val="center"/>
        <w:rPr>
          <w:b/>
          <w:color w:val="00000A"/>
        </w:rPr>
      </w:pPr>
      <w:r w:rsidRPr="008447B7">
        <w:rPr>
          <w:b/>
          <w:color w:val="00000A"/>
        </w:rPr>
        <w:t>REUNIÓN DE LA COMISIÓN GENERO</w:t>
      </w:r>
      <w:r>
        <w:rPr>
          <w:b/>
          <w:color w:val="00000A"/>
        </w:rPr>
        <w:t xml:space="preserve"> </w:t>
      </w:r>
      <w:bookmarkStart w:id="0" w:name="_GoBack"/>
      <w:bookmarkEnd w:id="0"/>
      <w:r w:rsidRPr="008447B7">
        <w:rPr>
          <w:b/>
          <w:color w:val="00000A"/>
        </w:rPr>
        <w:t>(CG)</w:t>
      </w:r>
    </w:p>
    <w:p w:rsidR="00350510" w:rsidRDefault="00350510" w:rsidP="00350510">
      <w:pPr>
        <w:ind w:left="0" w:hanging="2"/>
        <w:rPr>
          <w:color w:val="000000"/>
        </w:rPr>
      </w:pPr>
    </w:p>
    <w:p w:rsidR="00350510" w:rsidRDefault="00350510" w:rsidP="00350510">
      <w:pPr>
        <w:ind w:left="0" w:hanging="2"/>
        <w:jc w:val="both"/>
        <w:rPr>
          <w:color w:val="000000"/>
        </w:rPr>
      </w:pPr>
      <w:r>
        <w:rPr>
          <w:color w:val="000000"/>
        </w:rPr>
        <w:t>Se realizó el día 27 de abril</w:t>
      </w:r>
      <w:r>
        <w:t xml:space="preserve"> de 2023</w:t>
      </w:r>
      <w:r>
        <w:rPr>
          <w:color w:val="000000"/>
        </w:rPr>
        <w:t>, e</w:t>
      </w:r>
      <w:r>
        <w:t xml:space="preserve">n ejercicio de la Presidencia </w:t>
      </w:r>
      <w:r>
        <w:rPr>
          <w:i/>
        </w:rPr>
        <w:t>Pro Tempore</w:t>
      </w:r>
      <w:r>
        <w:t xml:space="preserve"> de Argentina (PPTA), la reunión de la Comisión de Género (CG),</w:t>
      </w:r>
      <w:r>
        <w:rPr>
          <w:color w:val="000000"/>
        </w:rPr>
        <w:t xml:space="preserve"> </w:t>
      </w:r>
      <w:r>
        <w:t>por sistema de videoconferencia de conformidad con lo dispuesto en la Resolución GMC N° 19/12, con la presencia de las delegaciones de Argentina, Brasil, Paraguay y Uruguay,</w:t>
      </w:r>
      <w:r>
        <w:rPr>
          <w:color w:val="000000"/>
        </w:rPr>
        <w:t xml:space="preserve"> y representantes del sector trabajador y empleador.</w:t>
      </w:r>
    </w:p>
    <w:p w:rsidR="00350510" w:rsidRDefault="00350510" w:rsidP="00350510">
      <w:pPr>
        <w:ind w:left="0" w:hanging="2"/>
        <w:jc w:val="both"/>
      </w:pPr>
    </w:p>
    <w:p w:rsidR="00350510" w:rsidRDefault="00350510" w:rsidP="00350510">
      <w:pPr>
        <w:ind w:left="0" w:hanging="2"/>
        <w:jc w:val="both"/>
      </w:pPr>
      <w:r>
        <w:t xml:space="preserve">La lista de participantes consta como </w:t>
      </w:r>
      <w:r>
        <w:rPr>
          <w:b/>
        </w:rPr>
        <w:t>Anexo I.</w:t>
      </w:r>
    </w:p>
    <w:p w:rsidR="00350510" w:rsidRDefault="00350510" w:rsidP="00350510">
      <w:pPr>
        <w:ind w:left="0" w:hanging="2"/>
        <w:jc w:val="both"/>
      </w:pPr>
    </w:p>
    <w:p w:rsidR="00350510" w:rsidRDefault="00350510" w:rsidP="00350510">
      <w:pPr>
        <w:ind w:left="0" w:hanging="2"/>
        <w:jc w:val="both"/>
      </w:pPr>
      <w:r>
        <w:t xml:space="preserve">La agenda de la reunión consta como </w:t>
      </w:r>
      <w:r>
        <w:rPr>
          <w:b/>
        </w:rPr>
        <w:t>Anexo II.</w:t>
      </w:r>
    </w:p>
    <w:p w:rsidR="00350510" w:rsidRDefault="00350510" w:rsidP="00350510">
      <w:pPr>
        <w:ind w:left="0" w:hanging="2"/>
        <w:jc w:val="both"/>
      </w:pPr>
    </w:p>
    <w:p w:rsidR="00350510" w:rsidRDefault="00350510" w:rsidP="00350510">
      <w:pPr>
        <w:ind w:left="0" w:hanging="2"/>
        <w:jc w:val="both"/>
      </w:pPr>
      <w:r>
        <w:t xml:space="preserve">La PPTA dio la bienvenida a las delegaciones presentes y sometió a consideración la Agenda de la Reunión, la misma fue aprobada y consta como anexo. </w:t>
      </w:r>
    </w:p>
    <w:p w:rsidR="00350510" w:rsidRDefault="00350510" w:rsidP="00350510">
      <w:pPr>
        <w:ind w:left="0" w:hanging="2"/>
        <w:jc w:val="both"/>
      </w:pPr>
    </w:p>
    <w:p w:rsidR="00350510" w:rsidRDefault="00350510" w:rsidP="00350510">
      <w:pPr>
        <w:ind w:left="0" w:hanging="2"/>
        <w:jc w:val="both"/>
      </w:pPr>
      <w:r>
        <w:t>Fueron tratados los siguientes temas:</w:t>
      </w:r>
    </w:p>
    <w:p w:rsidR="00350510" w:rsidRDefault="00350510" w:rsidP="00350510">
      <w:pPr>
        <w:ind w:left="0" w:hanging="2"/>
        <w:jc w:val="both"/>
      </w:pPr>
      <w:bookmarkStart w:id="1" w:name="_heading=h.kucv44r2h31q" w:colFirst="0" w:colLast="0"/>
      <w:bookmarkEnd w:id="1"/>
    </w:p>
    <w:p w:rsidR="00350510" w:rsidRDefault="00350510" w:rsidP="00350510">
      <w:pPr>
        <w:ind w:left="0" w:hanging="2"/>
        <w:jc w:val="both"/>
        <w:rPr>
          <w:b/>
          <w:bCs/>
        </w:rPr>
      </w:pPr>
      <w:r>
        <w:rPr>
          <w:b/>
          <w:bCs/>
        </w:rPr>
        <w:t xml:space="preserve">1. </w:t>
      </w:r>
      <w:r w:rsidRPr="0034440E">
        <w:rPr>
          <w:b/>
          <w:bCs/>
        </w:rPr>
        <w:t>Compilación de datos estadísticos sobre mercado laboral y género, legislación, políticas y buenas prácticas: estado de situación.</w:t>
      </w:r>
    </w:p>
    <w:p w:rsidR="00350510" w:rsidRPr="0034440E" w:rsidRDefault="00350510" w:rsidP="00350510">
      <w:pPr>
        <w:ind w:left="0" w:hanging="2"/>
        <w:jc w:val="both"/>
        <w:rPr>
          <w:b/>
          <w:bCs/>
        </w:rPr>
      </w:pPr>
    </w:p>
    <w:p w:rsidR="00350510" w:rsidRDefault="00350510" w:rsidP="00350510">
      <w:pPr>
        <w:ind w:left="0" w:hanging="2"/>
        <w:jc w:val="both"/>
      </w:pPr>
      <w:r>
        <w:t>La PPTA informó a las delegaciones presentes que con fecha 10 de abril, se realizó una reunión de carácter preparatorio.</w:t>
      </w:r>
    </w:p>
    <w:p w:rsidR="00350510" w:rsidRDefault="00350510" w:rsidP="00350510">
      <w:pPr>
        <w:ind w:left="0" w:hanging="2"/>
        <w:jc w:val="both"/>
      </w:pPr>
    </w:p>
    <w:p w:rsidR="00350510" w:rsidRDefault="00350510" w:rsidP="00350510">
      <w:pPr>
        <w:ind w:left="0" w:hanging="2"/>
        <w:jc w:val="both"/>
      </w:pPr>
      <w:r>
        <w:t>En relación a la recopilación de información estadística la PPTA informó que se hizo una consulta al OMTM, cuyo tratamiento fue realizado en su reunión ordinaria de fecha 26 de abril (punto 8.2 del acta OMTM 1/23).</w:t>
      </w:r>
    </w:p>
    <w:p w:rsidR="00350510" w:rsidRDefault="00350510" w:rsidP="00350510">
      <w:pPr>
        <w:ind w:left="0" w:hanging="2"/>
        <w:jc w:val="both"/>
      </w:pPr>
      <w:r>
        <w:t xml:space="preserve">En la reunión el OMTM </w:t>
      </w:r>
      <w:r w:rsidRPr="00F74D9B">
        <w:t>informó de la disponibilidad de estadísticas armonizadas desarrolladas por los Institutos de Estadísticas (hasta 2013) y por el OMTM (hasta 2019)</w:t>
      </w:r>
      <w:r>
        <w:t xml:space="preserve"> y sugirió que para el trabajo de análisis que realizará esta CG se utilicen estadísticas nacionales producidas y publicadas por los Institutos de Estadísticas de los países, que aproximan un diagnóstico sobre esta problemática sociolaboral.</w:t>
      </w:r>
    </w:p>
    <w:p w:rsidR="00350510" w:rsidRDefault="00350510" w:rsidP="00350510">
      <w:pPr>
        <w:ind w:left="0" w:hanging="2"/>
        <w:jc w:val="both"/>
      </w:pPr>
    </w:p>
    <w:p w:rsidR="00350510" w:rsidRDefault="00350510" w:rsidP="00350510">
      <w:pPr>
        <w:ind w:left="0" w:hanging="2"/>
        <w:jc w:val="both"/>
        <w:rPr>
          <w:color w:val="000000"/>
        </w:rPr>
      </w:pPr>
      <w:r>
        <w:rPr>
          <w:color w:val="000000"/>
        </w:rPr>
        <w:t>Se decidió recopilar información de carácter nacional en relación a:</w:t>
      </w:r>
    </w:p>
    <w:p w:rsidR="00350510" w:rsidRDefault="00350510" w:rsidP="00350510">
      <w:pPr>
        <w:ind w:left="0" w:hanging="2"/>
        <w:jc w:val="both"/>
        <w:rPr>
          <w:color w:val="000000"/>
        </w:rPr>
      </w:pPr>
    </w:p>
    <w:p w:rsidR="00350510" w:rsidRPr="00AE7601" w:rsidRDefault="00350510" w:rsidP="00350510">
      <w:pPr>
        <w:ind w:leftChars="0" w:left="0" w:firstLineChars="0" w:firstLine="0"/>
        <w:jc w:val="both"/>
        <w:rPr>
          <w:color w:val="000000"/>
        </w:rPr>
      </w:pPr>
    </w:p>
    <w:p w:rsidR="00350510" w:rsidRDefault="00350510" w:rsidP="00350510">
      <w:pPr>
        <w:pStyle w:val="Prrafodelista"/>
        <w:numPr>
          <w:ilvl w:val="0"/>
          <w:numId w:val="3"/>
        </w:numPr>
        <w:spacing w:after="160" w:line="259" w:lineRule="auto"/>
        <w:ind w:leftChars="0" w:firstLineChars="0"/>
        <w:contextualSpacing/>
        <w:jc w:val="both"/>
        <w:rPr>
          <w:color w:val="000000"/>
        </w:rPr>
      </w:pPr>
      <w:r w:rsidRPr="00A739B9">
        <w:rPr>
          <w:color w:val="000000"/>
        </w:rPr>
        <w:t>Tasa de actividad</w:t>
      </w:r>
    </w:p>
    <w:p w:rsidR="00350510" w:rsidRDefault="00350510" w:rsidP="00350510">
      <w:pPr>
        <w:pStyle w:val="Prrafodelista"/>
        <w:numPr>
          <w:ilvl w:val="0"/>
          <w:numId w:val="3"/>
        </w:numPr>
        <w:spacing w:after="160" w:line="259" w:lineRule="auto"/>
        <w:ind w:leftChars="0" w:firstLineChars="0"/>
        <w:contextualSpacing/>
        <w:jc w:val="both"/>
        <w:rPr>
          <w:color w:val="000000"/>
        </w:rPr>
      </w:pPr>
      <w:r w:rsidRPr="00A739B9">
        <w:rPr>
          <w:color w:val="000000"/>
        </w:rPr>
        <w:t>Tasa de empleo</w:t>
      </w:r>
    </w:p>
    <w:p w:rsidR="00350510" w:rsidRDefault="00350510" w:rsidP="00350510">
      <w:pPr>
        <w:pStyle w:val="Prrafodelista"/>
        <w:numPr>
          <w:ilvl w:val="0"/>
          <w:numId w:val="3"/>
        </w:numPr>
        <w:spacing w:after="160" w:line="259" w:lineRule="auto"/>
        <w:ind w:leftChars="0" w:firstLineChars="0"/>
        <w:contextualSpacing/>
        <w:jc w:val="both"/>
        <w:rPr>
          <w:color w:val="000000"/>
        </w:rPr>
      </w:pPr>
      <w:r w:rsidRPr="00A739B9">
        <w:rPr>
          <w:color w:val="000000"/>
        </w:rPr>
        <w:t>Tasa de ocupación</w:t>
      </w:r>
    </w:p>
    <w:p w:rsidR="00350510" w:rsidRDefault="00350510" w:rsidP="00350510">
      <w:pPr>
        <w:pStyle w:val="Prrafodelista"/>
        <w:numPr>
          <w:ilvl w:val="0"/>
          <w:numId w:val="3"/>
        </w:numPr>
        <w:spacing w:after="160" w:line="259" w:lineRule="auto"/>
        <w:ind w:leftChars="0" w:firstLineChars="0"/>
        <w:contextualSpacing/>
        <w:jc w:val="both"/>
        <w:rPr>
          <w:color w:val="000000"/>
        </w:rPr>
      </w:pPr>
      <w:r>
        <w:rPr>
          <w:color w:val="000000"/>
        </w:rPr>
        <w:t>Tasa de desocupación</w:t>
      </w:r>
    </w:p>
    <w:p w:rsidR="00350510" w:rsidRPr="00A739B9" w:rsidRDefault="00350510" w:rsidP="00350510">
      <w:pPr>
        <w:pStyle w:val="Prrafodelista"/>
        <w:numPr>
          <w:ilvl w:val="0"/>
          <w:numId w:val="3"/>
        </w:numPr>
        <w:spacing w:after="160" w:line="259" w:lineRule="auto"/>
        <w:ind w:leftChars="0" w:firstLineChars="0"/>
        <w:contextualSpacing/>
        <w:jc w:val="both"/>
        <w:rPr>
          <w:color w:val="000000"/>
        </w:rPr>
      </w:pPr>
      <w:r w:rsidRPr="00A739B9">
        <w:rPr>
          <w:color w:val="000000"/>
        </w:rPr>
        <w:t>Tasa de asalarización</w:t>
      </w:r>
      <w:r w:rsidRPr="00144B6E">
        <w:t xml:space="preserve"> </w:t>
      </w:r>
    </w:p>
    <w:p w:rsidR="00350510" w:rsidRPr="00A739B9" w:rsidRDefault="00350510" w:rsidP="00350510">
      <w:pPr>
        <w:pStyle w:val="Prrafodelista"/>
        <w:numPr>
          <w:ilvl w:val="0"/>
          <w:numId w:val="3"/>
        </w:numPr>
        <w:spacing w:after="160" w:line="259" w:lineRule="auto"/>
        <w:ind w:leftChars="0" w:firstLineChars="0"/>
        <w:contextualSpacing/>
        <w:jc w:val="both"/>
        <w:rPr>
          <w:color w:val="000000"/>
        </w:rPr>
      </w:pPr>
      <w:r>
        <w:t>Tasa de informalidad</w:t>
      </w:r>
    </w:p>
    <w:p w:rsidR="00350510" w:rsidRPr="001A5392" w:rsidRDefault="00350510" w:rsidP="00350510">
      <w:pPr>
        <w:ind w:left="0" w:hanging="2"/>
        <w:jc w:val="both"/>
        <w:rPr>
          <w:color w:val="000000"/>
        </w:rPr>
      </w:pPr>
    </w:p>
    <w:p w:rsidR="00350510" w:rsidRDefault="00350510" w:rsidP="00350510">
      <w:pPr>
        <w:ind w:left="0" w:hanging="2"/>
        <w:jc w:val="both"/>
      </w:pPr>
    </w:p>
    <w:p w:rsidR="00350510" w:rsidRDefault="00350510" w:rsidP="00350510">
      <w:pPr>
        <w:ind w:left="0" w:hanging="2"/>
        <w:jc w:val="both"/>
        <w:rPr>
          <w:lang w:val="es-AR"/>
        </w:rPr>
      </w:pPr>
      <w:r>
        <w:rPr>
          <w:lang w:val="es-AR"/>
        </w:rPr>
        <w:lastRenderedPageBreak/>
        <w:t>Se acordó analizar la ocupación y los salarios considerando los sectores de actividad.</w:t>
      </w:r>
    </w:p>
    <w:p w:rsidR="00350510" w:rsidRDefault="00350510" w:rsidP="00350510">
      <w:pPr>
        <w:ind w:leftChars="0" w:left="0" w:firstLineChars="0" w:firstLine="0"/>
        <w:jc w:val="both"/>
        <w:rPr>
          <w:color w:val="000000"/>
        </w:rPr>
      </w:pPr>
    </w:p>
    <w:p w:rsidR="00350510" w:rsidRDefault="00350510" w:rsidP="00350510">
      <w:pPr>
        <w:ind w:left="0" w:hanging="2"/>
        <w:jc w:val="both"/>
        <w:rPr>
          <w:color w:val="000000"/>
        </w:rPr>
      </w:pPr>
      <w:r>
        <w:t>En relación a</w:t>
      </w:r>
      <w:r>
        <w:rPr>
          <w:color w:val="000000"/>
        </w:rPr>
        <w:t xml:space="preserve"> la compilación de </w:t>
      </w:r>
      <w:r>
        <w:t>medidas</w:t>
      </w:r>
      <w:r>
        <w:rPr>
          <w:color w:val="000000"/>
        </w:rPr>
        <w:t xml:space="preserve"> y buenas </w:t>
      </w:r>
      <w:r>
        <w:t>prácticas</w:t>
      </w:r>
      <w:r>
        <w:rPr>
          <w:color w:val="000000"/>
        </w:rPr>
        <w:t xml:space="preserve"> que </w:t>
      </w:r>
      <w:r>
        <w:t xml:space="preserve">incorporen la perspectiva de género, </w:t>
      </w:r>
      <w:r>
        <w:rPr>
          <w:color w:val="000000"/>
        </w:rPr>
        <w:t>la CG acordó tener en consideración los siguientes aspectos:</w:t>
      </w:r>
    </w:p>
    <w:p w:rsidR="00350510" w:rsidRDefault="00350510" w:rsidP="00350510">
      <w:pPr>
        <w:ind w:left="0" w:hanging="2"/>
        <w:jc w:val="both"/>
        <w:rPr>
          <w:color w:val="000000"/>
        </w:rPr>
      </w:pPr>
    </w:p>
    <w:p w:rsidR="00350510" w:rsidRDefault="00350510" w:rsidP="00350510">
      <w:pPr>
        <w:ind w:left="0" w:hanging="2"/>
        <w:jc w:val="both"/>
      </w:pPr>
      <w:r>
        <w:t xml:space="preserve"> -Cuidados</w:t>
      </w:r>
    </w:p>
    <w:p w:rsidR="00350510" w:rsidRDefault="00350510" w:rsidP="00350510">
      <w:pPr>
        <w:ind w:left="0" w:hanging="2"/>
        <w:jc w:val="both"/>
      </w:pPr>
      <w:r>
        <w:t>-Protección social</w:t>
      </w:r>
    </w:p>
    <w:p w:rsidR="00350510" w:rsidRDefault="00350510" w:rsidP="00350510">
      <w:pPr>
        <w:ind w:left="0" w:hanging="2"/>
        <w:jc w:val="both"/>
      </w:pPr>
      <w:r>
        <w:t>-Condiciones laborales</w:t>
      </w:r>
    </w:p>
    <w:p w:rsidR="00350510" w:rsidRDefault="00350510" w:rsidP="00350510">
      <w:pPr>
        <w:ind w:left="0" w:hanging="2"/>
        <w:jc w:val="both"/>
      </w:pPr>
      <w:r>
        <w:t>-Medidas para incrementar la participación de las mujeres y diversidades sexuales en el trabajo.</w:t>
      </w:r>
    </w:p>
    <w:p w:rsidR="00350510" w:rsidRDefault="00350510" w:rsidP="00350510">
      <w:pPr>
        <w:ind w:left="0" w:hanging="2"/>
        <w:jc w:val="both"/>
      </w:pPr>
    </w:p>
    <w:p w:rsidR="00350510" w:rsidRDefault="00350510" w:rsidP="00350510">
      <w:pPr>
        <w:ind w:left="0" w:hanging="2"/>
        <w:jc w:val="both"/>
      </w:pPr>
      <w:r>
        <w:t>Para cada medida citada, se deberá detallar: nombre/título, instrumento político, objetivo, criterio de elegibilidad, duración de los beneficios, comentarios sobre el estado de implementación.</w:t>
      </w:r>
    </w:p>
    <w:p w:rsidR="00350510" w:rsidRDefault="00350510" w:rsidP="00350510">
      <w:pPr>
        <w:ind w:left="0" w:hanging="2"/>
        <w:jc w:val="both"/>
      </w:pPr>
      <w:r>
        <w:t xml:space="preserve">Las medidas a citar deben estar vigentes y ser de orden nacional, sin perjuicio de que se podrán citar medidas orientadas a la articulación con otros niveles de gobierno. </w:t>
      </w:r>
    </w:p>
    <w:p w:rsidR="00350510" w:rsidRDefault="00350510" w:rsidP="00350510">
      <w:pPr>
        <w:ind w:left="0" w:hanging="2"/>
        <w:jc w:val="both"/>
      </w:pPr>
    </w:p>
    <w:p w:rsidR="00350510" w:rsidRDefault="00350510" w:rsidP="00350510">
      <w:pPr>
        <w:ind w:left="0" w:hanging="2"/>
        <w:jc w:val="both"/>
      </w:pPr>
      <w:r>
        <w:t xml:space="preserve">Se adjunta ayuda memoria de la reunión como </w:t>
      </w:r>
      <w:r w:rsidRPr="0034440E">
        <w:rPr>
          <w:b/>
          <w:bCs/>
        </w:rPr>
        <w:t>A</w:t>
      </w:r>
      <w:r>
        <w:rPr>
          <w:b/>
          <w:bCs/>
        </w:rPr>
        <w:t>NEXO</w:t>
      </w:r>
      <w:r w:rsidRPr="0034440E">
        <w:rPr>
          <w:b/>
          <w:bCs/>
        </w:rPr>
        <w:t xml:space="preserve"> III.</w:t>
      </w:r>
    </w:p>
    <w:p w:rsidR="00350510" w:rsidRDefault="00350510" w:rsidP="00350510">
      <w:pPr>
        <w:ind w:left="0" w:hanging="2"/>
        <w:jc w:val="both"/>
      </w:pPr>
      <w:r>
        <w:t>La CG acordó realizar una reunión de carácter preparatorio con fecha 5/6 de julio (a definir) a las 10 am (hora próxima PPT) para continuar la elaboración del informe.</w:t>
      </w:r>
    </w:p>
    <w:p w:rsidR="00350510" w:rsidRDefault="00350510" w:rsidP="00350510">
      <w:pPr>
        <w:ind w:left="0" w:hanging="2"/>
        <w:jc w:val="both"/>
        <w:rPr>
          <w:b/>
          <w:bCs/>
        </w:rPr>
      </w:pPr>
    </w:p>
    <w:p w:rsidR="00350510" w:rsidRDefault="00350510" w:rsidP="00350510">
      <w:pPr>
        <w:ind w:left="0" w:hanging="2"/>
        <w:jc w:val="both"/>
        <w:rPr>
          <w:b/>
          <w:bCs/>
        </w:rPr>
      </w:pPr>
      <w:r>
        <w:rPr>
          <w:b/>
          <w:bCs/>
        </w:rPr>
        <w:t xml:space="preserve">2. </w:t>
      </w:r>
      <w:r w:rsidRPr="0034440E">
        <w:rPr>
          <w:b/>
          <w:bCs/>
        </w:rPr>
        <w:t>Articulación con CETSS: estado de situación de estudio sobre normativa SST y género.</w:t>
      </w:r>
    </w:p>
    <w:p w:rsidR="00350510" w:rsidRDefault="00350510" w:rsidP="00350510">
      <w:pPr>
        <w:ind w:left="0" w:hanging="2"/>
        <w:jc w:val="both"/>
        <w:rPr>
          <w:b/>
          <w:bCs/>
        </w:rPr>
      </w:pPr>
    </w:p>
    <w:p w:rsidR="00350510" w:rsidRDefault="00350510" w:rsidP="00350510">
      <w:pPr>
        <w:ind w:left="0" w:hanging="2"/>
        <w:jc w:val="both"/>
        <w:rPr>
          <w:b/>
          <w:bCs/>
        </w:rPr>
      </w:pPr>
      <w:r>
        <w:t xml:space="preserve">La PPTA expuso a las delegaciones la estructura del documento bajo tratamiento de la CETSS. Se adjunta como </w:t>
      </w:r>
      <w:r w:rsidRPr="00F25D4A">
        <w:rPr>
          <w:b/>
          <w:bCs/>
        </w:rPr>
        <w:t xml:space="preserve">ANEXO </w:t>
      </w:r>
      <w:r>
        <w:rPr>
          <w:b/>
          <w:bCs/>
        </w:rPr>
        <w:t>IV.</w:t>
      </w:r>
    </w:p>
    <w:p w:rsidR="00350510" w:rsidRDefault="00350510" w:rsidP="00350510">
      <w:pPr>
        <w:ind w:left="0" w:hanging="2"/>
        <w:jc w:val="both"/>
      </w:pPr>
      <w:r>
        <w:t>Al respecto las delegaciones presentes se comprometieron a contactar a los puntos focales de la CETSS de sus respectivos países, para observar el estado de situación del trabajo de dicha comisión y realizar aportes en caso de ser necesario.</w:t>
      </w:r>
    </w:p>
    <w:p w:rsidR="00350510" w:rsidRPr="00F25D4A" w:rsidRDefault="00350510" w:rsidP="00350510">
      <w:pPr>
        <w:ind w:left="0" w:hanging="2"/>
        <w:jc w:val="both"/>
      </w:pPr>
    </w:p>
    <w:p w:rsidR="00350510" w:rsidRDefault="00350510" w:rsidP="00350510">
      <w:pPr>
        <w:ind w:left="0" w:hanging="2"/>
        <w:jc w:val="both"/>
        <w:rPr>
          <w:b/>
          <w:bCs/>
        </w:rPr>
      </w:pPr>
      <w:r>
        <w:rPr>
          <w:b/>
          <w:bCs/>
        </w:rPr>
        <w:t xml:space="preserve">3. </w:t>
      </w:r>
      <w:r w:rsidRPr="0034440E">
        <w:rPr>
          <w:b/>
          <w:bCs/>
        </w:rPr>
        <w:t>Evaluación semestral del programa de Trabajo 2023-2024.</w:t>
      </w:r>
    </w:p>
    <w:p w:rsidR="00350510" w:rsidRPr="0034440E" w:rsidRDefault="00350510" w:rsidP="00350510">
      <w:pPr>
        <w:ind w:left="0" w:hanging="2"/>
        <w:jc w:val="both"/>
        <w:rPr>
          <w:b/>
          <w:bCs/>
        </w:rPr>
      </w:pPr>
    </w:p>
    <w:p w:rsidR="00350510" w:rsidRDefault="00350510" w:rsidP="00350510">
      <w:pPr>
        <w:ind w:left="0" w:hanging="2"/>
        <w:jc w:val="both"/>
      </w:pPr>
      <w:r>
        <w:t xml:space="preserve">La PPTA informó que el GMC aprobó el Programa de Trabajo 2023-2024 el que consta como </w:t>
      </w:r>
      <w:r w:rsidRPr="001467F4">
        <w:rPr>
          <w:b/>
          <w:bCs/>
        </w:rPr>
        <w:t xml:space="preserve">ANEXO </w:t>
      </w:r>
      <w:r>
        <w:rPr>
          <w:b/>
          <w:bCs/>
        </w:rPr>
        <w:t>V</w:t>
      </w:r>
      <w:r w:rsidRPr="001467F4">
        <w:rPr>
          <w:b/>
          <w:bCs/>
        </w:rPr>
        <w:t>.</w:t>
      </w:r>
    </w:p>
    <w:p w:rsidR="00350510" w:rsidRDefault="00350510" w:rsidP="00350510">
      <w:pPr>
        <w:ind w:left="0" w:hanging="2"/>
        <w:jc w:val="both"/>
      </w:pPr>
      <w:r>
        <w:t xml:space="preserve">Se realizó el informe semestral sobre grado de avance del programa de trabajo vigente, el cual es agregado como </w:t>
      </w:r>
      <w:r w:rsidRPr="001467F4">
        <w:rPr>
          <w:b/>
          <w:bCs/>
        </w:rPr>
        <w:t>ANEXO</w:t>
      </w:r>
      <w:r>
        <w:rPr>
          <w:b/>
          <w:bCs/>
        </w:rPr>
        <w:t xml:space="preserve"> VI</w:t>
      </w:r>
      <w:r w:rsidRPr="001467F4">
        <w:rPr>
          <w:b/>
          <w:bCs/>
        </w:rPr>
        <w:t>.</w:t>
      </w:r>
      <w:r>
        <w:t xml:space="preserve"> La PPTA realizará la carga de los datos en el sistema SIM de la Secretaría MERCOSUR. </w:t>
      </w:r>
    </w:p>
    <w:p w:rsidR="00350510" w:rsidRDefault="00350510" w:rsidP="00350510">
      <w:pPr>
        <w:ind w:left="0" w:hanging="2"/>
        <w:jc w:val="both"/>
      </w:pPr>
    </w:p>
    <w:p w:rsidR="00350510" w:rsidRPr="001467F4" w:rsidRDefault="00350510" w:rsidP="00350510">
      <w:pPr>
        <w:ind w:left="0" w:hanging="2"/>
        <w:jc w:val="both"/>
        <w:rPr>
          <w:lang w:val="es-ES"/>
        </w:rPr>
      </w:pPr>
    </w:p>
    <w:p w:rsidR="00350510" w:rsidRDefault="00350510" w:rsidP="00350510">
      <w:pPr>
        <w:ind w:left="0" w:hanging="2"/>
        <w:jc w:val="both"/>
        <w:rPr>
          <w:b/>
          <w:bCs/>
          <w:color w:val="000000"/>
        </w:rPr>
      </w:pPr>
      <w:bookmarkStart w:id="2" w:name="_heading=h.1fob9te" w:colFirst="0" w:colLast="0"/>
      <w:bookmarkEnd w:id="2"/>
      <w:r>
        <w:rPr>
          <w:b/>
          <w:bCs/>
        </w:rPr>
        <w:t xml:space="preserve">4. </w:t>
      </w:r>
      <w:r w:rsidRPr="00144B6E">
        <w:rPr>
          <w:b/>
          <w:bCs/>
        </w:rPr>
        <w:t>Otros temas</w:t>
      </w:r>
      <w:r>
        <w:rPr>
          <w:b/>
          <w:bCs/>
        </w:rPr>
        <w:t xml:space="preserve">: </w:t>
      </w:r>
      <w:r w:rsidRPr="00144B6E">
        <w:rPr>
          <w:b/>
          <w:bCs/>
        </w:rPr>
        <w:t>C</w:t>
      </w:r>
      <w:r w:rsidRPr="00144B6E">
        <w:rPr>
          <w:b/>
          <w:bCs/>
          <w:color w:val="000000"/>
        </w:rPr>
        <w:t>omentarios sobre las Resoluciones GMC N° 53/19 y N° 03/</w:t>
      </w:r>
      <w:r>
        <w:rPr>
          <w:b/>
          <w:bCs/>
          <w:color w:val="000000"/>
        </w:rPr>
        <w:t>20.</w:t>
      </w:r>
    </w:p>
    <w:p w:rsidR="00350510" w:rsidRPr="00144B6E" w:rsidRDefault="00350510" w:rsidP="00350510">
      <w:pPr>
        <w:ind w:left="0" w:hanging="2"/>
        <w:jc w:val="both"/>
        <w:rPr>
          <w:b/>
          <w:bCs/>
        </w:rPr>
      </w:pPr>
    </w:p>
    <w:p w:rsidR="00350510" w:rsidRDefault="00350510" w:rsidP="00350510">
      <w:pPr>
        <w:ind w:left="0" w:hanging="2"/>
        <w:jc w:val="both"/>
      </w:pPr>
      <w:r>
        <w:t>La Bancada Sindical reiteró al CG que ratifique su compromiso con el carácter tripartito en su instancia deliberativa (con participación de los actores sociales) y solicite al GMC que se permita suscribir por parte de dichos actores las Actas del Subgrupo de Trabajo N° 10 "Asuntos Laborales, Empleo y Seguridad Social" (SGT N°10).</w:t>
      </w:r>
    </w:p>
    <w:p w:rsidR="00350510" w:rsidRPr="001467F4" w:rsidRDefault="00350510" w:rsidP="00350510">
      <w:pPr>
        <w:ind w:left="0" w:hanging="2"/>
        <w:jc w:val="both"/>
        <w:rPr>
          <w:lang w:val="es-ES"/>
        </w:rPr>
      </w:pPr>
    </w:p>
    <w:p w:rsidR="00350510" w:rsidRDefault="00350510" w:rsidP="00350510">
      <w:pPr>
        <w:ind w:left="0" w:hanging="2"/>
        <w:jc w:val="both"/>
      </w:pPr>
      <w:bookmarkStart w:id="3" w:name="_heading=h.gjdgxs" w:colFirst="0" w:colLast="0"/>
      <w:bookmarkStart w:id="4" w:name="_heading=h.ymsewy9bnb89" w:colFirst="0" w:colLast="0"/>
      <w:bookmarkEnd w:id="3"/>
      <w:bookmarkEnd w:id="4"/>
    </w:p>
    <w:p w:rsidR="00350510" w:rsidRDefault="00350510" w:rsidP="00350510">
      <w:pPr>
        <w:ind w:left="0" w:hanging="2"/>
        <w:jc w:val="both"/>
        <w:rPr>
          <w:color w:val="000000"/>
        </w:rPr>
      </w:pPr>
      <w:r>
        <w:rPr>
          <w:b/>
          <w:color w:val="000000"/>
        </w:rPr>
        <w:t>PRÓXIMA REUNIÓN</w:t>
      </w:r>
    </w:p>
    <w:p w:rsidR="00350510" w:rsidRDefault="00350510" w:rsidP="00350510">
      <w:pPr>
        <w:ind w:left="0" w:hanging="2"/>
        <w:jc w:val="both"/>
      </w:pPr>
      <w:r>
        <w:t>La próxima reunión ordinaria del CG, será convocada oportunamente por la PPT.</w:t>
      </w:r>
    </w:p>
    <w:p w:rsidR="00350510" w:rsidRDefault="00350510" w:rsidP="00350510">
      <w:pPr>
        <w:ind w:left="0" w:hanging="2"/>
        <w:jc w:val="both"/>
      </w:pPr>
    </w:p>
    <w:p w:rsidR="00350510" w:rsidRDefault="00350510" w:rsidP="00350510">
      <w:pPr>
        <w:ind w:left="0" w:hanging="2"/>
        <w:jc w:val="both"/>
        <w:rPr>
          <w:b/>
        </w:rPr>
      </w:pPr>
    </w:p>
    <w:p w:rsidR="00350510" w:rsidRDefault="00350510" w:rsidP="00350510">
      <w:pPr>
        <w:ind w:left="0" w:hanging="2"/>
        <w:jc w:val="both"/>
        <w:rPr>
          <w:b/>
        </w:rPr>
      </w:pPr>
    </w:p>
    <w:p w:rsidR="00350510" w:rsidRDefault="00350510" w:rsidP="00350510">
      <w:pPr>
        <w:ind w:left="0" w:hanging="2"/>
        <w:jc w:val="both"/>
      </w:pPr>
      <w:r>
        <w:rPr>
          <w:b/>
        </w:rPr>
        <w:t>ANEXOS</w:t>
      </w:r>
    </w:p>
    <w:p w:rsidR="00350510" w:rsidRDefault="00350510" w:rsidP="00350510">
      <w:pPr>
        <w:ind w:left="0" w:hanging="2"/>
        <w:jc w:val="both"/>
      </w:pPr>
    </w:p>
    <w:p w:rsidR="00350510" w:rsidRDefault="00350510" w:rsidP="00350510">
      <w:pPr>
        <w:ind w:left="0" w:hanging="2"/>
        <w:jc w:val="both"/>
      </w:pPr>
      <w:r>
        <w:t xml:space="preserve">Los Anexos que forman parte de la presente Acta son los siguientes: </w:t>
      </w:r>
    </w:p>
    <w:p w:rsidR="00350510" w:rsidRDefault="00350510" w:rsidP="00350510">
      <w:pPr>
        <w:ind w:left="0" w:hanging="2"/>
      </w:pPr>
    </w:p>
    <w:tbl>
      <w:tblPr>
        <w:tblW w:w="789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76"/>
        <w:gridCol w:w="6521"/>
      </w:tblGrid>
      <w:tr w:rsidR="00350510" w:rsidTr="00604F60">
        <w:trPr>
          <w:trHeight w:val="335"/>
        </w:trPr>
        <w:tc>
          <w:tcPr>
            <w:tcW w:w="1376" w:type="dxa"/>
            <w:tcBorders>
              <w:top w:val="single" w:sz="6" w:space="0" w:color="000000"/>
              <w:left w:val="single" w:sz="6" w:space="0" w:color="000000"/>
              <w:bottom w:val="single" w:sz="6" w:space="0" w:color="000000"/>
              <w:right w:val="single" w:sz="6" w:space="0" w:color="000000"/>
            </w:tcBorders>
          </w:tcPr>
          <w:p w:rsidR="00350510" w:rsidRDefault="00350510" w:rsidP="00604F60">
            <w:pPr>
              <w:ind w:left="0" w:hanging="2"/>
            </w:pPr>
            <w:r>
              <w:rPr>
                <w:b/>
              </w:rPr>
              <w:t>Anexo I</w:t>
            </w:r>
          </w:p>
        </w:tc>
        <w:tc>
          <w:tcPr>
            <w:tcW w:w="6521" w:type="dxa"/>
            <w:tcBorders>
              <w:top w:val="single" w:sz="6" w:space="0" w:color="000000"/>
              <w:left w:val="single" w:sz="6" w:space="0" w:color="000000"/>
              <w:bottom w:val="single" w:sz="6" w:space="0" w:color="000000"/>
              <w:right w:val="single" w:sz="6" w:space="0" w:color="000000"/>
            </w:tcBorders>
          </w:tcPr>
          <w:p w:rsidR="00350510" w:rsidRPr="001467F4" w:rsidRDefault="00350510" w:rsidP="00604F60">
            <w:pPr>
              <w:ind w:left="0" w:hanging="2"/>
              <w:rPr>
                <w:bCs/>
              </w:rPr>
            </w:pPr>
            <w:r w:rsidRPr="001467F4">
              <w:rPr>
                <w:bCs/>
              </w:rPr>
              <w:t>Lista de participantes</w:t>
            </w:r>
          </w:p>
        </w:tc>
      </w:tr>
      <w:tr w:rsidR="00350510" w:rsidTr="00604F60">
        <w:trPr>
          <w:trHeight w:val="253"/>
        </w:trPr>
        <w:tc>
          <w:tcPr>
            <w:tcW w:w="1376" w:type="dxa"/>
            <w:tcBorders>
              <w:top w:val="single" w:sz="6" w:space="0" w:color="000000"/>
              <w:left w:val="single" w:sz="6" w:space="0" w:color="000000"/>
              <w:bottom w:val="single" w:sz="6" w:space="0" w:color="000000"/>
              <w:right w:val="single" w:sz="6" w:space="0" w:color="000000"/>
            </w:tcBorders>
          </w:tcPr>
          <w:p w:rsidR="00350510" w:rsidRDefault="00350510" w:rsidP="00604F60">
            <w:pPr>
              <w:ind w:left="0" w:hanging="2"/>
            </w:pPr>
            <w:r>
              <w:rPr>
                <w:b/>
              </w:rPr>
              <w:t>Anexo II</w:t>
            </w:r>
          </w:p>
        </w:tc>
        <w:tc>
          <w:tcPr>
            <w:tcW w:w="6521" w:type="dxa"/>
            <w:tcBorders>
              <w:top w:val="single" w:sz="6" w:space="0" w:color="000000"/>
              <w:left w:val="single" w:sz="6" w:space="0" w:color="000000"/>
              <w:bottom w:val="single" w:sz="6" w:space="0" w:color="000000"/>
              <w:right w:val="single" w:sz="6" w:space="0" w:color="000000"/>
            </w:tcBorders>
          </w:tcPr>
          <w:p w:rsidR="00350510" w:rsidRPr="001467F4" w:rsidRDefault="00350510" w:rsidP="00604F60">
            <w:pPr>
              <w:ind w:left="0" w:hanging="2"/>
              <w:rPr>
                <w:bCs/>
              </w:rPr>
            </w:pPr>
            <w:r w:rsidRPr="001467F4">
              <w:rPr>
                <w:bCs/>
              </w:rPr>
              <w:t>Agenda</w:t>
            </w:r>
          </w:p>
        </w:tc>
      </w:tr>
      <w:tr w:rsidR="00350510" w:rsidTr="00604F60">
        <w:trPr>
          <w:trHeight w:val="263"/>
        </w:trPr>
        <w:tc>
          <w:tcPr>
            <w:tcW w:w="1376" w:type="dxa"/>
            <w:tcBorders>
              <w:top w:val="single" w:sz="6" w:space="0" w:color="000000"/>
              <w:left w:val="single" w:sz="6" w:space="0" w:color="000000"/>
              <w:bottom w:val="single" w:sz="6" w:space="0" w:color="000000"/>
              <w:right w:val="single" w:sz="6" w:space="0" w:color="000000"/>
            </w:tcBorders>
          </w:tcPr>
          <w:p w:rsidR="00350510" w:rsidRDefault="00350510" w:rsidP="00604F60">
            <w:pPr>
              <w:ind w:left="0" w:hanging="2"/>
              <w:rPr>
                <w:b/>
              </w:rPr>
            </w:pPr>
            <w:r>
              <w:rPr>
                <w:b/>
              </w:rPr>
              <w:t>Anexo III</w:t>
            </w:r>
          </w:p>
        </w:tc>
        <w:tc>
          <w:tcPr>
            <w:tcW w:w="6521" w:type="dxa"/>
            <w:tcBorders>
              <w:top w:val="single" w:sz="6" w:space="0" w:color="000000"/>
              <w:left w:val="single" w:sz="6" w:space="0" w:color="000000"/>
              <w:bottom w:val="single" w:sz="6" w:space="0" w:color="000000"/>
              <w:right w:val="single" w:sz="6" w:space="0" w:color="000000"/>
            </w:tcBorders>
          </w:tcPr>
          <w:p w:rsidR="00350510" w:rsidRPr="001467F4" w:rsidRDefault="00350510" w:rsidP="00604F60">
            <w:pPr>
              <w:ind w:left="0" w:hanging="2"/>
              <w:rPr>
                <w:bCs/>
              </w:rPr>
            </w:pPr>
            <w:r w:rsidRPr="001467F4">
              <w:rPr>
                <w:bCs/>
              </w:rPr>
              <w:t>Ayuda Memoria reunión 10 de abril 2023</w:t>
            </w:r>
          </w:p>
        </w:tc>
      </w:tr>
      <w:tr w:rsidR="00350510" w:rsidTr="00604F60">
        <w:trPr>
          <w:trHeight w:val="263"/>
        </w:trPr>
        <w:tc>
          <w:tcPr>
            <w:tcW w:w="1376" w:type="dxa"/>
            <w:tcBorders>
              <w:top w:val="single" w:sz="6" w:space="0" w:color="000000"/>
              <w:left w:val="single" w:sz="6" w:space="0" w:color="000000"/>
              <w:bottom w:val="single" w:sz="6" w:space="0" w:color="000000"/>
              <w:right w:val="single" w:sz="6" w:space="0" w:color="000000"/>
            </w:tcBorders>
          </w:tcPr>
          <w:p w:rsidR="00350510" w:rsidRDefault="00350510" w:rsidP="00604F60">
            <w:pPr>
              <w:ind w:left="0" w:hanging="2"/>
              <w:rPr>
                <w:b/>
              </w:rPr>
            </w:pPr>
            <w:r>
              <w:rPr>
                <w:b/>
              </w:rPr>
              <w:t>Anexo IV</w:t>
            </w:r>
          </w:p>
        </w:tc>
        <w:tc>
          <w:tcPr>
            <w:tcW w:w="6521" w:type="dxa"/>
            <w:tcBorders>
              <w:top w:val="single" w:sz="6" w:space="0" w:color="000000"/>
              <w:left w:val="single" w:sz="6" w:space="0" w:color="000000"/>
              <w:bottom w:val="single" w:sz="6" w:space="0" w:color="000000"/>
              <w:right w:val="single" w:sz="6" w:space="0" w:color="000000"/>
            </w:tcBorders>
          </w:tcPr>
          <w:p w:rsidR="00350510" w:rsidRPr="001467F4" w:rsidRDefault="00350510" w:rsidP="00604F60">
            <w:pPr>
              <w:ind w:left="0" w:hanging="2"/>
              <w:rPr>
                <w:bCs/>
              </w:rPr>
            </w:pPr>
            <w:r>
              <w:rPr>
                <w:bCs/>
              </w:rPr>
              <w:t>Estudio de legislación comparada CETSS y CG</w:t>
            </w:r>
          </w:p>
        </w:tc>
      </w:tr>
      <w:tr w:rsidR="00350510" w:rsidTr="00604F60">
        <w:trPr>
          <w:trHeight w:val="253"/>
        </w:trPr>
        <w:tc>
          <w:tcPr>
            <w:tcW w:w="1376" w:type="dxa"/>
            <w:tcBorders>
              <w:top w:val="single" w:sz="6" w:space="0" w:color="000000"/>
              <w:left w:val="single" w:sz="6" w:space="0" w:color="000000"/>
              <w:bottom w:val="single" w:sz="6" w:space="0" w:color="000000"/>
              <w:right w:val="single" w:sz="6" w:space="0" w:color="000000"/>
            </w:tcBorders>
          </w:tcPr>
          <w:p w:rsidR="00350510" w:rsidRDefault="00350510" w:rsidP="00604F60">
            <w:pPr>
              <w:ind w:left="0" w:hanging="2"/>
            </w:pPr>
            <w:r>
              <w:rPr>
                <w:b/>
              </w:rPr>
              <w:t>Anexo V</w:t>
            </w:r>
          </w:p>
        </w:tc>
        <w:tc>
          <w:tcPr>
            <w:tcW w:w="6521" w:type="dxa"/>
            <w:tcBorders>
              <w:top w:val="single" w:sz="6" w:space="0" w:color="000000"/>
              <w:left w:val="single" w:sz="6" w:space="0" w:color="000000"/>
              <w:bottom w:val="single" w:sz="6" w:space="0" w:color="000000"/>
              <w:right w:val="single" w:sz="6" w:space="0" w:color="000000"/>
            </w:tcBorders>
          </w:tcPr>
          <w:p w:rsidR="00350510" w:rsidRPr="001467F4" w:rsidRDefault="00350510" w:rsidP="00604F60">
            <w:pPr>
              <w:ind w:left="0" w:hanging="2"/>
              <w:rPr>
                <w:bCs/>
              </w:rPr>
            </w:pPr>
            <w:r w:rsidRPr="001467F4">
              <w:rPr>
                <w:bCs/>
              </w:rPr>
              <w:t>Programa Trabajo 2023-2024</w:t>
            </w:r>
          </w:p>
        </w:tc>
      </w:tr>
      <w:tr w:rsidR="00350510" w:rsidTr="00604F60">
        <w:trPr>
          <w:trHeight w:val="253"/>
        </w:trPr>
        <w:tc>
          <w:tcPr>
            <w:tcW w:w="1376" w:type="dxa"/>
            <w:tcBorders>
              <w:top w:val="single" w:sz="6" w:space="0" w:color="000000"/>
              <w:left w:val="single" w:sz="6" w:space="0" w:color="000000"/>
              <w:bottom w:val="single" w:sz="6" w:space="0" w:color="000000"/>
              <w:right w:val="single" w:sz="6" w:space="0" w:color="000000"/>
            </w:tcBorders>
          </w:tcPr>
          <w:p w:rsidR="00350510" w:rsidRDefault="00350510" w:rsidP="00604F60">
            <w:pPr>
              <w:ind w:left="0" w:hanging="2"/>
            </w:pPr>
            <w:r>
              <w:rPr>
                <w:b/>
              </w:rPr>
              <w:t>Anexo VI</w:t>
            </w:r>
          </w:p>
        </w:tc>
        <w:tc>
          <w:tcPr>
            <w:tcW w:w="6521" w:type="dxa"/>
            <w:tcBorders>
              <w:top w:val="single" w:sz="6" w:space="0" w:color="000000"/>
              <w:left w:val="single" w:sz="6" w:space="0" w:color="000000"/>
              <w:bottom w:val="single" w:sz="6" w:space="0" w:color="000000"/>
              <w:right w:val="single" w:sz="6" w:space="0" w:color="000000"/>
            </w:tcBorders>
          </w:tcPr>
          <w:p w:rsidR="00350510" w:rsidRPr="001467F4" w:rsidRDefault="00350510" w:rsidP="00604F60">
            <w:pPr>
              <w:ind w:left="0" w:hanging="2"/>
              <w:rPr>
                <w:bCs/>
              </w:rPr>
            </w:pPr>
            <w:r w:rsidRPr="001467F4">
              <w:rPr>
                <w:bCs/>
              </w:rPr>
              <w:t>Informe semestral de cumplimiento PT 2023/24</w:t>
            </w:r>
          </w:p>
        </w:tc>
      </w:tr>
    </w:tbl>
    <w:p w:rsidR="00350510" w:rsidRDefault="00350510" w:rsidP="00350510">
      <w:pPr>
        <w:ind w:left="0" w:hanging="2"/>
      </w:pPr>
    </w:p>
    <w:p w:rsidR="00350510" w:rsidRDefault="00350510" w:rsidP="00350510">
      <w:pPr>
        <w:ind w:left="0" w:hanging="2"/>
      </w:pPr>
    </w:p>
    <w:p w:rsidR="00350510" w:rsidRDefault="00350510" w:rsidP="00350510">
      <w:pPr>
        <w:ind w:left="0" w:hanging="2"/>
      </w:pPr>
    </w:p>
    <w:p w:rsidR="00350510" w:rsidRDefault="00350510" w:rsidP="00350510">
      <w:pPr>
        <w:ind w:left="0" w:hanging="2"/>
      </w:pPr>
    </w:p>
    <w:p w:rsidR="00350510" w:rsidRDefault="00350510" w:rsidP="00350510">
      <w:pPr>
        <w:ind w:left="0" w:hanging="2"/>
      </w:pPr>
    </w:p>
    <w:p w:rsidR="00350510" w:rsidRDefault="00350510" w:rsidP="00350510">
      <w:pPr>
        <w:ind w:left="0" w:hanging="2"/>
      </w:pPr>
    </w:p>
    <w:p w:rsidR="00350510" w:rsidRDefault="00350510" w:rsidP="00350510">
      <w:pPr>
        <w:ind w:left="0" w:hanging="2"/>
      </w:pPr>
    </w:p>
    <w:p w:rsidR="00350510" w:rsidRDefault="00350510" w:rsidP="00350510">
      <w:pPr>
        <w:ind w:left="0" w:hanging="2"/>
      </w:pPr>
    </w:p>
    <w:p w:rsidR="00350510" w:rsidRDefault="00350510" w:rsidP="00350510">
      <w:pPr>
        <w:ind w:left="0" w:hanging="2"/>
        <w:rPr>
          <w:highlight w:val="yellow"/>
          <w:u w:val="single"/>
        </w:rPr>
      </w:pPr>
    </w:p>
    <w:tbl>
      <w:tblPr>
        <w:tblW w:w="9128" w:type="dxa"/>
        <w:tblInd w:w="-108" w:type="dxa"/>
        <w:tblLayout w:type="fixed"/>
        <w:tblLook w:val="0000" w:firstRow="0" w:lastRow="0" w:firstColumn="0" w:lastColumn="0" w:noHBand="0" w:noVBand="0"/>
      </w:tblPr>
      <w:tblGrid>
        <w:gridCol w:w="4564"/>
        <w:gridCol w:w="4564"/>
      </w:tblGrid>
      <w:tr w:rsidR="00350510" w:rsidTr="00604F60">
        <w:trPr>
          <w:trHeight w:val="1478"/>
        </w:trPr>
        <w:tc>
          <w:tcPr>
            <w:tcW w:w="4564" w:type="dxa"/>
          </w:tcPr>
          <w:p w:rsidR="00350510" w:rsidRDefault="00350510" w:rsidP="00604F60">
            <w:pPr>
              <w:ind w:left="0" w:hanging="2"/>
            </w:pPr>
            <w:r>
              <w:rPr>
                <w:b/>
              </w:rPr>
              <w:t>_______________________________</w:t>
            </w:r>
          </w:p>
          <w:p w:rsidR="00350510" w:rsidRDefault="00350510" w:rsidP="00604F60">
            <w:pPr>
              <w:ind w:left="0" w:hanging="2"/>
              <w:rPr>
                <w:b/>
              </w:rPr>
            </w:pPr>
            <w:r>
              <w:rPr>
                <w:b/>
              </w:rPr>
              <w:t>Por la Delegación de Argentina</w:t>
            </w:r>
          </w:p>
          <w:p w:rsidR="00350510" w:rsidRPr="00F27B04" w:rsidRDefault="00350510" w:rsidP="00604F60">
            <w:pPr>
              <w:ind w:left="0" w:hanging="2"/>
              <w:rPr>
                <w:bCs/>
              </w:rPr>
            </w:pPr>
            <w:r w:rsidRPr="00F27B04">
              <w:rPr>
                <w:bCs/>
              </w:rPr>
              <w:t>Verónica Carpani</w:t>
            </w:r>
          </w:p>
          <w:p w:rsidR="00350510" w:rsidRDefault="00350510" w:rsidP="00604F60">
            <w:pPr>
              <w:ind w:left="0" w:hanging="2"/>
            </w:pPr>
          </w:p>
          <w:p w:rsidR="00350510" w:rsidRDefault="00350510" w:rsidP="00604F60">
            <w:pPr>
              <w:ind w:left="0" w:hanging="2"/>
              <w:rPr>
                <w:u w:val="single"/>
              </w:rPr>
            </w:pPr>
          </w:p>
        </w:tc>
        <w:tc>
          <w:tcPr>
            <w:tcW w:w="4564" w:type="dxa"/>
          </w:tcPr>
          <w:p w:rsidR="00350510" w:rsidRDefault="00350510" w:rsidP="00604F60">
            <w:pPr>
              <w:ind w:left="0" w:hanging="2"/>
            </w:pPr>
            <w:r>
              <w:rPr>
                <w:b/>
              </w:rPr>
              <w:t>______________________________</w:t>
            </w:r>
          </w:p>
          <w:p w:rsidR="00350510" w:rsidRDefault="00350510" w:rsidP="00604F60">
            <w:pPr>
              <w:ind w:left="0" w:hanging="2"/>
            </w:pPr>
            <w:r>
              <w:rPr>
                <w:b/>
              </w:rPr>
              <w:t>Por la Delegación de Brasil</w:t>
            </w:r>
          </w:p>
          <w:p w:rsidR="00350510" w:rsidRPr="00F27B04" w:rsidRDefault="00350510" w:rsidP="00604F60">
            <w:pPr>
              <w:ind w:left="0" w:hanging="2"/>
            </w:pPr>
            <w:r w:rsidRPr="00F27B04">
              <w:t>Hilana Pereira</w:t>
            </w:r>
          </w:p>
        </w:tc>
      </w:tr>
      <w:tr w:rsidR="00350510" w:rsidTr="00604F60">
        <w:trPr>
          <w:trHeight w:val="2084"/>
        </w:trPr>
        <w:tc>
          <w:tcPr>
            <w:tcW w:w="4564" w:type="dxa"/>
          </w:tcPr>
          <w:p w:rsidR="00350510" w:rsidRDefault="00350510" w:rsidP="00604F60">
            <w:pPr>
              <w:ind w:left="0" w:hanging="2"/>
            </w:pPr>
          </w:p>
          <w:p w:rsidR="00350510" w:rsidRDefault="00350510" w:rsidP="00604F60">
            <w:pPr>
              <w:ind w:left="0" w:hanging="2"/>
            </w:pPr>
          </w:p>
          <w:p w:rsidR="00350510" w:rsidRDefault="00350510" w:rsidP="00604F60">
            <w:pPr>
              <w:ind w:left="0" w:hanging="2"/>
            </w:pPr>
          </w:p>
          <w:p w:rsidR="00350510" w:rsidRDefault="00350510" w:rsidP="00604F60">
            <w:pPr>
              <w:ind w:left="0" w:hanging="2"/>
            </w:pPr>
          </w:p>
          <w:p w:rsidR="00350510" w:rsidRDefault="00350510" w:rsidP="00604F60">
            <w:pPr>
              <w:ind w:left="0" w:hanging="2"/>
            </w:pPr>
            <w:r>
              <w:rPr>
                <w:b/>
              </w:rPr>
              <w:t>_______________________________</w:t>
            </w:r>
          </w:p>
          <w:p w:rsidR="00350510" w:rsidRDefault="00350510" w:rsidP="00604F60">
            <w:pPr>
              <w:ind w:left="0" w:hanging="2"/>
            </w:pPr>
            <w:r>
              <w:rPr>
                <w:b/>
              </w:rPr>
              <w:t>Por la Delegación de Paraguay</w:t>
            </w:r>
          </w:p>
          <w:p w:rsidR="00350510" w:rsidRDefault="00350510" w:rsidP="00604F60">
            <w:pPr>
              <w:ind w:left="0" w:hanging="2"/>
            </w:pPr>
            <w:r>
              <w:t>Patricia Luchin Rumak</w:t>
            </w:r>
          </w:p>
        </w:tc>
        <w:tc>
          <w:tcPr>
            <w:tcW w:w="4564" w:type="dxa"/>
          </w:tcPr>
          <w:p w:rsidR="00350510" w:rsidRDefault="00350510" w:rsidP="00604F60">
            <w:pPr>
              <w:ind w:left="0" w:hanging="2"/>
            </w:pPr>
          </w:p>
          <w:p w:rsidR="00350510" w:rsidRDefault="00350510" w:rsidP="00604F60">
            <w:pPr>
              <w:ind w:left="0" w:hanging="2"/>
            </w:pPr>
          </w:p>
          <w:p w:rsidR="00350510" w:rsidRDefault="00350510" w:rsidP="00604F60">
            <w:pPr>
              <w:ind w:left="0" w:hanging="2"/>
            </w:pPr>
          </w:p>
          <w:p w:rsidR="00350510" w:rsidRDefault="00350510" w:rsidP="00604F60">
            <w:pPr>
              <w:ind w:left="0" w:hanging="2"/>
            </w:pPr>
          </w:p>
          <w:p w:rsidR="00350510" w:rsidRDefault="00350510" w:rsidP="00604F60">
            <w:pPr>
              <w:ind w:left="0" w:hanging="2"/>
            </w:pPr>
            <w:r>
              <w:rPr>
                <w:b/>
              </w:rPr>
              <w:t>_______________________________</w:t>
            </w:r>
          </w:p>
          <w:p w:rsidR="00350510" w:rsidRDefault="00350510" w:rsidP="00604F60">
            <w:pPr>
              <w:ind w:left="0" w:hanging="2"/>
            </w:pPr>
            <w:r>
              <w:rPr>
                <w:b/>
              </w:rPr>
              <w:t>Por la Delegación de Uruguay</w:t>
            </w:r>
          </w:p>
          <w:p w:rsidR="00350510" w:rsidRPr="00F27B04" w:rsidRDefault="00350510" w:rsidP="00604F60">
            <w:pPr>
              <w:ind w:left="0" w:hanging="2"/>
            </w:pPr>
            <w:r w:rsidRPr="00F27B04">
              <w:t>Laura Triaca</w:t>
            </w:r>
          </w:p>
        </w:tc>
      </w:tr>
    </w:tbl>
    <w:p w:rsidR="00350510" w:rsidRDefault="00350510" w:rsidP="00350510">
      <w:pPr>
        <w:ind w:left="0" w:hanging="2"/>
        <w:rPr>
          <w:b/>
          <w:color w:val="000000"/>
        </w:rPr>
      </w:pPr>
    </w:p>
    <w:p w:rsidR="009260E1" w:rsidRPr="00350510" w:rsidRDefault="009260E1" w:rsidP="00350510">
      <w:pPr>
        <w:ind w:left="0" w:hanging="2"/>
      </w:pPr>
    </w:p>
    <w:sectPr w:rsidR="009260E1" w:rsidRPr="00350510">
      <w:headerReference w:type="even" r:id="rId9"/>
      <w:headerReference w:type="default" r:id="rId10"/>
      <w:footerReference w:type="default" r:id="rId11"/>
      <w:headerReference w:type="first" r:id="rId12"/>
      <w:footerReference w:type="first" r:id="rId13"/>
      <w:pgSz w:w="11907" w:h="16840"/>
      <w:pgMar w:top="284" w:right="1134" w:bottom="993" w:left="1701" w:header="680" w:footer="4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CE" w:rsidRDefault="003369CE">
      <w:pPr>
        <w:spacing w:line="240" w:lineRule="auto"/>
        <w:ind w:left="0" w:hanging="2"/>
      </w:pPr>
      <w:r>
        <w:separator/>
      </w:r>
    </w:p>
  </w:endnote>
  <w:endnote w:type="continuationSeparator" w:id="0">
    <w:p w:rsidR="003369CE" w:rsidRDefault="003369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E1" w:rsidRDefault="0035047C">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12044">
      <w:rPr>
        <w:noProof/>
        <w:color w:val="000000"/>
      </w:rPr>
      <w:t>2</w:t>
    </w:r>
    <w:r>
      <w:rPr>
        <w:color w:val="000000"/>
      </w:rPr>
      <w:fldChar w:fldCharType="end"/>
    </w:r>
  </w:p>
  <w:p w:rsidR="009260E1" w:rsidRDefault="009260E1">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E1" w:rsidRDefault="0035047C">
    <w:pPr>
      <w:tabs>
        <w:tab w:val="center" w:pos="4419"/>
        <w:tab w:val="right" w:pos="8838"/>
      </w:tabs>
      <w:ind w:left="0" w:hanging="2"/>
      <w:jc w:val="center"/>
      <w:rPr>
        <w:sz w:val="16"/>
        <w:szCs w:val="16"/>
      </w:rPr>
    </w:pPr>
    <w:r>
      <w:rPr>
        <w:b/>
        <w:i/>
        <w:sz w:val="16"/>
        <w:szCs w:val="16"/>
      </w:rPr>
      <w:t>Secretaría del MERCOSUR</w:t>
    </w:r>
  </w:p>
  <w:p w:rsidR="009260E1" w:rsidRDefault="0035047C">
    <w:pPr>
      <w:tabs>
        <w:tab w:val="center" w:pos="4419"/>
        <w:tab w:val="right" w:pos="8838"/>
      </w:tabs>
      <w:ind w:left="0" w:hanging="2"/>
      <w:jc w:val="center"/>
      <w:rPr>
        <w:sz w:val="16"/>
        <w:szCs w:val="16"/>
      </w:rPr>
    </w:pPr>
    <w:r>
      <w:rPr>
        <w:b/>
        <w:sz w:val="16"/>
        <w:szCs w:val="16"/>
      </w:rPr>
      <w:t>Archivo Oficial</w:t>
    </w:r>
  </w:p>
  <w:p w:rsidR="009260E1" w:rsidRDefault="0035047C">
    <w:pPr>
      <w:tabs>
        <w:tab w:val="center" w:pos="4419"/>
        <w:tab w:val="right" w:pos="8838"/>
      </w:tabs>
      <w:ind w:left="0" w:hanging="2"/>
      <w:jc w:val="center"/>
      <w:rPr>
        <w:sz w:val="16"/>
        <w:szCs w:val="16"/>
      </w:rPr>
    </w:pPr>
    <w:r>
      <w:rPr>
        <w:sz w:val="16"/>
        <w:szCs w:val="16"/>
      </w:rPr>
      <w:t xml:space="preserve">  www.mercosur.int </w:t>
    </w:r>
  </w:p>
  <w:p w:rsidR="009260E1" w:rsidRDefault="009260E1">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CE" w:rsidRDefault="003369CE">
      <w:pPr>
        <w:spacing w:line="240" w:lineRule="auto"/>
        <w:ind w:left="0" w:hanging="2"/>
      </w:pPr>
      <w:r>
        <w:separator/>
      </w:r>
    </w:p>
  </w:footnote>
  <w:footnote w:type="continuationSeparator" w:id="0">
    <w:p w:rsidR="003369CE" w:rsidRDefault="003369C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E1" w:rsidRDefault="003369CE">
    <w:pPr>
      <w:widowControl w:val="0"/>
      <w:pBdr>
        <w:top w:val="nil"/>
        <w:left w:val="nil"/>
        <w:bottom w:val="nil"/>
        <w:right w:val="nil"/>
        <w:between w:val="nil"/>
      </w:pBdr>
      <w:tabs>
        <w:tab w:val="center" w:pos="4252"/>
        <w:tab w:val="right" w:pos="8504"/>
      </w:tabs>
      <w:spacing w:line="240" w:lineRule="auto"/>
      <w:ind w:left="0" w:hanging="2"/>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10pt;height:309pt;z-index:-251657728;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E1" w:rsidRDefault="003369CE">
    <w:pPr>
      <w:widowControl w:val="0"/>
      <w:pBdr>
        <w:top w:val="nil"/>
        <w:left w:val="nil"/>
        <w:bottom w:val="nil"/>
        <w:right w:val="nil"/>
        <w:between w:val="nil"/>
      </w:pBdr>
      <w:tabs>
        <w:tab w:val="center" w:pos="4252"/>
        <w:tab w:val="right" w:pos="8504"/>
      </w:tabs>
      <w:spacing w:line="240" w:lineRule="auto"/>
      <w:ind w:left="0" w:hanging="2"/>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510pt;height:309pt;z-index:-251659776;mso-position-horizontal:center;mso-position-horizontal-relative:margin;mso-position-vertical:center;mso-position-vertical-relative:margin">
          <v:imagedata r:id="rId1" o:title="image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E1" w:rsidRDefault="003369CE">
    <w:pPr>
      <w:widowControl w:val="0"/>
      <w:pBdr>
        <w:top w:val="nil"/>
        <w:left w:val="nil"/>
        <w:bottom w:val="nil"/>
        <w:right w:val="nil"/>
        <w:between w:val="nil"/>
      </w:pBdr>
      <w:tabs>
        <w:tab w:val="center" w:pos="4252"/>
        <w:tab w:val="right" w:pos="8504"/>
      </w:tabs>
      <w:spacing w:line="240" w:lineRule="auto"/>
      <w:ind w:left="0" w:hanging="2"/>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10pt;height:309pt;z-index:-251658752;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4D5"/>
    <w:multiLevelType w:val="multilevel"/>
    <w:tmpl w:val="0D06F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901BFF"/>
    <w:multiLevelType w:val="hybridMultilevel"/>
    <w:tmpl w:val="7B329F5A"/>
    <w:lvl w:ilvl="0" w:tplc="F2EE5418">
      <w:numFmt w:val="bullet"/>
      <w:lvlText w:val="-"/>
      <w:lvlJc w:val="left"/>
      <w:pPr>
        <w:ind w:left="358" w:hanging="360"/>
      </w:pPr>
      <w:rPr>
        <w:rFonts w:ascii="Arial" w:eastAsia="Arial" w:hAnsi="Arial" w:cs="Arial"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2" w15:restartNumberingAfterBreak="0">
    <w:nsid w:val="1C896C06"/>
    <w:multiLevelType w:val="multilevel"/>
    <w:tmpl w:val="F3768058"/>
    <w:lvl w:ilvl="0">
      <w:start w:val="1"/>
      <w:numFmt w:val="decimal"/>
      <w:lvlText w:val="%1."/>
      <w:lvlJc w:val="left"/>
      <w:pPr>
        <w:ind w:left="928" w:hanging="360"/>
      </w:pPr>
      <w:rPr>
        <w:rFonts w:ascii="Arial" w:eastAsia="Arial" w:hAnsi="Arial" w:cs="Arial"/>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E1"/>
    <w:rsid w:val="00012044"/>
    <w:rsid w:val="003369CE"/>
    <w:rsid w:val="0035047C"/>
    <w:rsid w:val="00350510"/>
    <w:rsid w:val="009260E1"/>
    <w:rsid w:val="00C675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342923"/>
  <w15:docId w15:val="{FE67F43A-51F8-438E-A038-90441F3D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pt-BR"/>
    </w:rPr>
  </w:style>
  <w:style w:type="paragraph" w:styleId="Ttulo1">
    <w:name w:val="heading 1"/>
    <w:basedOn w:val="Normal"/>
    <w:next w:val="Normal"/>
    <w:pPr>
      <w:keepNext/>
      <w:widowControl w:val="0"/>
    </w:pPr>
    <w:rPr>
      <w:rFonts w:ascii="Monotype Corsiva" w:hAnsi="Monotype Corsiva"/>
      <w:b/>
      <w:snapToGrid w:val="0"/>
      <w:sz w:val="28"/>
      <w:lang w:val="es-MX"/>
    </w:rPr>
  </w:style>
  <w:style w:type="paragraph" w:styleId="Ttulo2">
    <w:name w:val="heading 2"/>
    <w:basedOn w:val="Normal"/>
    <w:next w:val="Normal"/>
    <w:pPr>
      <w:keepNext/>
      <w:ind w:firstLine="567"/>
      <w:outlineLvl w:val="1"/>
    </w:pPr>
    <w:rPr>
      <w:b/>
      <w:lang w:val="es-MX"/>
    </w:rPr>
  </w:style>
  <w:style w:type="paragraph" w:styleId="Ttulo3">
    <w:name w:val="heading 3"/>
    <w:basedOn w:val="Normal"/>
    <w:next w:val="Normal"/>
    <w:pPr>
      <w:keepNext/>
      <w:ind w:left="567" w:right="567"/>
      <w:jc w:val="center"/>
      <w:outlineLvl w:val="2"/>
    </w:pPr>
    <w:rPr>
      <w:b/>
      <w:lang w:val="es-UY"/>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Cambria" w:eastAsia="Times New Roman" w:hAnsi="Cambria" w:cs="Times New Roman"/>
      <w:b/>
      <w:bCs/>
      <w:kern w:val="28"/>
      <w:sz w:val="32"/>
      <w:szCs w:val="32"/>
    </w:rPr>
  </w:style>
  <w:style w:type="paragraph" w:styleId="Encabezado">
    <w:name w:val="header"/>
    <w:basedOn w:val="Normal"/>
    <w:pPr>
      <w:widowControl w:val="0"/>
      <w:tabs>
        <w:tab w:val="center" w:pos="4252"/>
        <w:tab w:val="right" w:pos="8504"/>
      </w:tabs>
    </w:pPr>
    <w:rPr>
      <w:snapToGrid w:val="0"/>
      <w:lang w:val="es-ES"/>
    </w:rPr>
  </w:style>
  <w:style w:type="paragraph" w:styleId="Piedepgina">
    <w:name w:val="footer"/>
    <w:basedOn w:val="Normal"/>
    <w:pPr>
      <w:tabs>
        <w:tab w:val="center" w:pos="4419"/>
        <w:tab w:val="right" w:pos="8838"/>
      </w:tabs>
    </w:pPr>
  </w:style>
  <w:style w:type="character" w:styleId="Hipervnculo">
    <w:name w:val="Hyperlink"/>
    <w:rPr>
      <w:color w:val="0000FF"/>
      <w:w w:val="100"/>
      <w:position w:val="-1"/>
      <w:u w:val="single"/>
      <w:effect w:val="none"/>
      <w:vertAlign w:val="baseline"/>
      <w:cs w:val="0"/>
      <w:em w:val="none"/>
    </w:rPr>
  </w:style>
  <w:style w:type="paragraph" w:styleId="Textoindependiente2">
    <w:name w:val="Body Text 2"/>
    <w:basedOn w:val="Normal"/>
    <w:pPr>
      <w:jc w:val="both"/>
    </w:pPr>
    <w:rPr>
      <w:lang w:val="es-ES"/>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pPr>
      <w:spacing w:after="120"/>
      <w:ind w:left="283"/>
    </w:pPr>
    <w:rPr>
      <w:rFonts w:ascii="Times New Roman" w:hAnsi="Times New Roman"/>
      <w:lang w:val="es-ES"/>
    </w:rPr>
  </w:style>
  <w:style w:type="character" w:customStyle="1" w:styleId="SangradetextonormalCar">
    <w:name w:val="Sangría de texto normal Car"/>
    <w:rPr>
      <w:w w:val="100"/>
      <w:position w:val="-1"/>
      <w:sz w:val="24"/>
      <w:szCs w:val="24"/>
      <w:effect w:val="none"/>
      <w:vertAlign w:val="baseline"/>
      <w:cs w:val="0"/>
      <w:em w:val="none"/>
      <w:lang w:val="es-ES" w:eastAsia="es-ES"/>
    </w:rPr>
  </w:style>
  <w:style w:type="paragraph" w:styleId="Textoindependiente">
    <w:name w:val="Body Text"/>
    <w:basedOn w:val="Normal"/>
    <w:pPr>
      <w:spacing w:after="120"/>
    </w:pPr>
    <w:rPr>
      <w:rFonts w:ascii="Times New Roman" w:hAnsi="Times New Roman"/>
      <w:lang w:val="en-US" w:eastAsia="en-US"/>
    </w:rPr>
  </w:style>
  <w:style w:type="character" w:customStyle="1" w:styleId="TextoindependienteCar">
    <w:name w:val="Texto independiente Car"/>
    <w:rPr>
      <w:w w:val="100"/>
      <w:position w:val="-1"/>
      <w:sz w:val="24"/>
      <w:szCs w:val="24"/>
      <w:effect w:val="none"/>
      <w:vertAlign w:val="baseline"/>
      <w:cs w:val="0"/>
      <w:em w:val="none"/>
      <w:lang w:val="en-US" w:eastAsia="en-US"/>
    </w:rPr>
  </w:style>
  <w:style w:type="paragraph" w:styleId="Prrafodelista">
    <w:name w:val="List Paragraph"/>
    <w:basedOn w:val="Normal"/>
    <w:pPr>
      <w:ind w:left="708"/>
    </w:pPr>
    <w:rPr>
      <w:rFonts w:ascii="Times New Roman" w:hAnsi="Times New Roman"/>
      <w:lang w:val="en-US" w:eastAsia="en-US"/>
    </w:rPr>
  </w:style>
  <w:style w:type="character" w:customStyle="1" w:styleId="PiedepginaCar">
    <w:name w:val="Pie de página Car"/>
    <w:rPr>
      <w:rFonts w:ascii="Arial" w:hAnsi="Arial"/>
      <w:w w:val="100"/>
      <w:position w:val="-1"/>
      <w:sz w:val="24"/>
      <w:effect w:val="none"/>
      <w:vertAlign w:val="baseline"/>
      <w:cs w:val="0"/>
      <w:em w:val="none"/>
      <w:lang w:val="pt-BR"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pt-BR" w:eastAsia="es-ES"/>
    </w:rPr>
  </w:style>
  <w:style w:type="paragraph" w:customStyle="1" w:styleId="TIT2">
    <w:name w:val="TIT 2"/>
    <w:basedOn w:val="Ttulo"/>
    <w:pPr>
      <w:widowControl w:val="0"/>
      <w:suppressAutoHyphens w:val="0"/>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pPr>
      <w:spacing w:before="280" w:after="280"/>
    </w:pPr>
    <w:rPr>
      <w:rFonts w:ascii="Times New Roman" w:hAnsi="Times New Roman"/>
      <w:sz w:val="20"/>
      <w:lang w:val="en-US" w:eastAsia="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rFonts w:ascii="Calibri" w:eastAsia="Calibri" w:hAnsi="Calibri"/>
      <w:position w:val="-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rPr>
      <w:rFonts w:ascii="Cambria" w:eastAsia="Times New Roman" w:hAnsi="Cambria" w:cs="Times New Roman"/>
      <w:b/>
      <w:bCs/>
      <w:w w:val="100"/>
      <w:kern w:val="28"/>
      <w:position w:val="-1"/>
      <w:sz w:val="32"/>
      <w:szCs w:val="32"/>
      <w:effect w:val="none"/>
      <w:vertAlign w:val="baseline"/>
      <w:cs w:val="0"/>
      <w:em w:val="none"/>
      <w:lang w:val="pt-BR" w:eastAsia="es-ES"/>
    </w:rPr>
  </w:style>
  <w:style w:type="character" w:customStyle="1" w:styleId="EncabezadoCar">
    <w:name w:val="Encabezado Car"/>
    <w:rPr>
      <w:rFonts w:ascii="Arial" w:hAnsi="Arial"/>
      <w:snapToGrid/>
      <w:w w:val="100"/>
      <w:position w:val="-1"/>
      <w:sz w:val="24"/>
      <w:effect w:val="none"/>
      <w:vertAlign w:val="baseline"/>
      <w:cs w:val="0"/>
      <w:em w:val="none"/>
      <w:lang w:val="es-ES" w:eastAsia="es-ES"/>
    </w:rPr>
  </w:style>
  <w:style w:type="numbering" w:customStyle="1" w:styleId="Sinlista1">
    <w:name w:val="Sin lista1"/>
    <w:next w:val="Sinlista"/>
    <w:qFormat/>
  </w:style>
  <w:style w:type="table" w:customStyle="1" w:styleId="Tablaconcuadrcula1">
    <w:name w:val="Tabla con cuadrícula1"/>
    <w:basedOn w:val="Tablanormal"/>
    <w:next w:val="Tablaconcuadrcula"/>
    <w:pPr>
      <w:widowControl w:val="0"/>
      <w:suppressAutoHyphens/>
      <w:overflowPunct w:val="0"/>
      <w:adjustRightInd w:val="0"/>
      <w:spacing w:line="1" w:lineRule="atLeast"/>
      <w:ind w:leftChars="-1" w:left="-1" w:hangingChars="1" w:hanging="1"/>
      <w:textDirection w:val="btLr"/>
      <w:textAlignment w:val="top"/>
      <w:outlineLvl w:val="0"/>
    </w:pPr>
    <w:rPr>
      <w:rFonts w:ascii="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BookAntiquaJustificadoDespus6pto">
    <w:name w:val="Estilo Book Antiqua Justificado Después:  6 pto"/>
    <w:basedOn w:val="Normal"/>
    <w:pPr>
      <w:spacing w:before="60" w:after="60" w:line="300" w:lineRule="auto"/>
      <w:jc w:val="both"/>
    </w:pPr>
    <w:rPr>
      <w:rFonts w:ascii="Book Antiqua" w:hAnsi="Book Antiqua"/>
      <w:lang w:val="es-ES"/>
    </w:rPr>
  </w:style>
  <w:style w:type="paragraph" w:customStyle="1" w:styleId="ListParagraph1">
    <w:name w:val="List Paragraph1"/>
    <w:basedOn w:val="Normal"/>
    <w:pPr>
      <w:suppressAutoHyphens w:val="0"/>
      <w:jc w:val="both"/>
    </w:pPr>
    <w:rPr>
      <w:rFonts w:ascii="Times New Roman" w:hAnsi="Times New Roman"/>
      <w:kern w:val="1"/>
      <w:lang w:val="es-ES" w:eastAsia="ar-SA"/>
    </w:rPr>
  </w:style>
  <w:style w:type="character" w:customStyle="1" w:styleId="Ttulo1Car">
    <w:name w:val="Título 1 Car"/>
    <w:rPr>
      <w:rFonts w:ascii="Monotype Corsiva" w:hAnsi="Monotype Corsiva"/>
      <w:b/>
      <w:snapToGrid/>
      <w:w w:val="100"/>
      <w:position w:val="-1"/>
      <w:sz w:val="28"/>
      <w:effect w:val="none"/>
      <w:vertAlign w:val="baseline"/>
      <w:cs w:val="0"/>
      <w:em w:val="none"/>
      <w:lang w:val="es-MX" w:eastAsia="es-E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s-UY" w:eastAsia="es-UY"/>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table" w:customStyle="1" w:styleId="Tablaconcuadrcula2">
    <w:name w:val="Tabla con cuadrícula2"/>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qFormat/>
    <w:pPr>
      <w:spacing w:after="120" w:line="259" w:lineRule="auto"/>
      <w:ind w:left="283"/>
      <w:contextualSpacing/>
    </w:pPr>
    <w:rPr>
      <w:rFonts w:ascii="Calibri" w:eastAsia="Calibri" w:hAnsi="Calibri" w:cs="Times New Roman"/>
      <w:sz w:val="22"/>
      <w:szCs w:val="22"/>
      <w:lang w:val="en-US" w:eastAsia="en-US"/>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Ibz33ifWb+imPHFym1iFizmQ6g==">AMUW2mXr3kVUk4Dx09XmfFzB//gylAeFnL9HWa2U1kc+YlYDqY9HXEcTYJsMR7CXDWFvqPb/6+3LJxjKU5Xm+zteXODXpDPxq8+sWDEPh0sFeuPxGScANm/o+hL42SubDhRRZAY/m+jYEXRm36y3eBwhLsLiH20MgA==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Thiago Sabato Martins</cp:lastModifiedBy>
  <cp:revision>2</cp:revision>
  <dcterms:created xsi:type="dcterms:W3CDTF">2023-04-27T16:42:00Z</dcterms:created>
  <dcterms:modified xsi:type="dcterms:W3CDTF">2023-04-27T16:42:00Z</dcterms:modified>
</cp:coreProperties>
</file>