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1357" w14:textId="77777777" w:rsidR="00F20AB4" w:rsidRDefault="0000000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jc w:val="both"/>
        <w:rPr>
          <w:b/>
        </w:rPr>
      </w:pP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087D1BF6" wp14:editId="42A65175">
            <wp:simplePos x="0" y="0"/>
            <wp:positionH relativeFrom="column">
              <wp:posOffset>114935</wp:posOffset>
            </wp:positionH>
            <wp:positionV relativeFrom="paragraph">
              <wp:posOffset>0</wp:posOffset>
            </wp:positionV>
            <wp:extent cx="1314450" cy="789940"/>
            <wp:effectExtent l="0" t="0" r="0" b="0"/>
            <wp:wrapSquare wrapText="bothSides" distT="0" distB="0" distL="114935" distR="114935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l="5625" t="4994" r="6045" b="6422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89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59264" behindDoc="0" locked="0" layoutInCell="1" hidden="0" allowOverlap="1" wp14:anchorId="018FCBFA" wp14:editId="0490DA77">
            <wp:simplePos x="0" y="0"/>
            <wp:positionH relativeFrom="column">
              <wp:posOffset>4146550</wp:posOffset>
            </wp:positionH>
            <wp:positionV relativeFrom="paragraph">
              <wp:posOffset>-3809</wp:posOffset>
            </wp:positionV>
            <wp:extent cx="1314450" cy="789940"/>
            <wp:effectExtent l="0" t="0" r="0" b="0"/>
            <wp:wrapSquare wrapText="bothSides" distT="0" distB="0" distL="114935" distR="114935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l="5625" t="4994" r="6045" b="6422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89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74F8E6" w14:textId="77777777" w:rsidR="00F20AB4" w:rsidRDefault="0000000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</w:t>
      </w:r>
    </w:p>
    <w:p w14:paraId="487D78FB" w14:textId="77777777" w:rsidR="00F20AB4" w:rsidRDefault="00F20AB4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jc w:val="both"/>
        <w:rPr>
          <w:b/>
          <w:color w:val="000000"/>
        </w:rPr>
      </w:pPr>
    </w:p>
    <w:p w14:paraId="1096FE77" w14:textId="77777777" w:rsidR="00F20AB4" w:rsidRDefault="00F20AB4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jc w:val="both"/>
        <w:rPr>
          <w:b/>
          <w:color w:val="000000"/>
        </w:rPr>
      </w:pPr>
    </w:p>
    <w:p w14:paraId="0BACE770" w14:textId="77777777" w:rsidR="00F20AB4" w:rsidRDefault="00F20AB4">
      <w:pPr>
        <w:spacing w:before="280" w:after="198" w:line="276" w:lineRule="auto"/>
        <w:ind w:left="0" w:hanging="2"/>
        <w:jc w:val="both"/>
        <w:rPr>
          <w:b/>
        </w:rPr>
      </w:pPr>
    </w:p>
    <w:p w14:paraId="03375CC1" w14:textId="77777777" w:rsidR="00F20AB4" w:rsidRDefault="00000000">
      <w:pP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 xml:space="preserve">MERCOSUR /SGT </w:t>
      </w:r>
      <w:proofErr w:type="spellStart"/>
      <w:r>
        <w:rPr>
          <w:b/>
          <w:color w:val="000000"/>
        </w:rPr>
        <w:t>Nº</w:t>
      </w:r>
      <w:proofErr w:type="spellEnd"/>
      <w:r>
        <w:rPr>
          <w:b/>
          <w:color w:val="000000"/>
        </w:rPr>
        <w:t xml:space="preserve"> 10/ CETSPS/ACTA </w:t>
      </w:r>
      <w:proofErr w:type="spellStart"/>
      <w:r>
        <w:rPr>
          <w:b/>
          <w:color w:val="000000"/>
        </w:rPr>
        <w:t>Nº</w:t>
      </w:r>
      <w:proofErr w:type="spellEnd"/>
      <w:r>
        <w:rPr>
          <w:b/>
          <w:color w:val="000000"/>
        </w:rPr>
        <w:t xml:space="preserve"> 01/2023</w:t>
      </w:r>
    </w:p>
    <w:p w14:paraId="64099A50" w14:textId="77777777" w:rsidR="00F20AB4" w:rsidRDefault="00F20AB4">
      <w:pPr>
        <w:spacing w:line="240" w:lineRule="auto"/>
        <w:ind w:left="0" w:hanging="2"/>
        <w:jc w:val="center"/>
        <w:rPr>
          <w:b/>
          <w:u w:val="single"/>
        </w:rPr>
      </w:pPr>
      <w:bookmarkStart w:id="0" w:name="_heading=h.1fob9te" w:colFirst="0" w:colLast="0"/>
      <w:bookmarkEnd w:id="0"/>
    </w:p>
    <w:p w14:paraId="15D7F883" w14:textId="77777777" w:rsidR="001916CA" w:rsidRPr="00741061" w:rsidRDefault="00000000" w:rsidP="001916CA">
      <w:pPr>
        <w:spacing w:line="240" w:lineRule="auto"/>
        <w:ind w:left="0" w:hanging="2"/>
        <w:jc w:val="center"/>
        <w:rPr>
          <w:b/>
          <w:color w:val="000000"/>
        </w:rPr>
      </w:pPr>
      <w:r w:rsidRPr="00741061">
        <w:rPr>
          <w:b/>
          <w:color w:val="000000"/>
        </w:rPr>
        <w:t xml:space="preserve">REUNIÓN DE LA COMISIÓN DEL EQUIPO TÉCNICO DE SEGURIDAD Y PROTECCION </w:t>
      </w:r>
      <w:proofErr w:type="gramStart"/>
      <w:r w:rsidRPr="00741061">
        <w:rPr>
          <w:b/>
          <w:color w:val="000000"/>
        </w:rPr>
        <w:t>SOCIAL( CETSPS</w:t>
      </w:r>
      <w:proofErr w:type="gramEnd"/>
      <w:r w:rsidRPr="00741061">
        <w:rPr>
          <w:b/>
          <w:color w:val="000000"/>
        </w:rPr>
        <w:t>)</w:t>
      </w:r>
    </w:p>
    <w:p w14:paraId="19657922" w14:textId="77777777" w:rsidR="001916CA" w:rsidRPr="00741061" w:rsidRDefault="001916CA" w:rsidP="001916CA">
      <w:pPr>
        <w:spacing w:after="170"/>
        <w:ind w:left="0" w:hanging="2"/>
        <w:jc w:val="center"/>
        <w:rPr>
          <w:bCs/>
          <w:u w:val="single"/>
        </w:rPr>
      </w:pPr>
      <w:r w:rsidRPr="00741061">
        <w:rPr>
          <w:bCs/>
        </w:rPr>
        <w:t xml:space="preserve">Plan para Facilitar la Circulación de Trabajadores en </w:t>
      </w:r>
      <w:proofErr w:type="gramStart"/>
      <w:r w:rsidRPr="00741061">
        <w:rPr>
          <w:bCs/>
        </w:rPr>
        <w:t>el  Mercosur</w:t>
      </w:r>
      <w:proofErr w:type="gramEnd"/>
      <w:r w:rsidRPr="00741061">
        <w:rPr>
          <w:bCs/>
        </w:rPr>
        <w:t xml:space="preserve"> (Res. GMC 21/15)</w:t>
      </w:r>
    </w:p>
    <w:p w14:paraId="346C6455" w14:textId="77777777" w:rsidR="00F20AB4" w:rsidRDefault="00F20AB4" w:rsidP="001916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Chars="0" w:left="0" w:firstLineChars="0" w:firstLine="0"/>
        <w:jc w:val="both"/>
        <w:rPr>
          <w:b/>
        </w:rPr>
      </w:pPr>
    </w:p>
    <w:p w14:paraId="3D51D331" w14:textId="77777777" w:rsidR="00F20AB4" w:rsidRDefault="00F20A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b/>
        </w:rPr>
      </w:pPr>
    </w:p>
    <w:p w14:paraId="6A59CDAC" w14:textId="514F30CD" w:rsidR="00F20AB4" w:rsidRPr="008E6DEA" w:rsidRDefault="00000000" w:rsidP="007410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tLeast"/>
        <w:ind w:left="0" w:hanging="2"/>
        <w:jc w:val="both"/>
        <w:rPr>
          <w:b/>
          <w:color w:val="000000"/>
          <w:u w:val="single"/>
        </w:rPr>
      </w:pPr>
      <w:r>
        <w:rPr>
          <w:color w:val="000000"/>
        </w:rPr>
        <w:t xml:space="preserve">Se realizó </w:t>
      </w:r>
      <w:r w:rsidR="001D4BF8">
        <w:rPr>
          <w:color w:val="000000"/>
        </w:rPr>
        <w:t>el</w:t>
      </w:r>
      <w:r>
        <w:rPr>
          <w:color w:val="000000"/>
        </w:rPr>
        <w:t xml:space="preserve"> día </w:t>
      </w:r>
      <w:r w:rsidR="001916CA">
        <w:rPr>
          <w:color w:val="000000"/>
        </w:rPr>
        <w:t>28</w:t>
      </w:r>
      <w:r>
        <w:rPr>
          <w:color w:val="000000"/>
        </w:rPr>
        <w:t xml:space="preserve"> de</w:t>
      </w:r>
      <w:r w:rsidR="001916CA">
        <w:rPr>
          <w:color w:val="000000"/>
        </w:rPr>
        <w:t xml:space="preserve"> </w:t>
      </w:r>
      <w:proofErr w:type="gramStart"/>
      <w:r w:rsidR="001916CA">
        <w:rPr>
          <w:color w:val="000000"/>
        </w:rPr>
        <w:t>abril</w:t>
      </w:r>
      <w:r>
        <w:rPr>
          <w:color w:val="000000"/>
        </w:rPr>
        <w:t xml:space="preserve"> </w:t>
      </w:r>
      <w:r>
        <w:t xml:space="preserve"> de</w:t>
      </w:r>
      <w:proofErr w:type="gramEnd"/>
      <w:r w:rsidR="001916CA">
        <w:t xml:space="preserve"> </w:t>
      </w:r>
      <w:r>
        <w:t>2023</w:t>
      </w:r>
      <w:r>
        <w:rPr>
          <w:color w:val="000000"/>
        </w:rPr>
        <w:t>, e</w:t>
      </w:r>
      <w:r>
        <w:t xml:space="preserve">n ejercicio de la Presidencia </w:t>
      </w:r>
      <w:r>
        <w:rPr>
          <w:i/>
        </w:rPr>
        <w:t>Pro Tempore</w:t>
      </w:r>
      <w:r>
        <w:t xml:space="preserve"> de Argentina (PPTA),</w:t>
      </w:r>
      <w:r>
        <w:rPr>
          <w:b/>
          <w:color w:val="000000"/>
        </w:rPr>
        <w:t xml:space="preserve"> </w:t>
      </w:r>
      <w:r w:rsidR="00741061" w:rsidRPr="00741061">
        <w:rPr>
          <w:bCs/>
          <w:color w:val="000000"/>
        </w:rPr>
        <w:t xml:space="preserve">reunión de la comisión del </w:t>
      </w:r>
      <w:r w:rsidR="00741061">
        <w:rPr>
          <w:bCs/>
          <w:color w:val="000000"/>
        </w:rPr>
        <w:t>E</w:t>
      </w:r>
      <w:r w:rsidR="00741061" w:rsidRPr="00741061">
        <w:rPr>
          <w:bCs/>
          <w:color w:val="000000"/>
        </w:rPr>
        <w:t xml:space="preserve">quipo </w:t>
      </w:r>
      <w:r w:rsidR="00741061">
        <w:rPr>
          <w:bCs/>
          <w:color w:val="000000"/>
        </w:rPr>
        <w:t>T</w:t>
      </w:r>
      <w:r w:rsidR="00741061" w:rsidRPr="00741061">
        <w:rPr>
          <w:bCs/>
          <w:color w:val="000000"/>
        </w:rPr>
        <w:t xml:space="preserve">écnico de </w:t>
      </w:r>
      <w:r w:rsidR="00741061">
        <w:rPr>
          <w:bCs/>
          <w:color w:val="000000"/>
        </w:rPr>
        <w:t>S</w:t>
      </w:r>
      <w:r w:rsidR="00741061" w:rsidRPr="00741061">
        <w:rPr>
          <w:bCs/>
          <w:color w:val="000000"/>
        </w:rPr>
        <w:t xml:space="preserve">eguridad y </w:t>
      </w:r>
      <w:r w:rsidR="00741061">
        <w:rPr>
          <w:bCs/>
          <w:color w:val="000000"/>
        </w:rPr>
        <w:t>P</w:t>
      </w:r>
      <w:r w:rsidR="00741061" w:rsidRPr="00741061">
        <w:rPr>
          <w:bCs/>
          <w:color w:val="000000"/>
        </w:rPr>
        <w:t>rotección social (CETSPS),</w:t>
      </w:r>
      <w:r w:rsidR="00741061">
        <w:rPr>
          <w:b/>
          <w:color w:val="000000"/>
        </w:rPr>
        <w:t xml:space="preserve"> </w:t>
      </w:r>
      <w:r>
        <w:t xml:space="preserve">por sistema de videoconferencia de conformidad con lo dispuesto en la Resolución GMC </w:t>
      </w:r>
      <w:proofErr w:type="spellStart"/>
      <w:r>
        <w:t>N°</w:t>
      </w:r>
      <w:proofErr w:type="spellEnd"/>
      <w:r>
        <w:t xml:space="preserve"> 19/12, con la presencia de las delegaciones de Argentina, Brasil, Paraguay y Uruguay,</w:t>
      </w:r>
      <w:r>
        <w:rPr>
          <w:color w:val="000000"/>
        </w:rPr>
        <w:t xml:space="preserve">  y representantes del sector</w:t>
      </w:r>
      <w:r w:rsidR="008E6DEA">
        <w:rPr>
          <w:color w:val="000000"/>
        </w:rPr>
        <w:t xml:space="preserve"> trabajador y empleador.</w:t>
      </w:r>
    </w:p>
    <w:p w14:paraId="12343187" w14:textId="77777777" w:rsidR="00F20AB4" w:rsidRDefault="00000000" w:rsidP="00741061">
      <w:pPr>
        <w:spacing w:before="280" w:after="198" w:line="240" w:lineRule="atLeast"/>
        <w:ind w:left="0" w:hanging="2"/>
        <w:jc w:val="both"/>
      </w:pPr>
      <w:r>
        <w:t xml:space="preserve">La lista de participantes consta como </w:t>
      </w:r>
      <w:r>
        <w:rPr>
          <w:b/>
        </w:rPr>
        <w:t>Anexo I.</w:t>
      </w:r>
    </w:p>
    <w:p w14:paraId="775CCD0D" w14:textId="77777777" w:rsidR="00F20AB4" w:rsidRDefault="00000000" w:rsidP="00741061">
      <w:pPr>
        <w:spacing w:before="280" w:line="240" w:lineRule="atLeast"/>
        <w:ind w:left="0" w:hanging="2"/>
        <w:jc w:val="both"/>
      </w:pPr>
      <w:r>
        <w:t xml:space="preserve">La agenda de la reunión consta como </w:t>
      </w:r>
      <w:r>
        <w:rPr>
          <w:b/>
        </w:rPr>
        <w:t>Anexo II.</w:t>
      </w:r>
    </w:p>
    <w:p w14:paraId="3E3350BA" w14:textId="77777777" w:rsidR="00F20AB4" w:rsidRPr="00B82935" w:rsidRDefault="00000000" w:rsidP="00741061">
      <w:pPr>
        <w:spacing w:before="280" w:line="240" w:lineRule="atLeast"/>
        <w:ind w:left="0" w:hanging="2"/>
        <w:jc w:val="both"/>
      </w:pPr>
      <w:r w:rsidRPr="00B82935">
        <w:t xml:space="preserve">La PPTA dio la bienvenida a las delegaciones presentes y sometió a consideración la Agenda de la Reunión, la misma fue aprobada y consta como anexo. </w:t>
      </w:r>
    </w:p>
    <w:p w14:paraId="51ACC3B7" w14:textId="77777777" w:rsidR="00F20AB4" w:rsidRPr="00B82935" w:rsidRDefault="00000000" w:rsidP="00741061">
      <w:pPr>
        <w:spacing w:before="280" w:line="240" w:lineRule="atLeast"/>
        <w:ind w:left="0" w:hanging="2"/>
        <w:jc w:val="both"/>
      </w:pPr>
      <w:r w:rsidRPr="00B82935">
        <w:t>Fueron tratados los siguientes temas:</w:t>
      </w:r>
    </w:p>
    <w:p w14:paraId="36849358" w14:textId="2E892CF1" w:rsidR="001916CA" w:rsidRPr="00B82935" w:rsidRDefault="00000000" w:rsidP="00741061">
      <w:pPr>
        <w:pStyle w:val="Prrafodelista"/>
        <w:numPr>
          <w:ilvl w:val="0"/>
          <w:numId w:val="2"/>
        </w:numPr>
        <w:spacing w:before="280" w:line="240" w:lineRule="atLeast"/>
        <w:ind w:leftChars="0" w:firstLineChars="0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Hlk133555446"/>
      <w:r w:rsidRPr="00B82935">
        <w:rPr>
          <w:rFonts w:ascii="Arial" w:hAnsi="Arial" w:cs="Arial"/>
          <w:b/>
          <w:bCs/>
          <w:sz w:val="24"/>
          <w:szCs w:val="24"/>
        </w:rPr>
        <w:t>Seminario sobre la cobertura de seguridad social de los trabajadores de plataformas digitales en los países miembros del MERCOSUR</w:t>
      </w:r>
      <w:r w:rsidR="00D93287" w:rsidRPr="00B82935">
        <w:rPr>
          <w:rFonts w:ascii="Arial" w:hAnsi="Arial" w:cs="Arial"/>
          <w:b/>
          <w:bCs/>
          <w:sz w:val="24"/>
          <w:szCs w:val="24"/>
        </w:rPr>
        <w:t>.</w:t>
      </w:r>
    </w:p>
    <w:bookmarkEnd w:id="1"/>
    <w:p w14:paraId="73F1DBD8" w14:textId="120E31A9" w:rsidR="00D93287" w:rsidRDefault="00D93287" w:rsidP="00741061">
      <w:pPr>
        <w:spacing w:before="280" w:line="240" w:lineRule="atLeast"/>
        <w:ind w:leftChars="0" w:left="-2" w:firstLineChars="0" w:firstLine="0"/>
        <w:jc w:val="both"/>
        <w:rPr>
          <w:b/>
          <w:bCs/>
        </w:rPr>
      </w:pPr>
      <w:r w:rsidRPr="00B82935">
        <w:t>En relación a la actividad “</w:t>
      </w:r>
      <w:r w:rsidRPr="00B82935">
        <w:t>Seminario sobre la cobertura de seguridad social de los trabajadores de plataformas digitales en los países miembros del MERCOSUR</w:t>
      </w:r>
      <w:r w:rsidRPr="00B82935">
        <w:t xml:space="preserve">”, conforme lo acordado en reunión preparatoria de fecha 24 de febrero, las delegaciones aprobaron la nota conceptual y propuesta de agenda que consta como </w:t>
      </w:r>
      <w:r w:rsidRPr="00B82935">
        <w:rPr>
          <w:b/>
          <w:bCs/>
        </w:rPr>
        <w:t>A</w:t>
      </w:r>
      <w:r w:rsidR="00B82935">
        <w:rPr>
          <w:b/>
          <w:bCs/>
        </w:rPr>
        <w:t>nexo</w:t>
      </w:r>
      <w:r w:rsidRPr="00B82935">
        <w:rPr>
          <w:b/>
          <w:bCs/>
        </w:rPr>
        <w:t xml:space="preserve"> </w:t>
      </w:r>
      <w:r w:rsidR="00B82935" w:rsidRPr="00B82935">
        <w:rPr>
          <w:b/>
          <w:bCs/>
        </w:rPr>
        <w:t>III</w:t>
      </w:r>
      <w:r w:rsidRPr="00B82935">
        <w:rPr>
          <w:b/>
          <w:bCs/>
        </w:rPr>
        <w:t>.</w:t>
      </w:r>
    </w:p>
    <w:p w14:paraId="6D837984" w14:textId="18651CF5" w:rsidR="007C7BBF" w:rsidRPr="007C7BBF" w:rsidRDefault="007C7BBF" w:rsidP="00741061">
      <w:pPr>
        <w:spacing w:before="280" w:line="240" w:lineRule="atLeast"/>
        <w:ind w:leftChars="0" w:left="-2" w:firstLineChars="0" w:firstLine="0"/>
        <w:jc w:val="both"/>
      </w:pPr>
      <w:r w:rsidRPr="007C7BBF">
        <w:t xml:space="preserve">Las delegaciones acordaron como fecha de realización del seminario el día 24 de mayo a las </w:t>
      </w:r>
      <w:r w:rsidR="00E030C1">
        <w:t xml:space="preserve">10 am (hora </w:t>
      </w:r>
      <w:proofErr w:type="gramStart"/>
      <w:r w:rsidR="00E030C1">
        <w:t>Argentina</w:t>
      </w:r>
      <w:proofErr w:type="gramEnd"/>
      <w:r w:rsidR="00E030C1">
        <w:t>)</w:t>
      </w:r>
      <w:r w:rsidRPr="007C7BBF">
        <w:t>.</w:t>
      </w:r>
    </w:p>
    <w:p w14:paraId="600A7FAD" w14:textId="7A14B1AD" w:rsidR="00D93287" w:rsidRPr="00B82935" w:rsidRDefault="007C7BBF" w:rsidP="00741061">
      <w:pPr>
        <w:spacing w:before="280" w:line="240" w:lineRule="atLeast"/>
        <w:ind w:leftChars="0" w:left="0" w:firstLineChars="0" w:firstLine="0"/>
        <w:jc w:val="both"/>
        <w:rPr>
          <w:lang w:val="es-ES"/>
        </w:rPr>
      </w:pPr>
      <w:r>
        <w:rPr>
          <w:lang w:val="es-ES"/>
        </w:rPr>
        <w:t>La CETSPS resolvió</w:t>
      </w:r>
      <w:r w:rsidR="00D93287" w:rsidRPr="00B82935">
        <w:rPr>
          <w:lang w:val="es-ES"/>
        </w:rPr>
        <w:t xml:space="preserve"> terminar de definir los detalles de la agenda </w:t>
      </w:r>
      <w:r>
        <w:rPr>
          <w:lang w:val="es-ES"/>
        </w:rPr>
        <w:t xml:space="preserve">en </w:t>
      </w:r>
      <w:r w:rsidR="00D93287" w:rsidRPr="00B82935">
        <w:rPr>
          <w:lang w:val="es-ES"/>
        </w:rPr>
        <w:t>una reunión de carácter preparatorio, la que se realizará con fecha 10 de mayo a las 10 am.</w:t>
      </w:r>
    </w:p>
    <w:p w14:paraId="1D09C6D7" w14:textId="206CE2DB" w:rsidR="00D93287" w:rsidRPr="00B82935" w:rsidRDefault="00D93287" w:rsidP="00741061">
      <w:pPr>
        <w:spacing w:before="280" w:line="240" w:lineRule="atLeast"/>
        <w:ind w:leftChars="0" w:left="0" w:firstLineChars="0" w:firstLine="0"/>
        <w:jc w:val="both"/>
        <w:rPr>
          <w:lang w:val="es-ES"/>
        </w:rPr>
      </w:pPr>
      <w:r w:rsidRPr="00B82935">
        <w:rPr>
          <w:lang w:val="es-ES"/>
        </w:rPr>
        <w:t>Se aguarda respuesta de la delegación de Brasil sobre la propuesta de nota conceptual</w:t>
      </w:r>
      <w:r w:rsidR="00E030C1">
        <w:rPr>
          <w:lang w:val="es-ES"/>
        </w:rPr>
        <w:t>.</w:t>
      </w:r>
    </w:p>
    <w:p w14:paraId="19832D2C" w14:textId="67D5D9B2" w:rsidR="00D93287" w:rsidRPr="00741061" w:rsidRDefault="00741061" w:rsidP="00741061">
      <w:pPr>
        <w:pStyle w:val="Prrafodelista"/>
        <w:numPr>
          <w:ilvl w:val="0"/>
          <w:numId w:val="2"/>
        </w:numPr>
        <w:suppressAutoHyphens w:val="0"/>
        <w:spacing w:before="240" w:after="240" w:line="240" w:lineRule="atLeast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b/>
          <w:bCs/>
          <w:position w:val="0"/>
          <w:sz w:val="24"/>
          <w:szCs w:val="24"/>
          <w:lang w:val="es-AR" w:eastAsia="es-AR"/>
        </w:rPr>
      </w:pPr>
      <w:bookmarkStart w:id="2" w:name="_Hlk133556615"/>
      <w:r w:rsidRPr="00741061">
        <w:rPr>
          <w:position w:val="0"/>
          <w:lang w:val="es-AR" w:eastAsia="es-AR"/>
        </w:rPr>
        <w:lastRenderedPageBreak/>
        <w:t xml:space="preserve"> </w:t>
      </w:r>
      <w:r w:rsidRPr="00741061">
        <w:rPr>
          <w:rFonts w:ascii="Arial" w:hAnsi="Arial" w:cs="Arial"/>
          <w:b/>
          <w:bCs/>
          <w:position w:val="0"/>
          <w:sz w:val="24"/>
          <w:szCs w:val="24"/>
          <w:lang w:val="es-AR" w:eastAsia="es-AR"/>
        </w:rPr>
        <w:t xml:space="preserve">Realización de </w:t>
      </w:r>
      <w:r>
        <w:rPr>
          <w:rFonts w:ascii="Arial" w:hAnsi="Arial" w:cs="Arial"/>
          <w:b/>
          <w:bCs/>
          <w:position w:val="0"/>
          <w:sz w:val="24"/>
          <w:szCs w:val="24"/>
          <w:lang w:val="es-AR" w:eastAsia="es-AR"/>
        </w:rPr>
        <w:t xml:space="preserve">un </w:t>
      </w:r>
      <w:r w:rsidRPr="00741061">
        <w:rPr>
          <w:rFonts w:ascii="Arial" w:hAnsi="Arial" w:cs="Arial"/>
          <w:b/>
          <w:bCs/>
          <w:position w:val="0"/>
          <w:sz w:val="24"/>
          <w:szCs w:val="24"/>
          <w:lang w:val="es-AR" w:eastAsia="es-AR"/>
        </w:rPr>
        <w:t>estudio comparado sobre sistemas de seguridad social de los Estados Parte del MERCOSUR</w:t>
      </w:r>
      <w:bookmarkEnd w:id="2"/>
    </w:p>
    <w:p w14:paraId="746C369C" w14:textId="0C47C254" w:rsidR="00D93287" w:rsidRPr="00B82935" w:rsidRDefault="00D93287" w:rsidP="00741061">
      <w:pPr>
        <w:spacing w:before="280" w:line="240" w:lineRule="atLeast"/>
        <w:ind w:leftChars="0" w:left="-2" w:firstLineChars="0" w:firstLine="0"/>
        <w:jc w:val="both"/>
      </w:pPr>
      <w:r w:rsidRPr="00B82935">
        <w:rPr>
          <w:lang w:val="es-ES"/>
        </w:rPr>
        <w:t xml:space="preserve">Para la </w:t>
      </w:r>
      <w:r w:rsidR="00B82935" w:rsidRPr="00B82935">
        <w:rPr>
          <w:lang w:val="es-ES"/>
        </w:rPr>
        <w:t>realización</w:t>
      </w:r>
      <w:r w:rsidRPr="00B82935">
        <w:rPr>
          <w:lang w:val="es-ES"/>
        </w:rPr>
        <w:t xml:space="preserve"> de e</w:t>
      </w:r>
      <w:proofErr w:type="spellStart"/>
      <w:r w:rsidRPr="00B82935">
        <w:t>sta</w:t>
      </w:r>
      <w:proofErr w:type="spellEnd"/>
      <w:r w:rsidRPr="00B82935">
        <w:t xml:space="preserve"> actividad, prevista en el Programa de Trabajo de la CETSPS, </w:t>
      </w:r>
      <w:r w:rsidR="00B82935" w:rsidRPr="00B82935">
        <w:t xml:space="preserve">la delegación de Argentina propuso solicitar cooperación técnica internacional vía </w:t>
      </w:r>
      <w:r w:rsidR="009C67D0">
        <w:t>Grupo Cooperación Internacional (</w:t>
      </w:r>
      <w:r w:rsidR="00B82935" w:rsidRPr="00B82935">
        <w:t>GCI</w:t>
      </w:r>
      <w:r w:rsidR="009C67D0">
        <w:t>)</w:t>
      </w:r>
      <w:r w:rsidR="00B82935" w:rsidRPr="00B82935">
        <w:t xml:space="preserve">, según el procedimiento establecido por </w:t>
      </w:r>
      <w:r w:rsidR="009C67D0">
        <w:t>Decisión CMC 23/14</w:t>
      </w:r>
      <w:r w:rsidR="00B82935" w:rsidRPr="00B82935">
        <w:t>.</w:t>
      </w:r>
    </w:p>
    <w:p w14:paraId="5BD7607B" w14:textId="1957B8B4" w:rsidR="00B82935" w:rsidRPr="00B82935" w:rsidRDefault="00B82935" w:rsidP="00741061">
      <w:pPr>
        <w:spacing w:before="280" w:line="240" w:lineRule="atLeast"/>
        <w:ind w:leftChars="0" w:left="-2" w:firstLineChars="0" w:firstLine="0"/>
        <w:jc w:val="both"/>
      </w:pPr>
      <w:r w:rsidRPr="00B82935">
        <w:t>Al efecto, la próxima PPT convocará</w:t>
      </w:r>
      <w:r w:rsidR="00E030C1">
        <w:t xml:space="preserve"> en la primera quincena de agosto </w:t>
      </w:r>
      <w:r w:rsidRPr="00B82935">
        <w:t>a una reunión de carácter preparatorio</w:t>
      </w:r>
      <w:r w:rsidR="00E030C1">
        <w:t xml:space="preserve">, </w:t>
      </w:r>
      <w:r w:rsidRPr="00B82935">
        <w:t>para elaborar el formulario de perfil técnico de proyecto.</w:t>
      </w:r>
    </w:p>
    <w:p w14:paraId="4A240A2F" w14:textId="77777777" w:rsidR="001916CA" w:rsidRPr="00B82935" w:rsidRDefault="00000000" w:rsidP="00741061">
      <w:pPr>
        <w:pStyle w:val="Prrafodelista"/>
        <w:numPr>
          <w:ilvl w:val="0"/>
          <w:numId w:val="2"/>
        </w:numPr>
        <w:spacing w:before="280" w:line="240" w:lineRule="atLeast"/>
        <w:ind w:leftChars="0" w:firstLineChars="0"/>
        <w:jc w:val="both"/>
        <w:rPr>
          <w:rFonts w:ascii="Arial" w:hAnsi="Arial" w:cs="Arial"/>
          <w:b/>
          <w:bCs/>
          <w:sz w:val="24"/>
          <w:szCs w:val="24"/>
        </w:rPr>
      </w:pPr>
      <w:r w:rsidRPr="00B82935">
        <w:rPr>
          <w:rFonts w:ascii="Arial" w:hAnsi="Arial" w:cs="Arial"/>
          <w:b/>
          <w:bCs/>
          <w:sz w:val="24"/>
          <w:szCs w:val="24"/>
        </w:rPr>
        <w:t xml:space="preserve">Evaluación semestral Programa de </w:t>
      </w:r>
      <w:proofErr w:type="gramStart"/>
      <w:r w:rsidRPr="00B82935">
        <w:rPr>
          <w:rFonts w:ascii="Arial" w:hAnsi="Arial" w:cs="Arial"/>
          <w:b/>
          <w:bCs/>
          <w:sz w:val="24"/>
          <w:szCs w:val="24"/>
        </w:rPr>
        <w:t>Trabajo  2023</w:t>
      </w:r>
      <w:proofErr w:type="gramEnd"/>
      <w:r w:rsidRPr="00B82935">
        <w:rPr>
          <w:rFonts w:ascii="Arial" w:hAnsi="Arial" w:cs="Arial"/>
          <w:b/>
          <w:bCs/>
          <w:sz w:val="24"/>
          <w:szCs w:val="24"/>
        </w:rPr>
        <w:t>-2024.</w:t>
      </w:r>
    </w:p>
    <w:p w14:paraId="4D476DC0" w14:textId="77777777" w:rsidR="00D93287" w:rsidRPr="00B82935" w:rsidRDefault="00D93287" w:rsidP="00741061">
      <w:pPr>
        <w:spacing w:line="240" w:lineRule="atLeast"/>
        <w:ind w:leftChars="0" w:left="0" w:firstLineChars="0" w:firstLine="0"/>
        <w:jc w:val="both"/>
        <w:rPr>
          <w:b/>
          <w:bCs/>
        </w:rPr>
      </w:pPr>
    </w:p>
    <w:p w14:paraId="484A2F5F" w14:textId="5049DD02" w:rsidR="00D93287" w:rsidRPr="00B82935" w:rsidRDefault="00D93287" w:rsidP="00741061">
      <w:pPr>
        <w:spacing w:line="240" w:lineRule="atLeast"/>
        <w:ind w:leftChars="0" w:left="0" w:firstLineChars="0" w:hanging="2"/>
        <w:jc w:val="both"/>
      </w:pPr>
      <w:r w:rsidRPr="00B82935">
        <w:t xml:space="preserve">La PPTA informó que el GMC aprobó el Programa de Trabajo 2023-2024 el que consta como </w:t>
      </w:r>
      <w:r w:rsidRPr="00B82935">
        <w:rPr>
          <w:b/>
          <w:bCs/>
        </w:rPr>
        <w:t xml:space="preserve">ANEXO </w:t>
      </w:r>
      <w:r w:rsidR="00B82935">
        <w:rPr>
          <w:b/>
          <w:bCs/>
        </w:rPr>
        <w:t>IV</w:t>
      </w:r>
      <w:r w:rsidRPr="00B82935">
        <w:rPr>
          <w:b/>
          <w:bCs/>
        </w:rPr>
        <w:t>.</w:t>
      </w:r>
    </w:p>
    <w:p w14:paraId="61083A6F" w14:textId="40277B2F" w:rsidR="00D93287" w:rsidRPr="00B82935" w:rsidRDefault="00D93287" w:rsidP="00741061">
      <w:pPr>
        <w:spacing w:line="240" w:lineRule="atLeast"/>
        <w:ind w:leftChars="0" w:left="0" w:firstLineChars="0" w:hanging="2"/>
        <w:jc w:val="both"/>
      </w:pPr>
      <w:r w:rsidRPr="00B82935">
        <w:t xml:space="preserve">Se realizó el informe semestral sobre grado de avance del programa de trabajo vigente, el cual es agregado como </w:t>
      </w:r>
      <w:r w:rsidRPr="00B82935">
        <w:rPr>
          <w:b/>
          <w:bCs/>
        </w:rPr>
        <w:t>ANEXO V</w:t>
      </w:r>
      <w:r w:rsidR="00B82935">
        <w:rPr>
          <w:b/>
          <w:bCs/>
        </w:rPr>
        <w:t xml:space="preserve">. </w:t>
      </w:r>
      <w:r w:rsidRPr="00B82935">
        <w:t xml:space="preserve"> La PPTA realizará la carga de los datos en el sistema SIM de la Secretaría MERCOSUR. </w:t>
      </w:r>
    </w:p>
    <w:p w14:paraId="26AB3094" w14:textId="77777777" w:rsidR="00D93287" w:rsidRPr="00B82935" w:rsidRDefault="00D93287" w:rsidP="00741061">
      <w:pPr>
        <w:pStyle w:val="Prrafodelista"/>
        <w:spacing w:before="280" w:line="240" w:lineRule="atLeast"/>
        <w:ind w:leftChars="0" w:left="358" w:firstLineChars="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3A8EBFC" w14:textId="77777777" w:rsidR="001916CA" w:rsidRDefault="00000000" w:rsidP="00741061">
      <w:pPr>
        <w:pStyle w:val="Prrafodelista"/>
        <w:numPr>
          <w:ilvl w:val="0"/>
          <w:numId w:val="2"/>
        </w:numPr>
        <w:spacing w:before="280" w:line="240" w:lineRule="atLeast"/>
        <w:ind w:leftChars="0" w:firstLineChars="0"/>
        <w:jc w:val="both"/>
        <w:rPr>
          <w:rFonts w:ascii="Arial" w:hAnsi="Arial" w:cs="Arial"/>
          <w:b/>
          <w:bCs/>
          <w:sz w:val="24"/>
          <w:szCs w:val="24"/>
        </w:rPr>
      </w:pPr>
      <w:r w:rsidRPr="001916CA">
        <w:rPr>
          <w:rFonts w:ascii="Arial" w:hAnsi="Arial" w:cs="Arial"/>
          <w:b/>
          <w:bCs/>
          <w:sz w:val="24"/>
          <w:szCs w:val="24"/>
        </w:rPr>
        <w:t>Otros temas.</w:t>
      </w:r>
    </w:p>
    <w:p w14:paraId="6FB8899F" w14:textId="02F45902" w:rsidR="00B82935" w:rsidRDefault="000A11F8" w:rsidP="00741061">
      <w:pPr>
        <w:spacing w:line="240" w:lineRule="atLeast"/>
        <w:ind w:left="0" w:hanging="2"/>
        <w:jc w:val="both"/>
        <w:rPr>
          <w:b/>
          <w:bCs/>
          <w:color w:val="000000"/>
        </w:rPr>
      </w:pPr>
      <w:r>
        <w:rPr>
          <w:b/>
          <w:bCs/>
        </w:rPr>
        <w:t>4.1</w:t>
      </w:r>
      <w:r w:rsidR="00D93287">
        <w:rPr>
          <w:b/>
          <w:bCs/>
        </w:rPr>
        <w:t xml:space="preserve">. </w:t>
      </w:r>
      <w:r w:rsidR="00B82935" w:rsidRPr="00144B6E">
        <w:rPr>
          <w:b/>
          <w:bCs/>
        </w:rPr>
        <w:t>C</w:t>
      </w:r>
      <w:r w:rsidR="00B82935" w:rsidRPr="00144B6E">
        <w:rPr>
          <w:b/>
          <w:bCs/>
          <w:color w:val="000000"/>
        </w:rPr>
        <w:t xml:space="preserve">omentarios sobre las Resoluciones GMC </w:t>
      </w:r>
      <w:proofErr w:type="spellStart"/>
      <w:r w:rsidR="00B82935" w:rsidRPr="00144B6E">
        <w:rPr>
          <w:b/>
          <w:bCs/>
          <w:color w:val="000000"/>
        </w:rPr>
        <w:t>N°</w:t>
      </w:r>
      <w:proofErr w:type="spellEnd"/>
      <w:r w:rsidR="00B82935" w:rsidRPr="00144B6E">
        <w:rPr>
          <w:b/>
          <w:bCs/>
          <w:color w:val="000000"/>
        </w:rPr>
        <w:t xml:space="preserve"> 53/19 y </w:t>
      </w:r>
      <w:proofErr w:type="spellStart"/>
      <w:r w:rsidR="00B82935" w:rsidRPr="00144B6E">
        <w:rPr>
          <w:b/>
          <w:bCs/>
          <w:color w:val="000000"/>
        </w:rPr>
        <w:t>N°</w:t>
      </w:r>
      <w:proofErr w:type="spellEnd"/>
      <w:r w:rsidR="00B82935" w:rsidRPr="00144B6E">
        <w:rPr>
          <w:b/>
          <w:bCs/>
          <w:color w:val="000000"/>
        </w:rPr>
        <w:t xml:space="preserve"> 03/</w:t>
      </w:r>
      <w:r w:rsidR="00B82935">
        <w:rPr>
          <w:b/>
          <w:bCs/>
          <w:color w:val="000000"/>
        </w:rPr>
        <w:t>20.</w:t>
      </w:r>
    </w:p>
    <w:p w14:paraId="7C58D4F2" w14:textId="77777777" w:rsidR="008E6DEA" w:rsidRPr="00B82935" w:rsidRDefault="008E6DEA" w:rsidP="00741061">
      <w:pPr>
        <w:spacing w:line="240" w:lineRule="atLeast"/>
        <w:ind w:leftChars="0" w:left="0" w:firstLineChars="0" w:firstLine="0"/>
        <w:jc w:val="both"/>
        <w:rPr>
          <w:b/>
          <w:bCs/>
        </w:rPr>
      </w:pPr>
    </w:p>
    <w:p w14:paraId="76EE4F9B" w14:textId="2398A189" w:rsidR="008E6DEA" w:rsidRDefault="008E6DEA" w:rsidP="00741061">
      <w:pPr>
        <w:spacing w:line="240" w:lineRule="atLeast"/>
        <w:ind w:leftChars="0" w:left="0" w:firstLineChars="0" w:hanging="2"/>
        <w:jc w:val="both"/>
      </w:pPr>
      <w:r>
        <w:t>La Bancada Sindical reiteró al C</w:t>
      </w:r>
      <w:r w:rsidR="00741061">
        <w:t>ETSPS</w:t>
      </w:r>
      <w:r>
        <w:t xml:space="preserve"> que ratifique su compromiso con el carácter tripartito en su instancia deliberativa (con participación de los actores sociales) y solicite al GMC que se permita suscribir por parte de dichos actores las Actas del Subgrupo de Trabajo </w:t>
      </w:r>
      <w:proofErr w:type="spellStart"/>
      <w:r>
        <w:t>N°</w:t>
      </w:r>
      <w:proofErr w:type="spellEnd"/>
      <w:r>
        <w:t xml:space="preserve"> 10 "Asuntos Laborales, Empleo y Seguridad Social" (SGT N°10).</w:t>
      </w:r>
    </w:p>
    <w:p w14:paraId="520847F6" w14:textId="77777777" w:rsidR="00F20AB4" w:rsidRPr="00B82935" w:rsidRDefault="00F20AB4" w:rsidP="00741061">
      <w:pPr>
        <w:pBdr>
          <w:top w:val="nil"/>
          <w:left w:val="nil"/>
          <w:bottom w:val="nil"/>
          <w:right w:val="nil"/>
          <w:between w:val="nil"/>
        </w:pBdr>
        <w:spacing w:after="160" w:line="240" w:lineRule="atLeast"/>
        <w:ind w:leftChars="0" w:left="0" w:firstLineChars="0" w:firstLine="0"/>
        <w:jc w:val="both"/>
        <w:rPr>
          <w:rFonts w:ascii="Calibri" w:eastAsia="Calibri" w:hAnsi="Calibri" w:cs="Calibri"/>
          <w:b/>
          <w:sz w:val="22"/>
          <w:szCs w:val="22"/>
          <w:lang w:val="es-ES"/>
        </w:rPr>
      </w:pPr>
    </w:p>
    <w:p w14:paraId="22BD9B3C" w14:textId="77777777" w:rsidR="00F20AB4" w:rsidRDefault="00F20AB4" w:rsidP="00741061">
      <w:pPr>
        <w:pBdr>
          <w:top w:val="nil"/>
          <w:left w:val="nil"/>
          <w:bottom w:val="nil"/>
          <w:right w:val="nil"/>
          <w:between w:val="nil"/>
        </w:pBdr>
        <w:spacing w:before="280" w:line="240" w:lineRule="atLeast"/>
        <w:ind w:left="0" w:hanging="2"/>
        <w:jc w:val="both"/>
        <w:rPr>
          <w:color w:val="000000"/>
        </w:rPr>
      </w:pPr>
      <w:bookmarkStart w:id="3" w:name="_heading=h.30j0zll" w:colFirst="0" w:colLast="0"/>
      <w:bookmarkEnd w:id="3"/>
    </w:p>
    <w:p w14:paraId="5EF911BB" w14:textId="77777777" w:rsidR="00F20AB4" w:rsidRDefault="00000000" w:rsidP="00741061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0" w:hanging="2"/>
        <w:jc w:val="both"/>
        <w:rPr>
          <w:color w:val="000000"/>
        </w:rPr>
      </w:pPr>
      <w:r>
        <w:rPr>
          <w:b/>
          <w:color w:val="000000"/>
        </w:rPr>
        <w:t>PRÓXIMA REUNIÓN</w:t>
      </w:r>
    </w:p>
    <w:p w14:paraId="142A10F9" w14:textId="77777777" w:rsidR="00F20AB4" w:rsidRDefault="00000000" w:rsidP="00741061">
      <w:pPr>
        <w:spacing w:before="280" w:line="240" w:lineRule="atLeast"/>
        <w:ind w:left="0" w:hanging="2"/>
        <w:jc w:val="both"/>
      </w:pPr>
      <w:r>
        <w:t>La próxima reunión ordinaria del CETSPS, será convocada oportunamente por la PPT.</w:t>
      </w:r>
    </w:p>
    <w:p w14:paraId="2CD9D25C" w14:textId="77777777" w:rsidR="00F20AB4" w:rsidRDefault="00000000" w:rsidP="00741061">
      <w:pPr>
        <w:spacing w:before="280" w:line="240" w:lineRule="atLeast"/>
        <w:ind w:left="0" w:hanging="2"/>
        <w:jc w:val="both"/>
      </w:pPr>
      <w:r>
        <w:rPr>
          <w:b/>
        </w:rPr>
        <w:t>ANEXO</w:t>
      </w:r>
    </w:p>
    <w:p w14:paraId="3B67EC36" w14:textId="77777777" w:rsidR="00F20AB4" w:rsidRDefault="00000000" w:rsidP="00741061">
      <w:pPr>
        <w:spacing w:before="280" w:line="240" w:lineRule="atLeast"/>
        <w:ind w:left="0" w:hanging="2"/>
        <w:jc w:val="both"/>
      </w:pPr>
      <w:r>
        <w:t xml:space="preserve">Los Anexos que forman parte de la presente Acta son los siguientes: </w:t>
      </w:r>
    </w:p>
    <w:p w14:paraId="1CDDB6D3" w14:textId="77777777" w:rsidR="00F20AB4" w:rsidRDefault="00F20AB4" w:rsidP="00741061">
      <w:pPr>
        <w:spacing w:before="280" w:line="240" w:lineRule="atLeast"/>
        <w:ind w:left="0" w:hanging="2"/>
        <w:jc w:val="both"/>
      </w:pPr>
    </w:p>
    <w:tbl>
      <w:tblPr>
        <w:tblStyle w:val="a1"/>
        <w:tblW w:w="8605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5741"/>
      </w:tblGrid>
      <w:tr w:rsidR="00F20AB4" w14:paraId="25B7303C" w14:textId="77777777" w:rsidTr="00B82935">
        <w:trPr>
          <w:trHeight w:val="686"/>
        </w:trPr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B8304" w14:textId="77777777" w:rsidR="00F20AB4" w:rsidRDefault="00000000" w:rsidP="00741061">
            <w:pPr>
              <w:spacing w:line="240" w:lineRule="atLeast"/>
              <w:ind w:left="0" w:hanging="2"/>
              <w:jc w:val="both"/>
            </w:pPr>
            <w:r>
              <w:rPr>
                <w:b/>
              </w:rPr>
              <w:t>Anexo I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DD312" w14:textId="0E324C72" w:rsidR="00F20AB4" w:rsidRPr="001916CA" w:rsidRDefault="001916CA" w:rsidP="00741061">
            <w:pPr>
              <w:spacing w:line="240" w:lineRule="atLeast"/>
              <w:ind w:left="0" w:hanging="2"/>
              <w:jc w:val="both"/>
              <w:rPr>
                <w:bCs/>
              </w:rPr>
            </w:pPr>
            <w:r w:rsidRPr="001916CA">
              <w:rPr>
                <w:bCs/>
              </w:rPr>
              <w:t>Lista de participantes</w:t>
            </w:r>
          </w:p>
        </w:tc>
      </w:tr>
      <w:tr w:rsidR="00F20AB4" w14:paraId="2C8B5A4F" w14:textId="77777777" w:rsidTr="00B82935">
        <w:trPr>
          <w:trHeight w:val="223"/>
        </w:trPr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232D7" w14:textId="77777777" w:rsidR="00F20AB4" w:rsidRDefault="00000000" w:rsidP="00741061">
            <w:pPr>
              <w:spacing w:line="240" w:lineRule="atLeast"/>
              <w:ind w:left="0" w:hanging="2"/>
              <w:jc w:val="both"/>
            </w:pPr>
            <w:r>
              <w:rPr>
                <w:b/>
              </w:rPr>
              <w:t>Anexo II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55DC6" w14:textId="776619F5" w:rsidR="00F20AB4" w:rsidRPr="001916CA" w:rsidRDefault="001916CA" w:rsidP="00741061">
            <w:pPr>
              <w:spacing w:line="240" w:lineRule="atLeast"/>
              <w:ind w:left="0" w:hanging="2"/>
              <w:jc w:val="both"/>
              <w:rPr>
                <w:bCs/>
              </w:rPr>
            </w:pPr>
            <w:r w:rsidRPr="001916CA">
              <w:rPr>
                <w:bCs/>
              </w:rPr>
              <w:t>Agenda</w:t>
            </w:r>
          </w:p>
        </w:tc>
      </w:tr>
      <w:tr w:rsidR="00F20AB4" w14:paraId="2EB6ECC0" w14:textId="77777777" w:rsidTr="00B82935">
        <w:trPr>
          <w:trHeight w:val="231"/>
        </w:trPr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45952" w14:textId="77777777" w:rsidR="00F20AB4" w:rsidRDefault="00000000" w:rsidP="00741061">
            <w:pPr>
              <w:spacing w:line="240" w:lineRule="atLeast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Anexo III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A8A5D" w14:textId="77777777" w:rsidR="00310BF1" w:rsidRPr="00310BF1" w:rsidRDefault="00310BF1" w:rsidP="00741061">
            <w:pPr>
              <w:suppressAutoHyphens w:val="0"/>
              <w:spacing w:line="24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Cs/>
                <w:position w:val="0"/>
                <w:lang w:val="es" w:eastAsia="en-US"/>
              </w:rPr>
            </w:pPr>
            <w:r w:rsidRPr="00310BF1">
              <w:rPr>
                <w:bCs/>
                <w:position w:val="0"/>
                <w:lang w:val="es" w:eastAsia="en-US"/>
              </w:rPr>
              <w:t>Seminario sobre la cobertura de seguridad social de los trabajadores de plataformas digitales en los países miembros del MERCOSUR</w:t>
            </w:r>
          </w:p>
          <w:p w14:paraId="1CB389B7" w14:textId="2C07BF26" w:rsidR="00F20AB4" w:rsidRPr="00310BF1" w:rsidRDefault="00F20AB4" w:rsidP="00741061">
            <w:pPr>
              <w:spacing w:line="240" w:lineRule="atLeast"/>
              <w:ind w:left="0" w:hanging="2"/>
              <w:jc w:val="both"/>
              <w:rPr>
                <w:bCs/>
                <w:lang w:val="es"/>
              </w:rPr>
            </w:pPr>
          </w:p>
        </w:tc>
      </w:tr>
      <w:tr w:rsidR="00F20AB4" w14:paraId="2B8EB179" w14:textId="77777777" w:rsidTr="00B82935">
        <w:trPr>
          <w:trHeight w:val="223"/>
        </w:trPr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54F3A" w14:textId="77777777" w:rsidR="00F20AB4" w:rsidRDefault="00000000" w:rsidP="00741061">
            <w:pPr>
              <w:spacing w:line="240" w:lineRule="atLeast"/>
              <w:ind w:left="0" w:hanging="2"/>
              <w:jc w:val="both"/>
            </w:pPr>
            <w:r>
              <w:rPr>
                <w:b/>
              </w:rPr>
              <w:lastRenderedPageBreak/>
              <w:t>Anexo IV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D36DD" w14:textId="43C04A13" w:rsidR="00F20AB4" w:rsidRPr="00B82935" w:rsidRDefault="00B82935" w:rsidP="00741061">
            <w:pPr>
              <w:spacing w:line="240" w:lineRule="atLeast"/>
              <w:ind w:left="0" w:hanging="2"/>
              <w:jc w:val="both"/>
              <w:rPr>
                <w:bCs/>
              </w:rPr>
            </w:pPr>
            <w:r w:rsidRPr="00B82935">
              <w:rPr>
                <w:bCs/>
              </w:rPr>
              <w:t>Programa de Trabajo 2023-2024</w:t>
            </w:r>
          </w:p>
        </w:tc>
      </w:tr>
      <w:tr w:rsidR="00F20AB4" w14:paraId="056D843D" w14:textId="77777777" w:rsidTr="00B82935">
        <w:trPr>
          <w:trHeight w:val="223"/>
        </w:trPr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B4C18" w14:textId="73074C22" w:rsidR="00F20AB4" w:rsidRDefault="00000000" w:rsidP="00741061">
            <w:pPr>
              <w:spacing w:line="240" w:lineRule="atLeast"/>
              <w:ind w:left="0" w:hanging="2"/>
              <w:jc w:val="both"/>
            </w:pPr>
            <w:r>
              <w:rPr>
                <w:b/>
              </w:rPr>
              <w:t>Anexo V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789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97"/>
            </w:tblGrid>
            <w:tr w:rsidR="00B82935" w:rsidRPr="00B82935" w14:paraId="0CA54651" w14:textId="77777777" w:rsidTr="001519A6">
              <w:trPr>
                <w:trHeight w:val="253"/>
              </w:trPr>
              <w:tc>
                <w:tcPr>
                  <w:tcW w:w="65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96075C" w14:textId="77777777" w:rsidR="00B82935" w:rsidRPr="00B82935" w:rsidRDefault="00B82935" w:rsidP="00741061">
                  <w:pPr>
                    <w:spacing w:line="240" w:lineRule="atLeast"/>
                    <w:ind w:leftChars="0" w:left="0" w:firstLineChars="0" w:firstLine="0"/>
                    <w:rPr>
                      <w:bCs/>
                      <w:lang w:val="pt-BR" w:eastAsia="es-ES"/>
                    </w:rPr>
                  </w:pPr>
                  <w:r w:rsidRPr="00B82935">
                    <w:rPr>
                      <w:bCs/>
                      <w:lang w:val="pt-BR" w:eastAsia="es-ES"/>
                    </w:rPr>
                    <w:t xml:space="preserve">Informe semestral de </w:t>
                  </w:r>
                  <w:proofErr w:type="spellStart"/>
                  <w:r w:rsidRPr="00B82935">
                    <w:rPr>
                      <w:bCs/>
                      <w:lang w:val="pt-BR" w:eastAsia="es-ES"/>
                    </w:rPr>
                    <w:t>cumplimiento</w:t>
                  </w:r>
                  <w:proofErr w:type="spellEnd"/>
                  <w:r w:rsidRPr="00B82935">
                    <w:rPr>
                      <w:bCs/>
                      <w:lang w:val="pt-BR" w:eastAsia="es-ES"/>
                    </w:rPr>
                    <w:t xml:space="preserve"> PT 2023/24</w:t>
                  </w:r>
                </w:p>
              </w:tc>
            </w:tr>
          </w:tbl>
          <w:p w14:paraId="29E30618" w14:textId="77777777" w:rsidR="00F20AB4" w:rsidRPr="00B82935" w:rsidRDefault="00F20AB4" w:rsidP="00741061">
            <w:pPr>
              <w:spacing w:line="240" w:lineRule="atLeast"/>
              <w:ind w:left="0" w:hanging="2"/>
              <w:jc w:val="both"/>
              <w:rPr>
                <w:b/>
                <w:lang w:val="pt-BR"/>
              </w:rPr>
            </w:pPr>
          </w:p>
        </w:tc>
      </w:tr>
    </w:tbl>
    <w:p w14:paraId="224FEAF7" w14:textId="77777777" w:rsidR="00F20AB4" w:rsidRDefault="00F20AB4" w:rsidP="00741061">
      <w:pPr>
        <w:spacing w:before="280" w:after="240" w:line="240" w:lineRule="atLeast"/>
        <w:ind w:left="0" w:hanging="2"/>
        <w:jc w:val="both"/>
      </w:pPr>
    </w:p>
    <w:p w14:paraId="6EF5D2C1" w14:textId="77777777" w:rsidR="00F20AB4" w:rsidRDefault="00F20AB4" w:rsidP="00741061">
      <w:pPr>
        <w:spacing w:before="280" w:after="240" w:line="240" w:lineRule="atLeast"/>
        <w:ind w:left="0" w:hanging="2"/>
        <w:jc w:val="both"/>
      </w:pPr>
    </w:p>
    <w:p w14:paraId="67A32BD3" w14:textId="77777777" w:rsidR="00F20AB4" w:rsidRDefault="00F20AB4" w:rsidP="00741061">
      <w:pPr>
        <w:spacing w:before="280" w:after="240" w:line="240" w:lineRule="atLeast"/>
        <w:ind w:left="0" w:hanging="2"/>
        <w:jc w:val="both"/>
      </w:pPr>
    </w:p>
    <w:p w14:paraId="79D52546" w14:textId="77777777" w:rsidR="00F20AB4" w:rsidRDefault="00F20AB4" w:rsidP="00741061">
      <w:pPr>
        <w:spacing w:before="280" w:after="240" w:line="240" w:lineRule="atLeast"/>
        <w:ind w:left="0" w:hanging="2"/>
        <w:jc w:val="both"/>
      </w:pPr>
    </w:p>
    <w:p w14:paraId="0103F6A7" w14:textId="77777777" w:rsidR="00F20AB4" w:rsidRDefault="00F20AB4" w:rsidP="00741061">
      <w:pPr>
        <w:spacing w:before="280" w:after="240" w:line="240" w:lineRule="atLeast"/>
        <w:ind w:left="0" w:hanging="2"/>
        <w:jc w:val="both"/>
      </w:pPr>
    </w:p>
    <w:p w14:paraId="101A20D7" w14:textId="77777777" w:rsidR="00F20AB4" w:rsidRDefault="00F20AB4" w:rsidP="00741061">
      <w:pPr>
        <w:spacing w:line="240" w:lineRule="atLeast"/>
        <w:ind w:left="0" w:hanging="2"/>
        <w:rPr>
          <w:highlight w:val="yellow"/>
          <w:u w:val="single"/>
        </w:rPr>
      </w:pPr>
    </w:p>
    <w:tbl>
      <w:tblPr>
        <w:tblStyle w:val="a2"/>
        <w:tblW w:w="91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64"/>
        <w:gridCol w:w="4564"/>
      </w:tblGrid>
      <w:tr w:rsidR="00F20AB4" w14:paraId="4A7C5922" w14:textId="77777777">
        <w:trPr>
          <w:trHeight w:val="1478"/>
        </w:trPr>
        <w:tc>
          <w:tcPr>
            <w:tcW w:w="4564" w:type="dxa"/>
          </w:tcPr>
          <w:p w14:paraId="556A861D" w14:textId="77777777" w:rsidR="00F20AB4" w:rsidRDefault="00000000" w:rsidP="00741061">
            <w:pPr>
              <w:spacing w:line="240" w:lineRule="atLeast"/>
              <w:ind w:left="0" w:hanging="2"/>
            </w:pPr>
            <w:r>
              <w:rPr>
                <w:b/>
              </w:rPr>
              <w:t>_______________________________</w:t>
            </w:r>
          </w:p>
          <w:p w14:paraId="72A7D9BE" w14:textId="77777777" w:rsidR="00F20AB4" w:rsidRDefault="00000000" w:rsidP="00741061">
            <w:pPr>
              <w:spacing w:line="240" w:lineRule="atLeast"/>
              <w:ind w:left="0" w:hanging="2"/>
              <w:jc w:val="center"/>
            </w:pPr>
            <w:r>
              <w:rPr>
                <w:b/>
              </w:rPr>
              <w:t>Por la Delegación de Argentina</w:t>
            </w:r>
          </w:p>
          <w:p w14:paraId="2C593008" w14:textId="4B5EA430" w:rsidR="00F20AB4" w:rsidRDefault="001D4BF8" w:rsidP="00741061">
            <w:pPr>
              <w:spacing w:line="240" w:lineRule="atLeast"/>
              <w:ind w:left="0" w:hanging="2"/>
              <w:jc w:val="center"/>
            </w:pPr>
            <w:r>
              <w:t xml:space="preserve">Eduardo </w:t>
            </w:r>
            <w:proofErr w:type="spellStart"/>
            <w:r>
              <w:t>L</w:t>
            </w:r>
            <w:r w:rsidR="00741061">
              <w:t>é</w:t>
            </w:r>
            <w:r>
              <w:t>pore</w:t>
            </w:r>
            <w:proofErr w:type="spellEnd"/>
          </w:p>
          <w:p w14:paraId="74946CDC" w14:textId="77777777" w:rsidR="00F20AB4" w:rsidRDefault="00F20AB4" w:rsidP="00741061">
            <w:pPr>
              <w:spacing w:line="240" w:lineRule="atLeast"/>
              <w:ind w:left="0" w:hanging="2"/>
              <w:rPr>
                <w:u w:val="single"/>
              </w:rPr>
            </w:pPr>
          </w:p>
        </w:tc>
        <w:tc>
          <w:tcPr>
            <w:tcW w:w="4564" w:type="dxa"/>
          </w:tcPr>
          <w:p w14:paraId="7D211879" w14:textId="77777777" w:rsidR="00F20AB4" w:rsidRDefault="00000000" w:rsidP="00741061">
            <w:pPr>
              <w:spacing w:line="240" w:lineRule="atLeast"/>
              <w:ind w:left="0" w:hanging="2"/>
            </w:pPr>
            <w:r>
              <w:rPr>
                <w:b/>
              </w:rPr>
              <w:t>______________________________</w:t>
            </w:r>
          </w:p>
          <w:p w14:paraId="79B4D12A" w14:textId="77777777" w:rsidR="00F20AB4" w:rsidRDefault="00000000" w:rsidP="00741061">
            <w:pPr>
              <w:spacing w:line="240" w:lineRule="atLeast"/>
              <w:ind w:left="0" w:hanging="2"/>
              <w:jc w:val="center"/>
            </w:pPr>
            <w:r>
              <w:rPr>
                <w:b/>
              </w:rPr>
              <w:t>Por la Delegación de Brasil</w:t>
            </w:r>
          </w:p>
          <w:p w14:paraId="28C9382A" w14:textId="2C9A3987" w:rsidR="00F20AB4" w:rsidRPr="00741061" w:rsidRDefault="001D4BF8" w:rsidP="00741061">
            <w:pPr>
              <w:spacing w:line="240" w:lineRule="atLeast"/>
              <w:ind w:left="0" w:hanging="2"/>
              <w:jc w:val="center"/>
            </w:pPr>
            <w:r w:rsidRPr="00741061">
              <w:t>Eduardo Pereira</w:t>
            </w:r>
          </w:p>
        </w:tc>
      </w:tr>
      <w:tr w:rsidR="00F20AB4" w14:paraId="11EDFD61" w14:textId="77777777">
        <w:trPr>
          <w:trHeight w:val="2084"/>
        </w:trPr>
        <w:tc>
          <w:tcPr>
            <w:tcW w:w="4564" w:type="dxa"/>
          </w:tcPr>
          <w:p w14:paraId="1F7437D5" w14:textId="77777777" w:rsidR="00F20AB4" w:rsidRDefault="00F20AB4" w:rsidP="00741061">
            <w:pPr>
              <w:spacing w:line="240" w:lineRule="atLeast"/>
              <w:ind w:left="0" w:hanging="2"/>
            </w:pPr>
          </w:p>
          <w:p w14:paraId="488EAEFC" w14:textId="77777777" w:rsidR="00F20AB4" w:rsidRDefault="00F20AB4" w:rsidP="00741061">
            <w:pPr>
              <w:spacing w:line="240" w:lineRule="atLeast"/>
              <w:ind w:left="0" w:hanging="2"/>
            </w:pPr>
          </w:p>
          <w:p w14:paraId="24DBD3C3" w14:textId="77777777" w:rsidR="00F20AB4" w:rsidRDefault="00F20AB4" w:rsidP="00741061">
            <w:pPr>
              <w:spacing w:line="240" w:lineRule="atLeast"/>
              <w:ind w:left="0" w:hanging="2"/>
            </w:pPr>
          </w:p>
          <w:p w14:paraId="2057ADFE" w14:textId="77777777" w:rsidR="00F20AB4" w:rsidRDefault="00F20AB4" w:rsidP="00741061">
            <w:pPr>
              <w:spacing w:line="240" w:lineRule="atLeast"/>
              <w:ind w:left="0" w:hanging="2"/>
            </w:pPr>
          </w:p>
          <w:p w14:paraId="5EBAAE0E" w14:textId="77777777" w:rsidR="00F20AB4" w:rsidRDefault="00000000" w:rsidP="00741061">
            <w:pPr>
              <w:spacing w:line="240" w:lineRule="atLeast"/>
              <w:ind w:left="0" w:hanging="2"/>
            </w:pPr>
            <w:r>
              <w:rPr>
                <w:b/>
              </w:rPr>
              <w:t>_______________________________</w:t>
            </w:r>
          </w:p>
          <w:p w14:paraId="3AB4458C" w14:textId="77777777" w:rsidR="00F20AB4" w:rsidRDefault="00000000" w:rsidP="00741061">
            <w:pPr>
              <w:spacing w:line="240" w:lineRule="atLeast"/>
              <w:ind w:left="0" w:hanging="2"/>
              <w:jc w:val="center"/>
            </w:pPr>
            <w:r>
              <w:rPr>
                <w:b/>
              </w:rPr>
              <w:t>Por la Delegación de Paraguay</w:t>
            </w:r>
          </w:p>
          <w:p w14:paraId="30DCEC5E" w14:textId="438E2EE4" w:rsidR="00F20AB4" w:rsidRDefault="001D4BF8" w:rsidP="00741061">
            <w:pPr>
              <w:spacing w:line="240" w:lineRule="atLeast"/>
              <w:ind w:left="0" w:hanging="2"/>
              <w:jc w:val="center"/>
            </w:pPr>
            <w:r>
              <w:t>Mónica Recalde</w:t>
            </w:r>
          </w:p>
        </w:tc>
        <w:tc>
          <w:tcPr>
            <w:tcW w:w="4564" w:type="dxa"/>
          </w:tcPr>
          <w:p w14:paraId="2664AA31" w14:textId="77777777" w:rsidR="00F20AB4" w:rsidRDefault="00F20AB4" w:rsidP="00741061">
            <w:pPr>
              <w:spacing w:line="240" w:lineRule="atLeast"/>
              <w:ind w:left="0" w:hanging="2"/>
            </w:pPr>
          </w:p>
          <w:p w14:paraId="7EE1DDAF" w14:textId="77777777" w:rsidR="00F20AB4" w:rsidRDefault="00F20AB4" w:rsidP="00741061">
            <w:pPr>
              <w:spacing w:line="240" w:lineRule="atLeast"/>
              <w:ind w:left="0" w:hanging="2"/>
            </w:pPr>
          </w:p>
          <w:p w14:paraId="3A027225" w14:textId="77777777" w:rsidR="00F20AB4" w:rsidRDefault="00F20AB4" w:rsidP="00741061">
            <w:pPr>
              <w:spacing w:line="240" w:lineRule="atLeast"/>
              <w:ind w:left="0" w:hanging="2"/>
            </w:pPr>
          </w:p>
          <w:p w14:paraId="0AE1BAC1" w14:textId="77777777" w:rsidR="00F20AB4" w:rsidRDefault="00F20AB4" w:rsidP="00741061">
            <w:pPr>
              <w:spacing w:line="240" w:lineRule="atLeast"/>
              <w:ind w:left="0" w:hanging="2"/>
            </w:pPr>
          </w:p>
          <w:p w14:paraId="10C63244" w14:textId="77777777" w:rsidR="00F20AB4" w:rsidRDefault="00000000" w:rsidP="00741061">
            <w:pPr>
              <w:spacing w:line="240" w:lineRule="atLeast"/>
              <w:ind w:left="0" w:hanging="2"/>
            </w:pPr>
            <w:r>
              <w:rPr>
                <w:b/>
              </w:rPr>
              <w:t>_______________________________</w:t>
            </w:r>
          </w:p>
          <w:p w14:paraId="1E831E5E" w14:textId="77777777" w:rsidR="00F20AB4" w:rsidRDefault="00000000" w:rsidP="00741061">
            <w:pPr>
              <w:spacing w:line="240" w:lineRule="atLeast"/>
              <w:ind w:left="0" w:hanging="2"/>
              <w:jc w:val="center"/>
            </w:pPr>
            <w:r>
              <w:rPr>
                <w:b/>
              </w:rPr>
              <w:t>Por la Delegación de Uruguay</w:t>
            </w:r>
          </w:p>
          <w:p w14:paraId="2730B073" w14:textId="0462E062" w:rsidR="00F20AB4" w:rsidRPr="00741061" w:rsidRDefault="001D4BF8" w:rsidP="00741061">
            <w:pPr>
              <w:spacing w:line="240" w:lineRule="atLeast"/>
              <w:ind w:left="0" w:hanging="2"/>
              <w:jc w:val="center"/>
            </w:pPr>
            <w:r w:rsidRPr="00741061">
              <w:t>L</w:t>
            </w:r>
            <w:r w:rsidR="000A11F8" w:rsidRPr="00741061">
              <w:t xml:space="preserve">orena </w:t>
            </w:r>
            <w:r w:rsidRPr="00741061">
              <w:t>Diaz</w:t>
            </w:r>
          </w:p>
        </w:tc>
      </w:tr>
    </w:tbl>
    <w:p w14:paraId="721E1E4B" w14:textId="77777777" w:rsidR="00F20AB4" w:rsidRDefault="00F20AB4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jc w:val="both"/>
        <w:rPr>
          <w:b/>
          <w:color w:val="000000"/>
        </w:rPr>
      </w:pPr>
    </w:p>
    <w:sectPr w:rsidR="00F20AB4">
      <w:footerReference w:type="default" r:id="rId9"/>
      <w:pgSz w:w="11906" w:h="16838"/>
      <w:pgMar w:top="1417" w:right="1274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8528" w14:textId="77777777" w:rsidR="00F43167" w:rsidRDefault="00F43167">
      <w:pPr>
        <w:spacing w:line="240" w:lineRule="auto"/>
        <w:ind w:left="0" w:hanging="2"/>
      </w:pPr>
      <w:r>
        <w:separator/>
      </w:r>
    </w:p>
  </w:endnote>
  <w:endnote w:type="continuationSeparator" w:id="0">
    <w:p w14:paraId="0D543999" w14:textId="77777777" w:rsidR="00F43167" w:rsidRDefault="00F4316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C0F5" w14:textId="77777777" w:rsidR="00F20AB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916CA">
      <w:rPr>
        <w:noProof/>
        <w:color w:val="000000"/>
      </w:rPr>
      <w:t>1</w:t>
    </w:r>
    <w:r>
      <w:rPr>
        <w:color w:val="000000"/>
      </w:rPr>
      <w:fldChar w:fldCharType="end"/>
    </w:r>
  </w:p>
  <w:p w14:paraId="12F86C58" w14:textId="77777777" w:rsidR="00F20AB4" w:rsidRDefault="00F20A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1185A" w14:textId="77777777" w:rsidR="00F43167" w:rsidRDefault="00F43167">
      <w:pPr>
        <w:spacing w:line="240" w:lineRule="auto"/>
        <w:ind w:left="0" w:hanging="2"/>
      </w:pPr>
      <w:r>
        <w:separator/>
      </w:r>
    </w:p>
  </w:footnote>
  <w:footnote w:type="continuationSeparator" w:id="0">
    <w:p w14:paraId="72155183" w14:textId="77777777" w:rsidR="00F43167" w:rsidRDefault="00F4316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83D3A"/>
    <w:multiLevelType w:val="multilevel"/>
    <w:tmpl w:val="AD94B794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8" w:hanging="1800"/>
      </w:pPr>
      <w:rPr>
        <w:rFonts w:hint="default"/>
      </w:rPr>
    </w:lvl>
  </w:abstractNum>
  <w:abstractNum w:abstractNumId="1" w15:restartNumberingAfterBreak="0">
    <w:nsid w:val="615969F5"/>
    <w:multiLevelType w:val="multilevel"/>
    <w:tmpl w:val="7408C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A4E607D"/>
    <w:multiLevelType w:val="multilevel"/>
    <w:tmpl w:val="F264A6B8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righ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num w:numId="1" w16cid:durableId="456609144">
    <w:abstractNumId w:val="1"/>
  </w:num>
  <w:num w:numId="2" w16cid:durableId="1885485009">
    <w:abstractNumId w:val="0"/>
  </w:num>
  <w:num w:numId="3" w16cid:durableId="2055232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AB4"/>
    <w:rsid w:val="000A11F8"/>
    <w:rsid w:val="001916CA"/>
    <w:rsid w:val="001D4BF8"/>
    <w:rsid w:val="00310BF1"/>
    <w:rsid w:val="00741061"/>
    <w:rsid w:val="007C7BBF"/>
    <w:rsid w:val="008E6DEA"/>
    <w:rsid w:val="009C67D0"/>
    <w:rsid w:val="00B82935"/>
    <w:rsid w:val="00CA72CB"/>
    <w:rsid w:val="00D93287"/>
    <w:rsid w:val="00E030C1"/>
    <w:rsid w:val="00F20AB4"/>
    <w:rsid w:val="00F4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97DE"/>
  <w15:docId w15:val="{E0A88C39-0576-4BF4-9E9E-0B8758C8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PY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UY"/>
    </w:rPr>
  </w:style>
  <w:style w:type="paragraph" w:styleId="Ttulo1">
    <w:name w:val="heading 1"/>
    <w:basedOn w:val="Normal"/>
    <w:next w:val="Normal"/>
    <w:uiPriority w:val="9"/>
    <w:qFormat/>
    <w:pPr>
      <w:keepNext/>
      <w:widowControl w:val="0"/>
      <w:tabs>
        <w:tab w:val="left" w:pos="5040"/>
      </w:tabs>
      <w:jc w:val="both"/>
    </w:pPr>
    <w:rPr>
      <w:b/>
      <w:color w:val="000000"/>
      <w:lang w:val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gradetextonormal">
    <w:name w:val="Body Text Indent"/>
    <w:basedOn w:val="Normal"/>
    <w:pPr>
      <w:ind w:left="540"/>
      <w:jc w:val="both"/>
    </w:pPr>
    <w:rPr>
      <w:rFonts w:ascii="Times New Roman" w:hAnsi="Times New Roman"/>
      <w:lang w:val="es-ES"/>
    </w:rPr>
  </w:style>
  <w:style w:type="paragraph" w:styleId="Textoindependiente2">
    <w:name w:val="Body Text 2"/>
    <w:basedOn w:val="Normal"/>
    <w:pPr>
      <w:jc w:val="both"/>
    </w:pPr>
    <w:rPr>
      <w:lang w:val="es-ES"/>
    </w:rPr>
  </w:style>
  <w:style w:type="paragraph" w:styleId="Prrafodelista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es-ES" w:eastAsia="en-U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 w:cs="Times New Roman"/>
      <w:position w:val="-1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ntinuarlista">
    <w:name w:val="List Continue"/>
    <w:basedOn w:val="Normal"/>
    <w:qFormat/>
    <w:pPr>
      <w:spacing w:after="120"/>
      <w:ind w:left="283"/>
      <w:contextualSpacing/>
    </w:p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es-PY" w:eastAsia="es-UY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es-PY" w:eastAsia="es-UY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65" w:type="dxa"/>
        <w:right w:w="6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71AC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val="es-ES" w:eastAsia="es-ES"/>
    </w:r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wD0rohIBPpeNUERs+CneD5/8Sg==">AMUW2mUbbrui/YvBRvytAzlJqPRwJVMveDhUkpmEmcpaja8bOYqYnuggBOMudseHwBTysYORx/7xylMVPAEdt1JZ+ngjbYZT0xZe7jZpjjdq8yFF3y0nnGT8WjYvuGyjg5fKJUpW4oqB+PXKLq4m/ptzx1rvE0CRpA==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Informática</dc:creator>
  <cp:lastModifiedBy>paola egea</cp:lastModifiedBy>
  <cp:revision>7</cp:revision>
  <dcterms:created xsi:type="dcterms:W3CDTF">2022-04-26T16:29:00Z</dcterms:created>
  <dcterms:modified xsi:type="dcterms:W3CDTF">2023-04-28T14:18:00Z</dcterms:modified>
</cp:coreProperties>
</file>