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pBdr>
          <w:top w:space="0" w:sz="0" w:val="nil"/>
          <w:left w:space="0" w:sz="0" w:val="nil"/>
          <w:bottom w:space="0" w:sz="0" w:val="nil"/>
          <w:right w:space="0" w:sz="0" w:val="nil"/>
          <w:between w:space="0" w:sz="0" w:val="nil"/>
        </w:pBdr>
        <w:tabs>
          <w:tab w:val="left" w:leader="none" w:pos="5040"/>
        </w:tabs>
        <w:spacing w:line="240" w:lineRule="auto"/>
        <w:ind w:left="0" w:hanging="2"/>
        <w:jc w:val="both"/>
        <w:rPr>
          <w:b w:val="1"/>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114935</wp:posOffset>
            </wp:positionH>
            <wp:positionV relativeFrom="paragraph">
              <wp:posOffset>0</wp:posOffset>
            </wp:positionV>
            <wp:extent cx="1314450" cy="789940"/>
            <wp:effectExtent b="0" l="0" r="0" t="0"/>
            <wp:wrapSquare wrapText="bothSides" distB="0" distT="0" distL="114935" distR="114935"/>
            <wp:docPr id="7" name="image1.jpg"/>
            <a:graphic>
              <a:graphicData uri="http://schemas.openxmlformats.org/drawingml/2006/picture">
                <pic:pic>
                  <pic:nvPicPr>
                    <pic:cNvPr id="0" name="image1.jpg"/>
                    <pic:cNvPicPr preferRelativeResize="0"/>
                  </pic:nvPicPr>
                  <pic:blipFill>
                    <a:blip r:embed="rId7"/>
                    <a:srcRect b="6422" l="5625" r="6045" t="4994"/>
                    <a:stretch>
                      <a:fillRect/>
                    </a:stretch>
                  </pic:blipFill>
                  <pic:spPr>
                    <a:xfrm>
                      <a:off x="0" y="0"/>
                      <a:ext cx="1314450" cy="789940"/>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4146550</wp:posOffset>
            </wp:positionH>
            <wp:positionV relativeFrom="paragraph">
              <wp:posOffset>-3806</wp:posOffset>
            </wp:positionV>
            <wp:extent cx="1314450" cy="789940"/>
            <wp:effectExtent b="0" l="0" r="0" t="0"/>
            <wp:wrapSquare wrapText="bothSides" distB="0" distT="0" distL="114935" distR="114935"/>
            <wp:docPr id="8" name="image1.jpg"/>
            <a:graphic>
              <a:graphicData uri="http://schemas.openxmlformats.org/drawingml/2006/picture">
                <pic:pic>
                  <pic:nvPicPr>
                    <pic:cNvPr id="0" name="image1.jpg"/>
                    <pic:cNvPicPr preferRelativeResize="0"/>
                  </pic:nvPicPr>
                  <pic:blipFill>
                    <a:blip r:embed="rId7"/>
                    <a:srcRect b="6422" l="5625" r="6045" t="4994"/>
                    <a:stretch>
                      <a:fillRect/>
                    </a:stretch>
                  </pic:blipFill>
                  <pic:spPr>
                    <a:xfrm>
                      <a:off x="0" y="0"/>
                      <a:ext cx="1314450" cy="789940"/>
                    </a:xfrm>
                    <a:prstGeom prst="rect"/>
                    <a:ln/>
                  </pic:spPr>
                </pic:pic>
              </a:graphicData>
            </a:graphic>
          </wp:anchor>
        </w:drawing>
      </w:r>
    </w:p>
    <w:p w:rsidR="00000000" w:rsidDel="00000000" w:rsidP="00000000" w:rsidRDefault="00000000" w:rsidRPr="00000000" w14:paraId="00000002">
      <w:pPr>
        <w:keepNext w:val="1"/>
        <w:widowControl w:val="0"/>
        <w:pBdr>
          <w:top w:space="0" w:sz="0" w:val="nil"/>
          <w:left w:space="0" w:sz="0" w:val="nil"/>
          <w:bottom w:space="0" w:sz="0" w:val="nil"/>
          <w:right w:space="0" w:sz="0" w:val="nil"/>
          <w:between w:space="0" w:sz="0" w:val="nil"/>
        </w:pBdr>
        <w:tabs>
          <w:tab w:val="left" w:leader="none" w:pos="5040"/>
        </w:tabs>
        <w:spacing w:line="240" w:lineRule="auto"/>
        <w:ind w:left="0" w:hanging="2"/>
        <w:jc w:val="both"/>
        <w:rPr>
          <w:b w:val="1"/>
          <w:color w:val="000000"/>
        </w:rPr>
      </w:pPr>
      <w:r w:rsidDel="00000000" w:rsidR="00000000" w:rsidRPr="00000000">
        <w:rPr>
          <w:b w:val="1"/>
          <w:color w:val="000000"/>
          <w:rtl w:val="0"/>
        </w:rPr>
        <w:t xml:space="preserve">                                                                      </w:t>
      </w:r>
    </w:p>
    <w:p w:rsidR="00000000" w:rsidDel="00000000" w:rsidP="00000000" w:rsidRDefault="00000000" w:rsidRPr="00000000" w14:paraId="00000003">
      <w:pPr>
        <w:keepNext w:val="1"/>
        <w:widowControl w:val="0"/>
        <w:pBdr>
          <w:top w:space="0" w:sz="0" w:val="nil"/>
          <w:left w:space="0" w:sz="0" w:val="nil"/>
          <w:bottom w:space="0" w:sz="0" w:val="nil"/>
          <w:right w:space="0" w:sz="0" w:val="nil"/>
          <w:between w:space="0" w:sz="0" w:val="nil"/>
        </w:pBdr>
        <w:tabs>
          <w:tab w:val="left" w:leader="none" w:pos="5040"/>
        </w:tabs>
        <w:spacing w:line="240" w:lineRule="auto"/>
        <w:ind w:left="0" w:hanging="2"/>
        <w:jc w:val="both"/>
        <w:rPr>
          <w:b w:val="1"/>
          <w:color w:val="000000"/>
        </w:rPr>
      </w:pPr>
      <w:r w:rsidDel="00000000" w:rsidR="00000000" w:rsidRPr="00000000">
        <w:rPr>
          <w:rtl w:val="0"/>
        </w:rPr>
      </w:r>
    </w:p>
    <w:p w:rsidR="00000000" w:rsidDel="00000000" w:rsidP="00000000" w:rsidRDefault="00000000" w:rsidRPr="00000000" w14:paraId="00000004">
      <w:pPr>
        <w:keepNext w:val="1"/>
        <w:widowControl w:val="0"/>
        <w:pBdr>
          <w:top w:space="0" w:sz="0" w:val="nil"/>
          <w:left w:space="0" w:sz="0" w:val="nil"/>
          <w:bottom w:space="0" w:sz="0" w:val="nil"/>
          <w:right w:space="0" w:sz="0" w:val="nil"/>
          <w:between w:space="0" w:sz="0" w:val="nil"/>
        </w:pBdr>
        <w:tabs>
          <w:tab w:val="left" w:leader="none" w:pos="5040"/>
        </w:tabs>
        <w:spacing w:line="240" w:lineRule="auto"/>
        <w:ind w:left="0" w:hanging="2"/>
        <w:jc w:val="both"/>
        <w:rPr>
          <w:b w:val="1"/>
          <w:color w:val="000000"/>
        </w:rPr>
      </w:pPr>
      <w:r w:rsidDel="00000000" w:rsidR="00000000" w:rsidRPr="00000000">
        <w:rPr>
          <w:rtl w:val="0"/>
        </w:rPr>
      </w:r>
    </w:p>
    <w:p w:rsidR="00000000" w:rsidDel="00000000" w:rsidP="00000000" w:rsidRDefault="00000000" w:rsidRPr="00000000" w14:paraId="00000005">
      <w:pPr>
        <w:spacing w:after="198" w:before="280" w:line="276" w:lineRule="auto"/>
        <w:ind w:left="0" w:hanging="2"/>
        <w:jc w:val="both"/>
        <w:rPr>
          <w:b w:val="1"/>
        </w:rPr>
      </w:pPr>
      <w:r w:rsidDel="00000000" w:rsidR="00000000" w:rsidRPr="00000000">
        <w:rPr>
          <w:rtl w:val="0"/>
        </w:rPr>
      </w:r>
    </w:p>
    <w:p w:rsidR="00000000" w:rsidDel="00000000" w:rsidP="00000000" w:rsidRDefault="00000000" w:rsidRPr="00000000" w14:paraId="00000006">
      <w:pPr>
        <w:spacing w:after="198" w:before="280" w:line="276" w:lineRule="auto"/>
        <w:ind w:left="0" w:hanging="2"/>
        <w:jc w:val="both"/>
        <w:rPr/>
      </w:pPr>
      <w:r w:rsidDel="00000000" w:rsidR="00000000" w:rsidRPr="00000000">
        <w:rPr>
          <w:b w:val="1"/>
          <w:rtl w:val="0"/>
        </w:rPr>
        <w:t xml:space="preserve">MERCOSUR /SGT Nº 10/ CETFP/ACTA Nº 01/23</w:t>
      </w:r>
      <w:r w:rsidDel="00000000" w:rsidR="00000000" w:rsidRPr="00000000">
        <w:rPr>
          <w:rtl w:val="0"/>
        </w:rPr>
      </w:r>
    </w:p>
    <w:p w:rsidR="00000000" w:rsidDel="00000000" w:rsidP="00000000" w:rsidRDefault="00000000" w:rsidRPr="00000000" w14:paraId="00000007">
      <w:pPr>
        <w:ind w:left="0" w:hanging="2"/>
        <w:jc w:val="center"/>
        <w:rPr>
          <w:b w:val="1"/>
          <w:u w:val="single"/>
        </w:rPr>
      </w:pPr>
      <w:r w:rsidDel="00000000" w:rsidR="00000000" w:rsidRPr="00000000">
        <w:rPr>
          <w:rtl w:val="0"/>
        </w:rPr>
      </w:r>
    </w:p>
    <w:p w:rsidR="00000000" w:rsidDel="00000000" w:rsidP="00000000" w:rsidRDefault="00000000" w:rsidRPr="00000000" w14:paraId="00000008">
      <w:pPr>
        <w:ind w:left="0" w:hanging="2"/>
        <w:jc w:val="center"/>
        <w:rPr>
          <w:b w:val="1"/>
        </w:rPr>
      </w:pPr>
      <w:r w:rsidDel="00000000" w:rsidR="00000000" w:rsidRPr="00000000">
        <w:rPr>
          <w:rtl w:val="0"/>
        </w:rPr>
      </w:r>
    </w:p>
    <w:p w:rsidR="00000000" w:rsidDel="00000000" w:rsidP="00000000" w:rsidRDefault="00000000" w:rsidRPr="00000000" w14:paraId="00000009">
      <w:pPr>
        <w:ind w:left="0" w:hanging="2"/>
        <w:jc w:val="center"/>
        <w:rPr>
          <w:b w:val="1"/>
        </w:rPr>
      </w:pPr>
      <w:r w:rsidDel="00000000" w:rsidR="00000000" w:rsidRPr="00000000">
        <w:rPr>
          <w:b w:val="1"/>
          <w:color w:val="000000"/>
          <w:rtl w:val="0"/>
        </w:rPr>
        <w:t xml:space="preserve">REUNIÓN DE LA COMISIÓN DEL EQUIPO TÉCNICO DE FORMACIÓN PROFESIONAL(CETFP)</w:t>
      </w:r>
      <w:r w:rsidDel="00000000" w:rsidR="00000000" w:rsidRPr="00000000">
        <w:rPr>
          <w:rtl w:val="0"/>
        </w:rPr>
      </w:r>
    </w:p>
    <w:p w:rsidR="00000000" w:rsidDel="00000000" w:rsidP="00000000" w:rsidRDefault="00000000" w:rsidRPr="00000000" w14:paraId="0000000A">
      <w:pPr>
        <w:spacing w:after="170" w:lineRule="auto"/>
        <w:ind w:left="0" w:hanging="2"/>
        <w:jc w:val="center"/>
        <w:rPr/>
      </w:pPr>
      <w:r w:rsidDel="00000000" w:rsidR="00000000" w:rsidRPr="00000000">
        <w:rPr>
          <w:rtl w:val="0"/>
        </w:rPr>
        <w:t xml:space="preserve">Plan para Facilitar la Circulación de Trabajadores en el Mercosur (Res. GMC 21/15)</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ind w:left="0" w:hanging="2"/>
        <w:jc w:val="both"/>
        <w:rPr>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ind w:left="0" w:hanging="2"/>
        <w:jc w:val="both"/>
        <w:rPr>
          <w:color w:val="000000"/>
        </w:rPr>
      </w:pPr>
      <w:r w:rsidDel="00000000" w:rsidR="00000000" w:rsidRPr="00000000">
        <w:rPr>
          <w:color w:val="000000"/>
          <w:rtl w:val="0"/>
        </w:rPr>
        <w:t xml:space="preserve">Se realizó el día 04</w:t>
      </w:r>
      <w:r w:rsidDel="00000000" w:rsidR="00000000" w:rsidRPr="00000000">
        <w:rPr>
          <w:rtl w:val="0"/>
        </w:rPr>
        <w:t xml:space="preserve"> de mayo de 2023</w:t>
      </w:r>
      <w:r w:rsidDel="00000000" w:rsidR="00000000" w:rsidRPr="00000000">
        <w:rPr>
          <w:color w:val="000000"/>
          <w:rtl w:val="0"/>
        </w:rPr>
        <w:t xml:space="preserve">, e</w:t>
      </w:r>
      <w:r w:rsidDel="00000000" w:rsidR="00000000" w:rsidRPr="00000000">
        <w:rPr>
          <w:rtl w:val="0"/>
        </w:rPr>
        <w:t xml:space="preserve">n ejercicio de la Presidencia </w:t>
      </w:r>
      <w:r w:rsidDel="00000000" w:rsidR="00000000" w:rsidRPr="00000000">
        <w:rPr>
          <w:i w:val="1"/>
          <w:rtl w:val="0"/>
        </w:rPr>
        <w:t xml:space="preserve">Pro Tempore</w:t>
      </w:r>
      <w:r w:rsidDel="00000000" w:rsidR="00000000" w:rsidRPr="00000000">
        <w:rPr>
          <w:rtl w:val="0"/>
        </w:rPr>
        <w:t xml:space="preserve"> de Argentina (PPTA), la Reunión de la Comisión Técnico de Formación Profesional (CETFP),por sistema de videoconferencia de conformidad con lo dispuesto en la Resolución GMC N° 19/12, con la presencia de las delegaciones de Argentina, Brasil, Paraguay y Uruguay,</w:t>
      </w:r>
      <w:r w:rsidDel="00000000" w:rsidR="00000000" w:rsidRPr="00000000">
        <w:rPr>
          <w:color w:val="000000"/>
          <w:rtl w:val="0"/>
        </w:rPr>
        <w:t xml:space="preserve">  y representantes del sector trabajador y empleador.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ind w:left="0" w:hanging="2"/>
        <w:jc w:val="both"/>
        <w:rPr/>
      </w:pPr>
      <w:r w:rsidDel="00000000" w:rsidR="00000000" w:rsidRPr="00000000">
        <w:rPr>
          <w:rtl w:val="0"/>
        </w:rPr>
      </w:r>
    </w:p>
    <w:p w:rsidR="00000000" w:rsidDel="00000000" w:rsidP="00000000" w:rsidRDefault="00000000" w:rsidRPr="00000000" w14:paraId="0000000E">
      <w:pPr>
        <w:spacing w:after="198" w:before="280" w:line="276" w:lineRule="auto"/>
        <w:ind w:left="0" w:hanging="2"/>
        <w:jc w:val="both"/>
        <w:rPr/>
      </w:pPr>
      <w:r w:rsidDel="00000000" w:rsidR="00000000" w:rsidRPr="00000000">
        <w:rPr>
          <w:rtl w:val="0"/>
        </w:rPr>
        <w:t xml:space="preserve">La lista de participantes consta como </w:t>
      </w:r>
      <w:r w:rsidDel="00000000" w:rsidR="00000000" w:rsidRPr="00000000">
        <w:rPr>
          <w:b w:val="1"/>
          <w:rtl w:val="0"/>
        </w:rPr>
        <w:t xml:space="preserve">Anexo I.</w:t>
      </w:r>
      <w:r w:rsidDel="00000000" w:rsidR="00000000" w:rsidRPr="00000000">
        <w:rPr>
          <w:rtl w:val="0"/>
        </w:rPr>
      </w:r>
    </w:p>
    <w:p w:rsidR="00000000" w:rsidDel="00000000" w:rsidP="00000000" w:rsidRDefault="00000000" w:rsidRPr="00000000" w14:paraId="0000000F">
      <w:pPr>
        <w:spacing w:before="280" w:lineRule="auto"/>
        <w:ind w:left="0" w:hanging="2"/>
        <w:jc w:val="both"/>
        <w:rPr/>
      </w:pPr>
      <w:bookmarkStart w:colFirst="0" w:colLast="0" w:name="_heading=h.1fob9te" w:id="0"/>
      <w:bookmarkEnd w:id="0"/>
      <w:r w:rsidDel="00000000" w:rsidR="00000000" w:rsidRPr="00000000">
        <w:rPr>
          <w:rtl w:val="0"/>
        </w:rPr>
        <w:t xml:space="preserve">La agenda de la reunión consta como </w:t>
      </w:r>
      <w:r w:rsidDel="00000000" w:rsidR="00000000" w:rsidRPr="00000000">
        <w:rPr>
          <w:b w:val="1"/>
          <w:rtl w:val="0"/>
        </w:rPr>
        <w:t xml:space="preserve">Anexo II.</w:t>
      </w:r>
      <w:r w:rsidDel="00000000" w:rsidR="00000000" w:rsidRPr="00000000">
        <w:rPr>
          <w:rtl w:val="0"/>
        </w:rPr>
      </w:r>
    </w:p>
    <w:p w:rsidR="00000000" w:rsidDel="00000000" w:rsidP="00000000" w:rsidRDefault="00000000" w:rsidRPr="00000000" w14:paraId="00000010">
      <w:pPr>
        <w:spacing w:before="280" w:line="276" w:lineRule="auto"/>
        <w:ind w:left="0" w:hanging="2"/>
        <w:jc w:val="both"/>
        <w:rPr/>
      </w:pPr>
      <w:r w:rsidDel="00000000" w:rsidR="00000000" w:rsidRPr="00000000">
        <w:rPr>
          <w:rtl w:val="0"/>
        </w:rPr>
        <w:t xml:space="preserve">La PPTA dio la bienvenida a las delegaciones presentes y sometió a consideración la Agenda de la Reunión, la misma fue aprobada y consta como anexo. </w:t>
      </w:r>
    </w:p>
    <w:p w:rsidR="00000000" w:rsidDel="00000000" w:rsidP="00000000" w:rsidRDefault="00000000" w:rsidRPr="00000000" w14:paraId="00000011">
      <w:pPr>
        <w:spacing w:before="280" w:line="276" w:lineRule="auto"/>
        <w:ind w:left="0" w:hanging="2"/>
        <w:jc w:val="both"/>
        <w:rPr/>
      </w:pPr>
      <w:r w:rsidDel="00000000" w:rsidR="00000000" w:rsidRPr="00000000">
        <w:rPr>
          <w:rtl w:val="0"/>
        </w:rPr>
        <w:t xml:space="preserve">Fueron tratados los siguientes temas:</w:t>
      </w:r>
    </w:p>
    <w:p w:rsidR="00000000" w:rsidDel="00000000" w:rsidP="00000000" w:rsidRDefault="00000000" w:rsidRPr="00000000" w14:paraId="00000012">
      <w:pPr>
        <w:numPr>
          <w:ilvl w:val="0"/>
          <w:numId w:val="1"/>
        </w:numPr>
        <w:tabs>
          <w:tab w:val="left" w:leader="none" w:pos="426"/>
        </w:tabs>
        <w:spacing w:after="170" w:line="259" w:lineRule="auto"/>
        <w:ind w:left="0" w:hanging="2"/>
        <w:jc w:val="both"/>
        <w:rPr>
          <w:color w:val="00000a"/>
        </w:rPr>
      </w:pPr>
      <w:r w:rsidDel="00000000" w:rsidR="00000000" w:rsidRPr="00000000">
        <w:rPr>
          <w:b w:val="1"/>
          <w:color w:val="00000a"/>
          <w:rtl w:val="0"/>
        </w:rPr>
        <w:t xml:space="preserve">Interlocución con el Subgrupo de Asuntos Educacionales, en el ámbito del Marco Regional de Cualificación y Certificación Profesional del MERCOSUR</w:t>
      </w:r>
      <w:r w:rsidDel="00000000" w:rsidR="00000000" w:rsidRPr="00000000">
        <w:rPr>
          <w:color w:val="00000a"/>
          <w:rtl w:val="0"/>
        </w:rPr>
        <w:t xml:space="preserve">. </w:t>
      </w:r>
    </w:p>
    <w:p w:rsidR="00000000" w:rsidDel="00000000" w:rsidP="00000000" w:rsidRDefault="00000000" w:rsidRPr="00000000" w14:paraId="00000013">
      <w:pPr>
        <w:spacing w:line="240" w:lineRule="auto"/>
        <w:ind w:left="2" w:hanging="2"/>
        <w:jc w:val="both"/>
        <w:rPr/>
      </w:pPr>
      <w:r w:rsidDel="00000000" w:rsidR="00000000" w:rsidRPr="00000000">
        <w:rPr>
          <w:rtl w:val="0"/>
        </w:rPr>
        <w:t xml:space="preserve">Las delegaciones resaltaron la importancia de fortalecer la vinculación de la Comisión del Equipo Técnico de Formación Profesional (CETFP) y la Comisión de Área de Educación Tecnológica (CAET) y avanzar en la elaboración de un marco regional de cualificaciones con el objetivo de facilitar la circulación de los trabajadores y las trabajadoras del MERCOSUR.</w:t>
      </w:r>
    </w:p>
    <w:p w:rsidR="00000000" w:rsidDel="00000000" w:rsidP="00000000" w:rsidRDefault="00000000" w:rsidRPr="00000000" w14:paraId="00000014">
      <w:pPr>
        <w:tabs>
          <w:tab w:val="left" w:leader="none" w:pos="426"/>
        </w:tabs>
        <w:spacing w:after="170" w:line="259" w:lineRule="auto"/>
        <w:ind w:left="0" w:firstLine="0"/>
        <w:jc w:val="both"/>
        <w:rPr>
          <w:color w:val="00000a"/>
        </w:rPr>
      </w:pPr>
      <w:r w:rsidDel="00000000" w:rsidR="00000000" w:rsidRPr="00000000">
        <w:rPr>
          <w:rtl w:val="0"/>
        </w:rPr>
      </w:r>
    </w:p>
    <w:p w:rsidR="00000000" w:rsidDel="00000000" w:rsidP="00000000" w:rsidRDefault="00000000" w:rsidRPr="00000000" w14:paraId="00000015">
      <w:pPr>
        <w:numPr>
          <w:ilvl w:val="1"/>
          <w:numId w:val="1"/>
        </w:numPr>
        <w:tabs>
          <w:tab w:val="left" w:leader="none" w:pos="426"/>
        </w:tabs>
        <w:spacing w:after="170" w:line="259" w:lineRule="auto"/>
        <w:ind w:left="0" w:hanging="2"/>
        <w:jc w:val="both"/>
        <w:rPr>
          <w:b w:val="1"/>
          <w:color w:val="00000a"/>
        </w:rPr>
      </w:pPr>
      <w:r w:rsidDel="00000000" w:rsidR="00000000" w:rsidRPr="00000000">
        <w:rPr>
          <w:b w:val="1"/>
          <w:color w:val="00000a"/>
          <w:rtl w:val="0"/>
        </w:rPr>
        <w:t xml:space="preserve">Formulario de Cooperación presentado ante Grupo de Cooperación del MERCOSUR (GCI).</w:t>
      </w:r>
    </w:p>
    <w:p w:rsidR="00000000" w:rsidDel="00000000" w:rsidP="00000000" w:rsidRDefault="00000000" w:rsidRPr="00000000" w14:paraId="00000016">
      <w:pPr>
        <w:tabs>
          <w:tab w:val="left" w:leader="none" w:pos="426"/>
        </w:tabs>
        <w:spacing w:after="170" w:line="259" w:lineRule="auto"/>
        <w:ind w:left="0" w:firstLine="0"/>
        <w:jc w:val="both"/>
        <w:rPr>
          <w:color w:val="00000a"/>
        </w:rPr>
      </w:pPr>
      <w:r w:rsidDel="00000000" w:rsidR="00000000" w:rsidRPr="00000000">
        <w:rPr>
          <w:color w:val="00000a"/>
          <w:rtl w:val="0"/>
        </w:rPr>
        <w:t xml:space="preserve">La CETFP realizó modificaciones sobre el formulario de cooperación Asistencia técnica “Estudio comparado de los Sistemas de Formación Profesional y Certificación en sectores de Construcción y Turismo”, el que pasa a denominarse “Marco Regional de Cualificaciones conjuntamente con los Ministerios de Trabajo y Educación”. Se adjunta como </w:t>
      </w:r>
      <w:r w:rsidDel="00000000" w:rsidR="00000000" w:rsidRPr="00000000">
        <w:rPr>
          <w:b w:val="1"/>
          <w:color w:val="00000a"/>
          <w:rtl w:val="0"/>
        </w:rPr>
        <w:t xml:space="preserve">ANEXO III.</w:t>
      </w:r>
      <w:r w:rsidDel="00000000" w:rsidR="00000000" w:rsidRPr="00000000">
        <w:rPr>
          <w:rtl w:val="0"/>
        </w:rPr>
      </w:r>
    </w:p>
    <w:p w:rsidR="00000000" w:rsidDel="00000000" w:rsidP="00000000" w:rsidRDefault="00000000" w:rsidRPr="00000000" w14:paraId="00000017">
      <w:pPr>
        <w:numPr>
          <w:ilvl w:val="1"/>
          <w:numId w:val="1"/>
        </w:numPr>
        <w:tabs>
          <w:tab w:val="left" w:leader="none" w:pos="426"/>
        </w:tabs>
        <w:spacing w:after="170" w:line="259" w:lineRule="auto"/>
        <w:ind w:left="0" w:hanging="2"/>
        <w:jc w:val="both"/>
        <w:rPr>
          <w:b w:val="1"/>
          <w:color w:val="00000a"/>
        </w:rPr>
      </w:pPr>
      <w:r w:rsidDel="00000000" w:rsidR="00000000" w:rsidRPr="00000000">
        <w:rPr>
          <w:b w:val="1"/>
          <w:color w:val="00000a"/>
          <w:rtl w:val="0"/>
        </w:rPr>
        <w:t xml:space="preserve">Seguimiento del documento “Reconhecimento Regional de Formações Profissionais. Termo de referência”. </w:t>
      </w:r>
    </w:p>
    <w:p w:rsidR="00000000" w:rsidDel="00000000" w:rsidP="00000000" w:rsidRDefault="00000000" w:rsidRPr="00000000" w14:paraId="00000018">
      <w:pPr>
        <w:tabs>
          <w:tab w:val="left" w:leader="none" w:pos="426"/>
        </w:tabs>
        <w:spacing w:after="170" w:line="259" w:lineRule="auto"/>
        <w:ind w:left="0" w:firstLine="0"/>
        <w:jc w:val="both"/>
        <w:rPr>
          <w:color w:val="00000a"/>
        </w:rPr>
      </w:pPr>
      <w:r w:rsidDel="00000000" w:rsidR="00000000" w:rsidRPr="00000000">
        <w:rPr>
          <w:color w:val="00000a"/>
          <w:rtl w:val="0"/>
        </w:rPr>
        <w:t xml:space="preserve">Se agregan los documentos presentados por las delegaciones de Argentina, Paraguay y Uruguay como </w:t>
      </w:r>
      <w:r w:rsidDel="00000000" w:rsidR="00000000" w:rsidRPr="00000000">
        <w:rPr>
          <w:b w:val="1"/>
          <w:color w:val="00000a"/>
          <w:rtl w:val="0"/>
        </w:rPr>
        <w:t xml:space="preserve">ANEXO IV</w:t>
      </w:r>
      <w:r w:rsidDel="00000000" w:rsidR="00000000" w:rsidRPr="00000000">
        <w:rPr>
          <w:color w:val="00000a"/>
          <w:rtl w:val="0"/>
        </w:rPr>
        <w:t xml:space="preserve">. </w:t>
      </w:r>
    </w:p>
    <w:p w:rsidR="00000000" w:rsidDel="00000000" w:rsidP="00000000" w:rsidRDefault="00000000" w:rsidRPr="00000000" w14:paraId="00000019">
      <w:pPr>
        <w:tabs>
          <w:tab w:val="left" w:leader="none" w:pos="426"/>
        </w:tabs>
        <w:spacing w:after="170" w:line="259" w:lineRule="auto"/>
        <w:ind w:left="0" w:firstLine="0"/>
        <w:jc w:val="both"/>
        <w:rPr>
          <w:color w:val="00000a"/>
        </w:rPr>
      </w:pPr>
      <w:r w:rsidDel="00000000" w:rsidR="00000000" w:rsidRPr="00000000">
        <w:rPr>
          <w:color w:val="00000a"/>
          <w:rtl w:val="0"/>
        </w:rPr>
        <w:t xml:space="preserve">La delegación de Brasil consolidará la información de los cuatro países en un solo documento, el cual será enviado a las restantes delegaciones con 20 días de antelación a la reunión ordinaria a realizarse bajo la próxima PPT.</w:t>
      </w:r>
    </w:p>
    <w:p w:rsidR="00000000" w:rsidDel="00000000" w:rsidP="00000000" w:rsidRDefault="00000000" w:rsidRPr="00000000" w14:paraId="0000001A">
      <w:pPr>
        <w:numPr>
          <w:ilvl w:val="0"/>
          <w:numId w:val="1"/>
        </w:numPr>
        <w:tabs>
          <w:tab w:val="left" w:leader="none" w:pos="426"/>
        </w:tabs>
        <w:spacing w:after="170" w:line="259" w:lineRule="auto"/>
        <w:ind w:left="0" w:hanging="2"/>
        <w:jc w:val="both"/>
        <w:rPr>
          <w:b w:val="1"/>
        </w:rPr>
      </w:pPr>
      <w:r w:rsidDel="00000000" w:rsidR="00000000" w:rsidRPr="00000000">
        <w:rPr>
          <w:b w:val="1"/>
          <w:color w:val="00000a"/>
          <w:rtl w:val="0"/>
        </w:rPr>
        <w:t xml:space="preserve">Análisis documento de trabajo SAT N°4/21 “Mapeo sobre conectividad, acceso a las nuevas tecnologías de la información y libre circulación en los órganos y foros del Mercosur”.</w:t>
      </w:r>
      <w:r w:rsidDel="00000000" w:rsidR="00000000" w:rsidRPr="00000000">
        <w:rPr>
          <w:rtl w:val="0"/>
        </w:rPr>
      </w:r>
    </w:p>
    <w:p w:rsidR="00000000" w:rsidDel="00000000" w:rsidP="00000000" w:rsidRDefault="00000000" w:rsidRPr="00000000" w14:paraId="0000001B">
      <w:pPr>
        <w:tabs>
          <w:tab w:val="left" w:leader="none" w:pos="426"/>
        </w:tabs>
        <w:spacing w:after="170" w:line="259" w:lineRule="auto"/>
        <w:ind w:left="0" w:firstLine="0"/>
        <w:jc w:val="both"/>
        <w:rPr/>
      </w:pPr>
      <w:r w:rsidDel="00000000" w:rsidR="00000000" w:rsidRPr="00000000">
        <w:rPr>
          <w:rtl w:val="0"/>
        </w:rPr>
        <w:t xml:space="preserve">Al respecto la CETFP agradece el documento presentado por la SAT el que permite identificar posibles articulaciones. Al respecto, se decide que este documento queda en el ámbito de la CETFP como insumo para futuras propuestas.</w:t>
      </w:r>
    </w:p>
    <w:p w:rsidR="00000000" w:rsidDel="00000000" w:rsidP="00000000" w:rsidRDefault="00000000" w:rsidRPr="00000000" w14:paraId="0000001C">
      <w:pPr>
        <w:numPr>
          <w:ilvl w:val="0"/>
          <w:numId w:val="1"/>
        </w:numPr>
        <w:spacing w:after="170" w:line="360" w:lineRule="auto"/>
        <w:ind w:left="0" w:hanging="2"/>
        <w:jc w:val="both"/>
        <w:rPr>
          <w:b w:val="1"/>
        </w:rPr>
      </w:pPr>
      <w:r w:rsidDel="00000000" w:rsidR="00000000" w:rsidRPr="00000000">
        <w:rPr>
          <w:b w:val="1"/>
          <w:rtl w:val="0"/>
        </w:rPr>
        <w:t xml:space="preserve">Intercambio de información sobre empleos verdes.</w:t>
      </w:r>
    </w:p>
    <w:p w:rsidR="00000000" w:rsidDel="00000000" w:rsidP="00000000" w:rsidRDefault="00000000" w:rsidRPr="00000000" w14:paraId="0000001D">
      <w:pPr>
        <w:spacing w:after="170" w:line="360" w:lineRule="auto"/>
        <w:ind w:left="0" w:firstLine="0"/>
        <w:jc w:val="both"/>
        <w:rPr/>
      </w:pPr>
      <w:r w:rsidDel="00000000" w:rsidR="00000000" w:rsidRPr="00000000">
        <w:rPr>
          <w:rtl w:val="0"/>
        </w:rPr>
        <w:t xml:space="preserve">La CETFP continúa con el intercambio de información sobre el tema. La delegación de Brasil realizará su exposición en la próxima reunión ordinaria. </w:t>
      </w:r>
    </w:p>
    <w:p w:rsidR="00000000" w:rsidDel="00000000" w:rsidP="00000000" w:rsidRDefault="00000000" w:rsidRPr="00000000" w14:paraId="0000001E">
      <w:pPr>
        <w:numPr>
          <w:ilvl w:val="0"/>
          <w:numId w:val="1"/>
        </w:numPr>
        <w:spacing w:after="170" w:line="360" w:lineRule="auto"/>
        <w:ind w:left="0" w:hanging="2"/>
        <w:jc w:val="both"/>
        <w:rPr>
          <w:b w:val="1"/>
        </w:rPr>
      </w:pPr>
      <w:bookmarkStart w:colFirst="0" w:colLast="0" w:name="_heading=h.gjdgxs" w:id="1"/>
      <w:bookmarkEnd w:id="1"/>
      <w:r w:rsidDel="00000000" w:rsidR="00000000" w:rsidRPr="00000000">
        <w:rPr>
          <w:b w:val="1"/>
          <w:rtl w:val="0"/>
        </w:rPr>
        <w:t xml:space="preserve">Evaluación semestral del Programa de Trabajo 2023-2024.</w:t>
      </w:r>
    </w:p>
    <w:p w:rsidR="00000000" w:rsidDel="00000000" w:rsidP="00000000" w:rsidRDefault="00000000" w:rsidRPr="00000000" w14:paraId="0000001F">
      <w:pPr>
        <w:spacing w:after="120" w:before="120" w:lineRule="auto"/>
        <w:ind w:left="0" w:firstLine="0"/>
        <w:jc w:val="both"/>
        <w:rPr/>
      </w:pPr>
      <w:r w:rsidDel="00000000" w:rsidR="00000000" w:rsidRPr="00000000">
        <w:rPr>
          <w:rtl w:val="0"/>
        </w:rPr>
        <w:t xml:space="preserve">La PPTA informó que el GMC aprobó el Programa de Trabajo 2023-2024 el que consta como </w:t>
      </w:r>
      <w:r w:rsidDel="00000000" w:rsidR="00000000" w:rsidRPr="00000000">
        <w:rPr>
          <w:b w:val="1"/>
          <w:rtl w:val="0"/>
        </w:rPr>
        <w:t xml:space="preserve">ANEXO IV .</w:t>
      </w:r>
      <w:r w:rsidDel="00000000" w:rsidR="00000000" w:rsidRPr="00000000">
        <w:rPr>
          <w:rtl w:val="0"/>
        </w:rPr>
      </w:r>
    </w:p>
    <w:p w:rsidR="00000000" w:rsidDel="00000000" w:rsidP="00000000" w:rsidRDefault="00000000" w:rsidRPr="00000000" w14:paraId="00000020">
      <w:pPr>
        <w:spacing w:after="120" w:before="120" w:lineRule="auto"/>
        <w:ind w:left="-2" w:firstLine="0"/>
        <w:jc w:val="both"/>
        <w:rPr/>
      </w:pPr>
      <w:r w:rsidDel="00000000" w:rsidR="00000000" w:rsidRPr="00000000">
        <w:rPr>
          <w:rtl w:val="0"/>
        </w:rPr>
        <w:t xml:space="preserve">Se realizó el informe semestral sobre grado de avance del programa de trabajo vigente, el cual es agregado como </w:t>
      </w:r>
      <w:r w:rsidDel="00000000" w:rsidR="00000000" w:rsidRPr="00000000">
        <w:rPr>
          <w:b w:val="1"/>
          <w:rtl w:val="0"/>
        </w:rPr>
        <w:t xml:space="preserve">ANEXO V.</w:t>
      </w:r>
      <w:r w:rsidDel="00000000" w:rsidR="00000000" w:rsidRPr="00000000">
        <w:rPr>
          <w:rtl w:val="0"/>
        </w:rPr>
        <w:t xml:space="preserve"> La PPTA realizará la carga de los datos en el sistema SIM de la Secretaría MERCOSUR. </w:t>
      </w:r>
    </w:p>
    <w:p w:rsidR="00000000" w:rsidDel="00000000" w:rsidP="00000000" w:rsidRDefault="00000000" w:rsidRPr="00000000" w14:paraId="00000021">
      <w:pPr>
        <w:spacing w:after="170" w:line="360" w:lineRule="auto"/>
        <w:ind w:left="0" w:firstLine="0"/>
        <w:jc w:val="both"/>
        <w:rPr/>
      </w:pPr>
      <w:r w:rsidDel="00000000" w:rsidR="00000000" w:rsidRPr="00000000">
        <w:rPr>
          <w:rtl w:val="0"/>
        </w:rPr>
      </w:r>
    </w:p>
    <w:p w:rsidR="00000000" w:rsidDel="00000000" w:rsidP="00000000" w:rsidRDefault="00000000" w:rsidRPr="00000000" w14:paraId="00000022">
      <w:pPr>
        <w:numPr>
          <w:ilvl w:val="0"/>
          <w:numId w:val="1"/>
        </w:numPr>
        <w:spacing w:after="170" w:line="360" w:lineRule="auto"/>
        <w:ind w:left="0" w:hanging="2"/>
        <w:jc w:val="both"/>
        <w:rPr>
          <w:b w:val="1"/>
        </w:rPr>
      </w:pPr>
      <w:r w:rsidDel="00000000" w:rsidR="00000000" w:rsidRPr="00000000">
        <w:rPr>
          <w:b w:val="1"/>
          <w:rtl w:val="0"/>
        </w:rPr>
        <w:t xml:space="preserve">Otros temas.</w:t>
      </w:r>
    </w:p>
    <w:p w:rsidR="00000000" w:rsidDel="00000000" w:rsidP="00000000" w:rsidRDefault="00000000" w:rsidRPr="00000000" w14:paraId="00000023">
      <w:pPr>
        <w:spacing w:after="170" w:line="276" w:lineRule="auto"/>
        <w:ind w:left="0" w:firstLine="0"/>
        <w:jc w:val="both"/>
        <w:rPr>
          <w:b w:val="1"/>
        </w:rPr>
      </w:pPr>
      <w:r w:rsidDel="00000000" w:rsidR="00000000" w:rsidRPr="00000000">
        <w:rPr>
          <w:rtl w:val="0"/>
        </w:rPr>
        <w:t xml:space="preserve">A sugerencia de la Delegación de Paraguay, se acordó crear un espacio para el intercambio de información sobre innovación en la formación profesional específicamente lo relacionado a e-learning, metodologías de formación, industria 4.0 y empleos verdes. </w:t>
        <w:br w:type="textWrapping"/>
        <w:t xml:space="preserve">Las delegaciones acordaron compartir los avances en un lapso de 30 (treinta) días.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280" w:line="276" w:lineRule="auto"/>
        <w:ind w:left="0" w:hanging="2"/>
        <w:jc w:val="both"/>
        <w:rPr>
          <w:color w:val="00000a"/>
        </w:rPr>
      </w:pPr>
      <w:bookmarkStart w:colFirst="0" w:colLast="0" w:name="_heading=h.30j0zll" w:id="2"/>
      <w:bookmarkEnd w:id="2"/>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ind w:left="0" w:hanging="2"/>
        <w:jc w:val="both"/>
        <w:rPr>
          <w:color w:val="000000"/>
        </w:rPr>
      </w:pPr>
      <w:r w:rsidDel="00000000" w:rsidR="00000000" w:rsidRPr="00000000">
        <w:rPr>
          <w:b w:val="1"/>
          <w:color w:val="000000"/>
          <w:rtl w:val="0"/>
        </w:rPr>
        <w:t xml:space="preserve">PRÓXIMA REUNIÓN</w:t>
      </w:r>
      <w:r w:rsidDel="00000000" w:rsidR="00000000" w:rsidRPr="00000000">
        <w:rPr>
          <w:rtl w:val="0"/>
        </w:rPr>
      </w:r>
    </w:p>
    <w:p w:rsidR="00000000" w:rsidDel="00000000" w:rsidP="00000000" w:rsidRDefault="00000000" w:rsidRPr="00000000" w14:paraId="00000026">
      <w:pPr>
        <w:spacing w:before="280" w:line="276" w:lineRule="auto"/>
        <w:ind w:left="0" w:hanging="2"/>
        <w:jc w:val="both"/>
        <w:rPr/>
      </w:pPr>
      <w:r w:rsidDel="00000000" w:rsidR="00000000" w:rsidRPr="00000000">
        <w:rPr>
          <w:rtl w:val="0"/>
        </w:rPr>
        <w:t xml:space="preserve">La próxima reunión ordinaria del CETFP, será convocada oportunamente por la PPT.</w:t>
      </w:r>
    </w:p>
    <w:p w:rsidR="00000000" w:rsidDel="00000000" w:rsidP="00000000" w:rsidRDefault="00000000" w:rsidRPr="00000000" w14:paraId="00000027">
      <w:pPr>
        <w:spacing w:before="280" w:lineRule="auto"/>
        <w:ind w:left="0" w:hanging="2"/>
        <w:jc w:val="both"/>
        <w:rPr/>
      </w:pPr>
      <w:r w:rsidDel="00000000" w:rsidR="00000000" w:rsidRPr="00000000">
        <w:rPr>
          <w:b w:val="1"/>
          <w:rtl w:val="0"/>
        </w:rPr>
        <w:t xml:space="preserve">ANEXOS</w:t>
      </w:r>
      <w:r w:rsidDel="00000000" w:rsidR="00000000" w:rsidRPr="00000000">
        <w:rPr>
          <w:rtl w:val="0"/>
        </w:rPr>
      </w:r>
    </w:p>
    <w:p w:rsidR="00000000" w:rsidDel="00000000" w:rsidP="00000000" w:rsidRDefault="00000000" w:rsidRPr="00000000" w14:paraId="00000028">
      <w:pPr>
        <w:spacing w:before="280" w:lineRule="auto"/>
        <w:ind w:left="0" w:hanging="2"/>
        <w:jc w:val="both"/>
        <w:rPr/>
      </w:pPr>
      <w:r w:rsidDel="00000000" w:rsidR="00000000" w:rsidRPr="00000000">
        <w:rPr>
          <w:rtl w:val="0"/>
        </w:rPr>
        <w:t xml:space="preserve">Los Anexos que forman parte de la presente Acta son los siguientes: </w:t>
      </w:r>
    </w:p>
    <w:p w:rsidR="00000000" w:rsidDel="00000000" w:rsidP="00000000" w:rsidRDefault="00000000" w:rsidRPr="00000000" w14:paraId="00000029">
      <w:pPr>
        <w:spacing w:before="280" w:lineRule="auto"/>
        <w:ind w:left="0" w:hanging="2"/>
        <w:jc w:val="both"/>
        <w:rPr/>
      </w:pPr>
      <w:r w:rsidDel="00000000" w:rsidR="00000000" w:rsidRPr="00000000">
        <w:rPr>
          <w:rtl w:val="0"/>
        </w:rPr>
      </w:r>
    </w:p>
    <w:tbl>
      <w:tblPr>
        <w:tblStyle w:val="Table1"/>
        <w:tblW w:w="8085.0" w:type="dxa"/>
        <w:jc w:val="left"/>
        <w:tblInd w:w="-18.000000000000114"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790"/>
        <w:gridCol w:w="5295"/>
        <w:tblGridChange w:id="0">
          <w:tblGrid>
            <w:gridCol w:w="2790"/>
            <w:gridCol w:w="5295"/>
          </w:tblGrid>
        </w:tblGridChange>
      </w:tblGrid>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ind w:left="0" w:hanging="2"/>
              <w:jc w:val="both"/>
              <w:rPr/>
            </w:pPr>
            <w:r w:rsidDel="00000000" w:rsidR="00000000" w:rsidRPr="00000000">
              <w:rPr>
                <w:b w:val="1"/>
                <w:rtl w:val="0"/>
              </w:rPr>
              <w:t xml:space="preserve">Anexo 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B">
            <w:pPr>
              <w:ind w:left="0" w:hanging="2"/>
              <w:jc w:val="both"/>
              <w:rPr/>
            </w:pPr>
            <w:r w:rsidDel="00000000" w:rsidR="00000000" w:rsidRPr="00000000">
              <w:rPr>
                <w:rtl w:val="0"/>
              </w:rPr>
              <w:t xml:space="preserve">Lista de participantes</w:t>
            </w:r>
          </w:p>
        </w:tc>
      </w:tr>
      <w:tr>
        <w:trPr>
          <w:cantSplit w:val="0"/>
          <w:trHeight w:val="25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ind w:left="0" w:hanging="2"/>
              <w:jc w:val="both"/>
              <w:rPr/>
            </w:pPr>
            <w:r w:rsidDel="00000000" w:rsidR="00000000" w:rsidRPr="00000000">
              <w:rPr>
                <w:b w:val="1"/>
                <w:rtl w:val="0"/>
              </w:rPr>
              <w:t xml:space="preserve">Anexo 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D">
            <w:pPr>
              <w:ind w:left="0" w:hanging="2"/>
              <w:jc w:val="both"/>
              <w:rPr/>
            </w:pPr>
            <w:r w:rsidDel="00000000" w:rsidR="00000000" w:rsidRPr="00000000">
              <w:rPr>
                <w:rtl w:val="0"/>
              </w:rPr>
              <w:t xml:space="preserve">Agenda</w:t>
            </w:r>
          </w:p>
        </w:tc>
      </w:tr>
      <w:tr>
        <w:trPr>
          <w:cantSplit w:val="0"/>
          <w:trHeight w:val="26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E">
            <w:pPr>
              <w:ind w:left="0" w:hanging="2"/>
              <w:jc w:val="both"/>
              <w:rPr>
                <w:b w:val="1"/>
              </w:rPr>
            </w:pPr>
            <w:r w:rsidDel="00000000" w:rsidR="00000000" w:rsidRPr="00000000">
              <w:rPr>
                <w:b w:val="1"/>
                <w:rtl w:val="0"/>
              </w:rPr>
              <w:t xml:space="preserve">Anexo III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F">
            <w:pPr>
              <w:ind w:left="0" w:hanging="2"/>
              <w:jc w:val="both"/>
              <w:rPr>
                <w:b w:val="1"/>
              </w:rPr>
            </w:pPr>
            <w:r w:rsidDel="00000000" w:rsidR="00000000" w:rsidRPr="00000000">
              <w:rPr>
                <w:color w:val="00000a"/>
                <w:rtl w:val="0"/>
              </w:rPr>
              <w:t xml:space="preserve">Formulario de Cooperación</w:t>
            </w:r>
            <w:r w:rsidDel="00000000" w:rsidR="00000000" w:rsidRPr="00000000">
              <w:rPr>
                <w:rtl w:val="0"/>
              </w:rPr>
            </w:r>
          </w:p>
        </w:tc>
      </w:tr>
      <w:tr>
        <w:trPr>
          <w:cantSplit w:val="0"/>
          <w:trHeight w:val="356.95312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ind w:left="0" w:hanging="2"/>
              <w:jc w:val="both"/>
              <w:rPr>
                <w:b w:val="1"/>
              </w:rPr>
            </w:pPr>
            <w:r w:rsidDel="00000000" w:rsidR="00000000" w:rsidRPr="00000000">
              <w:rPr>
                <w:b w:val="1"/>
                <w:rtl w:val="0"/>
              </w:rPr>
              <w:t xml:space="preserve">Anexo IV</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ind w:left="0" w:firstLine="0"/>
              <w:jc w:val="both"/>
              <w:rPr>
                <w:color w:val="00000a"/>
              </w:rPr>
            </w:pPr>
            <w:r w:rsidDel="00000000" w:rsidR="00000000" w:rsidRPr="00000000">
              <w:rPr>
                <w:color w:val="00000a"/>
                <w:rtl w:val="0"/>
              </w:rPr>
              <w:t xml:space="preserve">Sugerencias de Argentina, Paraguay y Uruguay a documento elaborado por Brasil 2017.</w:t>
            </w:r>
          </w:p>
        </w:tc>
      </w:tr>
      <w:tr>
        <w:trPr>
          <w:cantSplit w:val="0"/>
          <w:trHeight w:val="25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ind w:left="0" w:hanging="2"/>
              <w:jc w:val="both"/>
              <w:rPr/>
            </w:pPr>
            <w:r w:rsidDel="00000000" w:rsidR="00000000" w:rsidRPr="00000000">
              <w:rPr>
                <w:b w:val="1"/>
                <w:rtl w:val="0"/>
              </w:rPr>
              <w:t xml:space="preserve">Anexo 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ind w:left="0" w:hanging="2"/>
              <w:jc w:val="both"/>
              <w:rPr/>
            </w:pPr>
            <w:r w:rsidDel="00000000" w:rsidR="00000000" w:rsidRPr="00000000">
              <w:rPr>
                <w:rtl w:val="0"/>
              </w:rPr>
              <w:t xml:space="preserve">Programa de Trabajo 2023-2024</w:t>
            </w:r>
          </w:p>
        </w:tc>
      </w:tr>
      <w:tr>
        <w:trPr>
          <w:cantSplit w:val="0"/>
          <w:trHeight w:val="25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ind w:left="0" w:hanging="2"/>
              <w:jc w:val="both"/>
              <w:rPr/>
            </w:pPr>
            <w:r w:rsidDel="00000000" w:rsidR="00000000" w:rsidRPr="00000000">
              <w:rPr>
                <w:b w:val="1"/>
                <w:rtl w:val="0"/>
              </w:rPr>
              <w:t xml:space="preserve">Anexo 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ind w:left="0" w:hanging="2"/>
              <w:jc w:val="both"/>
              <w:rPr>
                <w:b w:val="1"/>
              </w:rPr>
            </w:pPr>
            <w:r w:rsidDel="00000000" w:rsidR="00000000" w:rsidRPr="00000000">
              <w:rPr>
                <w:rtl w:val="0"/>
              </w:rPr>
              <w:t xml:space="preserve">Informe semestral de cumplimiento PT 2023/24</w:t>
            </w:r>
            <w:r w:rsidDel="00000000" w:rsidR="00000000" w:rsidRPr="00000000">
              <w:rPr>
                <w:rtl w:val="0"/>
              </w:rPr>
            </w:r>
          </w:p>
        </w:tc>
      </w:tr>
    </w:tbl>
    <w:p w:rsidR="00000000" w:rsidDel="00000000" w:rsidP="00000000" w:rsidRDefault="00000000" w:rsidRPr="00000000" w14:paraId="00000036">
      <w:pPr>
        <w:spacing w:after="240" w:before="280" w:line="276" w:lineRule="auto"/>
        <w:ind w:left="0" w:hanging="2"/>
        <w:jc w:val="both"/>
        <w:rPr/>
      </w:pPr>
      <w:r w:rsidDel="00000000" w:rsidR="00000000" w:rsidRPr="00000000">
        <w:rPr>
          <w:rtl w:val="0"/>
        </w:rPr>
      </w:r>
    </w:p>
    <w:p w:rsidR="00000000" w:rsidDel="00000000" w:rsidP="00000000" w:rsidRDefault="00000000" w:rsidRPr="00000000" w14:paraId="00000037">
      <w:pPr>
        <w:spacing w:after="240" w:before="280" w:line="276" w:lineRule="auto"/>
        <w:ind w:left="0" w:hanging="2"/>
        <w:jc w:val="both"/>
        <w:rPr/>
      </w:pPr>
      <w:r w:rsidDel="00000000" w:rsidR="00000000" w:rsidRPr="00000000">
        <w:rPr>
          <w:rtl w:val="0"/>
        </w:rPr>
      </w:r>
    </w:p>
    <w:p w:rsidR="00000000" w:rsidDel="00000000" w:rsidP="00000000" w:rsidRDefault="00000000" w:rsidRPr="00000000" w14:paraId="00000038">
      <w:pPr>
        <w:spacing w:after="240" w:before="280" w:line="276" w:lineRule="auto"/>
        <w:ind w:left="0" w:hanging="2"/>
        <w:jc w:val="both"/>
        <w:rPr/>
      </w:pPr>
      <w:r w:rsidDel="00000000" w:rsidR="00000000" w:rsidRPr="00000000">
        <w:rPr>
          <w:rtl w:val="0"/>
        </w:rPr>
      </w:r>
    </w:p>
    <w:p w:rsidR="00000000" w:rsidDel="00000000" w:rsidP="00000000" w:rsidRDefault="00000000" w:rsidRPr="00000000" w14:paraId="00000039">
      <w:pPr>
        <w:spacing w:after="240" w:before="280" w:line="276" w:lineRule="auto"/>
        <w:ind w:left="0" w:hanging="2"/>
        <w:jc w:val="both"/>
        <w:rPr/>
      </w:pPr>
      <w:r w:rsidDel="00000000" w:rsidR="00000000" w:rsidRPr="00000000">
        <w:rPr>
          <w:rtl w:val="0"/>
        </w:rPr>
      </w:r>
    </w:p>
    <w:p w:rsidR="00000000" w:rsidDel="00000000" w:rsidP="00000000" w:rsidRDefault="00000000" w:rsidRPr="00000000" w14:paraId="0000003A">
      <w:pPr>
        <w:spacing w:after="240" w:before="280" w:line="276" w:lineRule="auto"/>
        <w:ind w:left="0" w:hanging="2"/>
        <w:jc w:val="both"/>
        <w:rPr/>
      </w:pPr>
      <w:r w:rsidDel="00000000" w:rsidR="00000000" w:rsidRPr="00000000">
        <w:rPr>
          <w:rtl w:val="0"/>
        </w:rPr>
      </w:r>
    </w:p>
    <w:p w:rsidR="00000000" w:rsidDel="00000000" w:rsidP="00000000" w:rsidRDefault="00000000" w:rsidRPr="00000000" w14:paraId="0000003B">
      <w:pPr>
        <w:ind w:left="0" w:hanging="2"/>
        <w:rPr>
          <w:highlight w:val="yellow"/>
          <w:u w:val="single"/>
        </w:rPr>
      </w:pPr>
      <w:r w:rsidDel="00000000" w:rsidR="00000000" w:rsidRPr="00000000">
        <w:rPr>
          <w:rtl w:val="0"/>
        </w:rPr>
      </w:r>
    </w:p>
    <w:tbl>
      <w:tblPr>
        <w:tblStyle w:val="Table2"/>
        <w:tblW w:w="9128.0" w:type="dxa"/>
        <w:jc w:val="left"/>
        <w:tblInd w:w="-108.0" w:type="dxa"/>
        <w:tblLayout w:type="fixed"/>
        <w:tblLook w:val="0000"/>
      </w:tblPr>
      <w:tblGrid>
        <w:gridCol w:w="4564"/>
        <w:gridCol w:w="4564"/>
        <w:tblGridChange w:id="0">
          <w:tblGrid>
            <w:gridCol w:w="4564"/>
            <w:gridCol w:w="4564"/>
          </w:tblGrid>
        </w:tblGridChange>
      </w:tblGrid>
      <w:tr>
        <w:trPr>
          <w:cantSplit w:val="0"/>
          <w:trHeight w:val="1478" w:hRule="atLeast"/>
          <w:tblHeader w:val="0"/>
        </w:trPr>
        <w:tc>
          <w:tcPr/>
          <w:p w:rsidR="00000000" w:rsidDel="00000000" w:rsidP="00000000" w:rsidRDefault="00000000" w:rsidRPr="00000000" w14:paraId="0000003C">
            <w:pPr>
              <w:ind w:left="0" w:hanging="2"/>
              <w:rPr/>
            </w:pPr>
            <w:r w:rsidDel="00000000" w:rsidR="00000000" w:rsidRPr="00000000">
              <w:rPr>
                <w:b w:val="1"/>
                <w:rtl w:val="0"/>
              </w:rPr>
              <w:t xml:space="preserve">_______________________________</w:t>
            </w:r>
            <w:r w:rsidDel="00000000" w:rsidR="00000000" w:rsidRPr="00000000">
              <w:rPr>
                <w:rtl w:val="0"/>
              </w:rPr>
            </w:r>
          </w:p>
          <w:p w:rsidR="00000000" w:rsidDel="00000000" w:rsidP="00000000" w:rsidRDefault="00000000" w:rsidRPr="00000000" w14:paraId="0000003D">
            <w:pPr>
              <w:ind w:left="0" w:hanging="2"/>
              <w:jc w:val="center"/>
              <w:rPr/>
            </w:pPr>
            <w:r w:rsidDel="00000000" w:rsidR="00000000" w:rsidRPr="00000000">
              <w:rPr>
                <w:b w:val="1"/>
                <w:rtl w:val="0"/>
              </w:rPr>
              <w:t xml:space="preserve">Por la Delegación de Argentina</w:t>
            </w:r>
            <w:r w:rsidDel="00000000" w:rsidR="00000000" w:rsidRPr="00000000">
              <w:rPr>
                <w:rtl w:val="0"/>
              </w:rPr>
            </w:r>
          </w:p>
          <w:p w:rsidR="00000000" w:rsidDel="00000000" w:rsidP="00000000" w:rsidRDefault="00000000" w:rsidRPr="00000000" w14:paraId="0000003E">
            <w:pPr>
              <w:ind w:left="0" w:hanging="2"/>
              <w:rPr>
                <w:u w:val="single"/>
              </w:rPr>
            </w:pPr>
            <w:r w:rsidDel="00000000" w:rsidR="00000000" w:rsidRPr="00000000">
              <w:rPr>
                <w:rtl w:val="0"/>
              </w:rPr>
              <w:t xml:space="preserve">                   Carmen Lemos</w:t>
            </w:r>
            <w:r w:rsidDel="00000000" w:rsidR="00000000" w:rsidRPr="00000000">
              <w:rPr>
                <w:rtl w:val="0"/>
              </w:rPr>
            </w:r>
          </w:p>
        </w:tc>
        <w:tc>
          <w:tcPr/>
          <w:p w:rsidR="00000000" w:rsidDel="00000000" w:rsidP="00000000" w:rsidRDefault="00000000" w:rsidRPr="00000000" w14:paraId="0000003F">
            <w:pPr>
              <w:ind w:left="0" w:hanging="2"/>
              <w:rPr/>
            </w:pPr>
            <w:r w:rsidDel="00000000" w:rsidR="00000000" w:rsidRPr="00000000">
              <w:rPr>
                <w:b w:val="1"/>
                <w:rtl w:val="0"/>
              </w:rPr>
              <w:t xml:space="preserve">______________________________</w:t>
            </w:r>
            <w:r w:rsidDel="00000000" w:rsidR="00000000" w:rsidRPr="00000000">
              <w:rPr>
                <w:rtl w:val="0"/>
              </w:rPr>
            </w:r>
          </w:p>
          <w:p w:rsidR="00000000" w:rsidDel="00000000" w:rsidP="00000000" w:rsidRDefault="00000000" w:rsidRPr="00000000" w14:paraId="00000040">
            <w:pPr>
              <w:ind w:left="0" w:hanging="2"/>
              <w:jc w:val="center"/>
              <w:rPr/>
            </w:pPr>
            <w:r w:rsidDel="00000000" w:rsidR="00000000" w:rsidRPr="00000000">
              <w:rPr>
                <w:b w:val="1"/>
                <w:rtl w:val="0"/>
              </w:rPr>
              <w:t xml:space="preserve">Por la Delegación de Brasil</w:t>
            </w:r>
            <w:r w:rsidDel="00000000" w:rsidR="00000000" w:rsidRPr="00000000">
              <w:rPr>
                <w:rtl w:val="0"/>
              </w:rPr>
            </w:r>
          </w:p>
          <w:p w:rsidR="00000000" w:rsidDel="00000000" w:rsidP="00000000" w:rsidRDefault="00000000" w:rsidRPr="00000000" w14:paraId="00000041">
            <w:pPr>
              <w:ind w:left="1" w:hanging="3"/>
              <w:jc w:val="center"/>
              <w:rPr>
                <w:sz w:val="28"/>
                <w:szCs w:val="28"/>
              </w:rPr>
            </w:pPr>
            <w:r w:rsidDel="00000000" w:rsidR="00000000" w:rsidRPr="00000000">
              <w:rPr>
                <w:rFonts w:ascii="Calibri" w:cs="Calibri" w:eastAsia="Calibri" w:hAnsi="Calibri"/>
                <w:color w:val="212121"/>
                <w:sz w:val="28"/>
                <w:szCs w:val="28"/>
                <w:rtl w:val="0"/>
              </w:rPr>
              <w:t xml:space="preserve">Cecilia Monteiro</w:t>
            </w:r>
            <w:r w:rsidDel="00000000" w:rsidR="00000000" w:rsidRPr="00000000">
              <w:rPr>
                <w:rtl w:val="0"/>
              </w:rPr>
            </w:r>
          </w:p>
        </w:tc>
      </w:tr>
      <w:tr>
        <w:trPr>
          <w:cantSplit w:val="0"/>
          <w:trHeight w:val="2084" w:hRule="atLeast"/>
          <w:tblHeader w:val="0"/>
        </w:trPr>
        <w:tc>
          <w:tcPr/>
          <w:p w:rsidR="00000000" w:rsidDel="00000000" w:rsidP="00000000" w:rsidRDefault="00000000" w:rsidRPr="00000000" w14:paraId="00000042">
            <w:pPr>
              <w:ind w:left="0" w:hanging="2"/>
              <w:rPr/>
            </w:pPr>
            <w:r w:rsidDel="00000000" w:rsidR="00000000" w:rsidRPr="00000000">
              <w:rPr>
                <w:rtl w:val="0"/>
              </w:rPr>
            </w:r>
          </w:p>
          <w:p w:rsidR="00000000" w:rsidDel="00000000" w:rsidP="00000000" w:rsidRDefault="00000000" w:rsidRPr="00000000" w14:paraId="00000043">
            <w:pPr>
              <w:ind w:left="0" w:hanging="2"/>
              <w:rPr/>
            </w:pPr>
            <w:r w:rsidDel="00000000" w:rsidR="00000000" w:rsidRPr="00000000">
              <w:rPr>
                <w:rtl w:val="0"/>
              </w:rPr>
            </w:r>
          </w:p>
          <w:p w:rsidR="00000000" w:rsidDel="00000000" w:rsidP="00000000" w:rsidRDefault="00000000" w:rsidRPr="00000000" w14:paraId="00000044">
            <w:pPr>
              <w:ind w:left="0" w:hanging="2"/>
              <w:rPr/>
            </w:pPr>
            <w:r w:rsidDel="00000000" w:rsidR="00000000" w:rsidRPr="00000000">
              <w:rPr>
                <w:rtl w:val="0"/>
              </w:rPr>
            </w:r>
          </w:p>
          <w:p w:rsidR="00000000" w:rsidDel="00000000" w:rsidP="00000000" w:rsidRDefault="00000000" w:rsidRPr="00000000" w14:paraId="00000045">
            <w:pPr>
              <w:ind w:left="0" w:hanging="2"/>
              <w:rPr/>
            </w:pPr>
            <w:r w:rsidDel="00000000" w:rsidR="00000000" w:rsidRPr="00000000">
              <w:rPr>
                <w:rtl w:val="0"/>
              </w:rPr>
            </w:r>
          </w:p>
          <w:p w:rsidR="00000000" w:rsidDel="00000000" w:rsidP="00000000" w:rsidRDefault="00000000" w:rsidRPr="00000000" w14:paraId="00000046">
            <w:pPr>
              <w:ind w:left="0" w:hanging="2"/>
              <w:rPr/>
            </w:pPr>
            <w:r w:rsidDel="00000000" w:rsidR="00000000" w:rsidRPr="00000000">
              <w:rPr>
                <w:b w:val="1"/>
                <w:rtl w:val="0"/>
              </w:rPr>
              <w:t xml:space="preserve">_______________________________</w:t>
            </w:r>
            <w:r w:rsidDel="00000000" w:rsidR="00000000" w:rsidRPr="00000000">
              <w:rPr>
                <w:rtl w:val="0"/>
              </w:rPr>
            </w:r>
          </w:p>
          <w:p w:rsidR="00000000" w:rsidDel="00000000" w:rsidP="00000000" w:rsidRDefault="00000000" w:rsidRPr="00000000" w14:paraId="00000047">
            <w:pPr>
              <w:ind w:left="0" w:hanging="2"/>
              <w:jc w:val="center"/>
              <w:rPr>
                <w:b w:val="1"/>
              </w:rPr>
            </w:pPr>
            <w:r w:rsidDel="00000000" w:rsidR="00000000" w:rsidRPr="00000000">
              <w:rPr>
                <w:b w:val="1"/>
                <w:rtl w:val="0"/>
              </w:rPr>
              <w:t xml:space="preserve">Por la Delegación de Paraguay</w:t>
            </w:r>
          </w:p>
          <w:p w:rsidR="00000000" w:rsidDel="00000000" w:rsidP="00000000" w:rsidRDefault="00000000" w:rsidRPr="00000000" w14:paraId="00000048">
            <w:pPr>
              <w:ind w:left="0" w:hanging="2"/>
              <w:jc w:val="center"/>
              <w:rPr/>
            </w:pPr>
            <w:r w:rsidDel="00000000" w:rsidR="00000000" w:rsidRPr="00000000">
              <w:rPr>
                <w:rtl w:val="0"/>
              </w:rPr>
              <w:t xml:space="preserve">Noglia Ayala</w:t>
            </w:r>
          </w:p>
          <w:p w:rsidR="00000000" w:rsidDel="00000000" w:rsidP="00000000" w:rsidRDefault="00000000" w:rsidRPr="00000000" w14:paraId="00000049">
            <w:pPr>
              <w:ind w:left="0" w:hanging="2"/>
              <w:jc w:val="center"/>
              <w:rPr/>
            </w:pPr>
            <w:r w:rsidDel="00000000" w:rsidR="00000000" w:rsidRPr="00000000">
              <w:rPr>
                <w:rtl w:val="0"/>
              </w:rPr>
            </w:r>
          </w:p>
        </w:tc>
        <w:tc>
          <w:tcPr/>
          <w:p w:rsidR="00000000" w:rsidDel="00000000" w:rsidP="00000000" w:rsidRDefault="00000000" w:rsidRPr="00000000" w14:paraId="0000004A">
            <w:pPr>
              <w:ind w:left="0" w:hanging="2"/>
              <w:rPr/>
            </w:pPr>
            <w:r w:rsidDel="00000000" w:rsidR="00000000" w:rsidRPr="00000000">
              <w:rPr>
                <w:rtl w:val="0"/>
              </w:rPr>
            </w:r>
          </w:p>
          <w:p w:rsidR="00000000" w:rsidDel="00000000" w:rsidP="00000000" w:rsidRDefault="00000000" w:rsidRPr="00000000" w14:paraId="0000004B">
            <w:pPr>
              <w:ind w:left="0" w:hanging="2"/>
              <w:rPr/>
            </w:pPr>
            <w:r w:rsidDel="00000000" w:rsidR="00000000" w:rsidRPr="00000000">
              <w:rPr>
                <w:rtl w:val="0"/>
              </w:rPr>
            </w:r>
          </w:p>
          <w:p w:rsidR="00000000" w:rsidDel="00000000" w:rsidP="00000000" w:rsidRDefault="00000000" w:rsidRPr="00000000" w14:paraId="0000004C">
            <w:pPr>
              <w:ind w:left="0" w:hanging="2"/>
              <w:rPr/>
            </w:pPr>
            <w:r w:rsidDel="00000000" w:rsidR="00000000" w:rsidRPr="00000000">
              <w:rPr>
                <w:rtl w:val="0"/>
              </w:rPr>
            </w:r>
          </w:p>
          <w:p w:rsidR="00000000" w:rsidDel="00000000" w:rsidP="00000000" w:rsidRDefault="00000000" w:rsidRPr="00000000" w14:paraId="0000004D">
            <w:pPr>
              <w:ind w:left="0" w:hanging="2"/>
              <w:rPr/>
            </w:pPr>
            <w:r w:rsidDel="00000000" w:rsidR="00000000" w:rsidRPr="00000000">
              <w:rPr>
                <w:rtl w:val="0"/>
              </w:rPr>
            </w:r>
          </w:p>
          <w:p w:rsidR="00000000" w:rsidDel="00000000" w:rsidP="00000000" w:rsidRDefault="00000000" w:rsidRPr="00000000" w14:paraId="0000004E">
            <w:pPr>
              <w:ind w:left="0" w:hanging="2"/>
              <w:rPr/>
            </w:pPr>
            <w:r w:rsidDel="00000000" w:rsidR="00000000" w:rsidRPr="00000000">
              <w:rPr>
                <w:b w:val="1"/>
                <w:rtl w:val="0"/>
              </w:rPr>
              <w:t xml:space="preserve">_______________________________</w:t>
            </w:r>
            <w:r w:rsidDel="00000000" w:rsidR="00000000" w:rsidRPr="00000000">
              <w:rPr>
                <w:rtl w:val="0"/>
              </w:rPr>
            </w:r>
          </w:p>
          <w:p w:rsidR="00000000" w:rsidDel="00000000" w:rsidP="00000000" w:rsidRDefault="00000000" w:rsidRPr="00000000" w14:paraId="0000004F">
            <w:pPr>
              <w:ind w:left="0" w:hanging="2"/>
              <w:jc w:val="center"/>
              <w:rPr>
                <w:b w:val="1"/>
              </w:rPr>
            </w:pPr>
            <w:r w:rsidDel="00000000" w:rsidR="00000000" w:rsidRPr="00000000">
              <w:rPr>
                <w:b w:val="1"/>
                <w:rtl w:val="0"/>
              </w:rPr>
              <w:t xml:space="preserve">Por la Delegación de Uruguay</w:t>
            </w:r>
          </w:p>
          <w:p w:rsidR="00000000" w:rsidDel="00000000" w:rsidP="00000000" w:rsidRDefault="00000000" w:rsidRPr="00000000" w14:paraId="00000050">
            <w:pPr>
              <w:ind w:left="0" w:hanging="2"/>
              <w:jc w:val="center"/>
              <w:rPr/>
            </w:pPr>
            <w:r w:rsidDel="00000000" w:rsidR="00000000" w:rsidRPr="00000000">
              <w:rPr>
                <w:rtl w:val="0"/>
              </w:rPr>
              <w:t xml:space="preserve">Mauricio Vidal</w:t>
            </w:r>
          </w:p>
          <w:p w:rsidR="00000000" w:rsidDel="00000000" w:rsidP="00000000" w:rsidRDefault="00000000" w:rsidRPr="00000000" w14:paraId="00000051">
            <w:pPr>
              <w:ind w:left="0" w:hanging="2"/>
              <w:jc w:val="center"/>
              <w:rPr>
                <w:u w:val="single"/>
              </w:rPr>
            </w:pPr>
            <w:r w:rsidDel="00000000" w:rsidR="00000000" w:rsidRPr="00000000">
              <w:rPr>
                <w:rtl w:val="0"/>
              </w:rPr>
            </w:r>
          </w:p>
        </w:tc>
      </w:tr>
    </w:tbl>
    <w:p w:rsidR="00000000" w:rsidDel="00000000" w:rsidP="00000000" w:rsidRDefault="00000000" w:rsidRPr="00000000" w14:paraId="00000052">
      <w:pPr>
        <w:keepNext w:val="1"/>
        <w:widowControl w:val="0"/>
        <w:pBdr>
          <w:top w:space="0" w:sz="0" w:val="nil"/>
          <w:left w:space="0" w:sz="0" w:val="nil"/>
          <w:bottom w:space="0" w:sz="0" w:val="nil"/>
          <w:right w:space="0" w:sz="0" w:val="nil"/>
          <w:between w:space="0" w:sz="0" w:val="nil"/>
        </w:pBdr>
        <w:tabs>
          <w:tab w:val="left" w:leader="none" w:pos="5040"/>
        </w:tabs>
        <w:spacing w:line="240" w:lineRule="auto"/>
        <w:ind w:left="0" w:firstLine="0"/>
        <w:jc w:val="both"/>
        <w:rPr>
          <w:b w:val="1"/>
          <w:color w:val="000000"/>
        </w:rPr>
      </w:pPr>
      <w:r w:rsidDel="00000000" w:rsidR="00000000" w:rsidRPr="00000000">
        <w:rPr>
          <w:rtl w:val="0"/>
        </w:rPr>
      </w:r>
    </w:p>
    <w:sectPr>
      <w:footerReference r:id="rId8" w:type="default"/>
      <w:pgSz w:h="16838" w:w="11906" w:orient="portrait"/>
      <w:pgMar w:bottom="1417" w:top="1417" w:left="1701" w:right="127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PY"/>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5040"/>
      </w:tabs>
      <w:jc w:val="both"/>
    </w:pPr>
    <w:rP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lang w:eastAsia="es-UY"/>
    </w:rPr>
  </w:style>
  <w:style w:type="paragraph" w:styleId="Ttulo1">
    <w:name w:val="heading 1"/>
    <w:basedOn w:val="Normal"/>
    <w:next w:val="Normal"/>
    <w:uiPriority w:val="9"/>
    <w:qFormat w:val="1"/>
    <w:pPr>
      <w:keepNext w:val="1"/>
      <w:widowControl w:val="0"/>
      <w:tabs>
        <w:tab w:val="left" w:pos="5040"/>
      </w:tabs>
      <w:jc w:val="both"/>
    </w:pPr>
    <w:rPr>
      <w:b w:val="1"/>
      <w:color w:val="000000"/>
      <w:lang w:val="es-ES"/>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angradetextonormal">
    <w:name w:val="Body Text Indent"/>
    <w:basedOn w:val="Normal"/>
    <w:pPr>
      <w:ind w:left="540"/>
      <w:jc w:val="both"/>
    </w:pPr>
    <w:rPr>
      <w:rFonts w:ascii="Times New Roman" w:hAnsi="Times New Roman"/>
      <w:lang w:val="es-ES"/>
    </w:rPr>
  </w:style>
  <w:style w:type="paragraph" w:styleId="Textoindependiente2">
    <w:name w:val="Body Text 2"/>
    <w:basedOn w:val="Normal"/>
    <w:pPr>
      <w:jc w:val="both"/>
    </w:pPr>
    <w:rPr>
      <w:lang w:val="es-ES"/>
    </w:rPr>
  </w:style>
  <w:style w:type="paragraph" w:styleId="Prrafodelista">
    <w:name w:val="List Paragraph"/>
    <w:basedOn w:val="Normal"/>
    <w:pPr>
      <w:spacing w:after="160" w:line="259" w:lineRule="auto"/>
      <w:ind w:left="720"/>
      <w:contextualSpacing w:val="1"/>
    </w:pPr>
    <w:rPr>
      <w:rFonts w:ascii="Calibri" w:cs="Calibri" w:eastAsia="Calibri" w:hAnsi="Calibri"/>
      <w:sz w:val="22"/>
      <w:szCs w:val="22"/>
      <w:lang w:eastAsia="en-US" w:val="es-ES"/>
    </w:rPr>
  </w:style>
  <w:style w:type="table" w:styleId="Tablaconcuadrcula">
    <w:name w:val="Table Grid"/>
    <w:basedOn w:val="Tablanormal"/>
    <w:pPr>
      <w:suppressAutoHyphens w:val="1"/>
      <w:spacing w:line="1" w:lineRule="atLeast"/>
      <w:ind w:left="-1" w:leftChars="-1" w:hangingChars="1"/>
      <w:textDirection w:val="btLr"/>
      <w:textAlignment w:val="top"/>
      <w:outlineLvl w:val="0"/>
    </w:pPr>
    <w:rPr>
      <w:rFonts w:ascii="Calibri" w:cs="Times New Roman" w:eastAsia="Calibri" w:hAnsi="Calibri"/>
      <w:position w:val="-1"/>
      <w:szCs w:val="22"/>
      <w:lang w:val="es-ES"/>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ntinuarlista">
    <w:name w:val="List Continue"/>
    <w:basedOn w:val="Normal"/>
    <w:qFormat w:val="1"/>
    <w:pPr>
      <w:spacing w:after="120"/>
      <w:ind w:left="283"/>
      <w:contextualSpacing w:val="1"/>
    </w:pPr>
  </w:style>
  <w:style w:type="paragraph" w:styleId="Encabezado">
    <w:name w:val="header"/>
    <w:basedOn w:val="Normal"/>
    <w:qFormat w:val="1"/>
    <w:pPr>
      <w:tabs>
        <w:tab w:val="center" w:pos="4252"/>
        <w:tab w:val="right" w:pos="8504"/>
      </w:tabs>
    </w:pPr>
  </w:style>
  <w:style w:type="character" w:styleId="EncabezadoCar" w:customStyle="1">
    <w:name w:val="Encabezado Car"/>
    <w:rPr>
      <w:rFonts w:ascii="Arial" w:hAnsi="Arial"/>
      <w:w w:val="100"/>
      <w:position w:val="-1"/>
      <w:sz w:val="24"/>
      <w:effect w:val="none"/>
      <w:vertAlign w:val="baseline"/>
      <w:cs w:val="0"/>
      <w:em w:val="none"/>
      <w:lang w:eastAsia="es-UY" w:val="es-PY"/>
    </w:rPr>
  </w:style>
  <w:style w:type="paragraph" w:styleId="Piedepgina">
    <w:name w:val="footer"/>
    <w:basedOn w:val="Normal"/>
    <w:qFormat w:val="1"/>
    <w:pPr>
      <w:tabs>
        <w:tab w:val="center" w:pos="4252"/>
        <w:tab w:val="right" w:pos="8504"/>
      </w:tabs>
    </w:pPr>
  </w:style>
  <w:style w:type="character" w:styleId="PiedepginaCar" w:customStyle="1">
    <w:name w:val="Pie de página Car"/>
    <w:rPr>
      <w:rFonts w:ascii="Arial" w:hAnsi="Arial"/>
      <w:w w:val="100"/>
      <w:position w:val="-1"/>
      <w:sz w:val="24"/>
      <w:effect w:val="none"/>
      <w:vertAlign w:val="baseline"/>
      <w:cs w:val="0"/>
      <w:em w:val="none"/>
      <w:lang w:eastAsia="es-UY" w:val="es-PY"/>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65.0" w:type="dxa"/>
        <w:right w:w="68.0" w:type="dxa"/>
      </w:tblCellMar>
    </w:tblPr>
  </w:style>
  <w:style w:type="table" w:styleId="a0" w:customStyle="1">
    <w:basedOn w:val="TableNormal1"/>
    <w:tblPr>
      <w:tblStyleRowBandSize w:val="1"/>
      <w:tblStyleColBandSize w:val="1"/>
      <w:tblCellMar>
        <w:left w:w="108.0" w:type="dxa"/>
        <w:right w:w="108.0" w:type="dxa"/>
      </w:tblCellMar>
    </w:tblPr>
  </w:style>
  <w:style w:type="paragraph" w:styleId="NormalWeb">
    <w:name w:val="Normal (Web)"/>
    <w:basedOn w:val="Normal"/>
    <w:uiPriority w:val="99"/>
    <w:semiHidden w:val="1"/>
    <w:unhideWhenUsed w:val="1"/>
    <w:rsid w:val="00D471AC"/>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es-ES" w:val="es-ES"/>
    </w:rPr>
  </w:style>
  <w:style w:type="table" w:styleId="a1" w:customStyle="1">
    <w:basedOn w:val="TableNormal1"/>
    <w:tblPr>
      <w:tblStyleRowBandSize w:val="1"/>
      <w:tblStyleColBandSize w:val="1"/>
      <w:tblCellMar>
        <w:left w:w="108.0" w:type="dxa"/>
        <w:right w:w="108.0" w:type="dxa"/>
      </w:tblCellMar>
    </w:tblPr>
  </w:style>
  <w:style w:type="table" w:styleId="a2" w:customStyle="1">
    <w:basedOn w:val="TableNormal1"/>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left w:w="108.0" w:type="dxa"/>
        <w:right w:w="108.0" w:type="dxa"/>
      </w:tblCellMar>
    </w:tblPr>
  </w:style>
  <w:style w:type="table" w:styleId="a4"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IDI615T3hSZnZZJriiGvwn3IjA==">AMUW2mUEivYcYSY+yOWFFSMr7vHWOmLrYi1jwHs3YmbTBjB52Hr79CedwtvnVlfYznLHddEM+wO9GzmOe4Yi9D2N00PgDsFYK0XC5p+Y7qVdaWXKN0mofvDq1HEwpER96PIpAloJmN0vBqiWVU3MDsHQGYWO1CsIcw==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2022-04-26T16:29:00Z</dcterms:created>
  <dc:creator>Informática</dc:creator>
</cp:coreProperties>
</file>