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pBdr>
          <w:top w:space="0" w:sz="0" w:val="nil"/>
          <w:left w:space="0" w:sz="0" w:val="nil"/>
          <w:bottom w:space="0" w:sz="0" w:val="nil"/>
          <w:right w:space="0" w:sz="0" w:val="nil"/>
          <w:between w:space="0" w:sz="0" w:val="nil"/>
        </w:pBdr>
        <w:tabs>
          <w:tab w:val="left" w:leader="none" w:pos="5040"/>
        </w:tabs>
        <w:spacing w:line="240" w:lineRule="auto"/>
        <w:ind w:left="0" w:hanging="2"/>
        <w:jc w:val="both"/>
        <w:rPr>
          <w:b w:val="1"/>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114935</wp:posOffset>
            </wp:positionH>
            <wp:positionV relativeFrom="paragraph">
              <wp:posOffset>0</wp:posOffset>
            </wp:positionV>
            <wp:extent cx="1314450" cy="789940"/>
            <wp:effectExtent b="0" l="0" r="0" t="0"/>
            <wp:wrapSquare wrapText="bothSides" distB="0" distT="0" distL="114935" distR="114935"/>
            <wp:docPr id="5" name="image1.jpg"/>
            <a:graphic>
              <a:graphicData uri="http://schemas.openxmlformats.org/drawingml/2006/picture">
                <pic:pic>
                  <pic:nvPicPr>
                    <pic:cNvPr id="0" name="image1.jpg"/>
                    <pic:cNvPicPr preferRelativeResize="0"/>
                  </pic:nvPicPr>
                  <pic:blipFill>
                    <a:blip r:embed="rId7"/>
                    <a:srcRect b="6422" l="5625" r="6045" t="4994"/>
                    <a:stretch>
                      <a:fillRect/>
                    </a:stretch>
                  </pic:blipFill>
                  <pic:spPr>
                    <a:xfrm>
                      <a:off x="0" y="0"/>
                      <a:ext cx="1314450" cy="789940"/>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4146550</wp:posOffset>
            </wp:positionH>
            <wp:positionV relativeFrom="paragraph">
              <wp:posOffset>-3808</wp:posOffset>
            </wp:positionV>
            <wp:extent cx="1314450" cy="789940"/>
            <wp:effectExtent b="0" l="0" r="0" t="0"/>
            <wp:wrapSquare wrapText="bothSides" distB="0" distT="0" distL="114935" distR="114935"/>
            <wp:docPr id="6" name="image1.jpg"/>
            <a:graphic>
              <a:graphicData uri="http://schemas.openxmlformats.org/drawingml/2006/picture">
                <pic:pic>
                  <pic:nvPicPr>
                    <pic:cNvPr id="0" name="image1.jpg"/>
                    <pic:cNvPicPr preferRelativeResize="0"/>
                  </pic:nvPicPr>
                  <pic:blipFill>
                    <a:blip r:embed="rId7"/>
                    <a:srcRect b="6422" l="5625" r="6045" t="4994"/>
                    <a:stretch>
                      <a:fillRect/>
                    </a:stretch>
                  </pic:blipFill>
                  <pic:spPr>
                    <a:xfrm>
                      <a:off x="0" y="0"/>
                      <a:ext cx="1314450" cy="789940"/>
                    </a:xfrm>
                    <a:prstGeom prst="rect"/>
                    <a:ln/>
                  </pic:spPr>
                </pic:pic>
              </a:graphicData>
            </a:graphic>
          </wp:anchor>
        </w:drawing>
      </w:r>
    </w:p>
    <w:p w:rsidR="00000000" w:rsidDel="00000000" w:rsidP="00000000" w:rsidRDefault="00000000" w:rsidRPr="00000000" w14:paraId="00000002">
      <w:pPr>
        <w:keepNext w:val="1"/>
        <w:widowControl w:val="0"/>
        <w:pBdr>
          <w:top w:space="0" w:sz="0" w:val="nil"/>
          <w:left w:space="0" w:sz="0" w:val="nil"/>
          <w:bottom w:space="0" w:sz="0" w:val="nil"/>
          <w:right w:space="0" w:sz="0" w:val="nil"/>
          <w:between w:space="0" w:sz="0" w:val="nil"/>
        </w:pBdr>
        <w:tabs>
          <w:tab w:val="left" w:leader="none" w:pos="5040"/>
        </w:tabs>
        <w:spacing w:line="240" w:lineRule="auto"/>
        <w:ind w:left="0" w:hanging="2"/>
        <w:jc w:val="both"/>
        <w:rPr>
          <w:b w:val="1"/>
          <w:color w:val="000000"/>
        </w:rPr>
      </w:pPr>
      <w:r w:rsidDel="00000000" w:rsidR="00000000" w:rsidRPr="00000000">
        <w:rPr>
          <w:b w:val="1"/>
          <w:color w:val="000000"/>
          <w:rtl w:val="0"/>
        </w:rPr>
        <w:t xml:space="preserve">                                                                      </w:t>
      </w:r>
    </w:p>
    <w:p w:rsidR="00000000" w:rsidDel="00000000" w:rsidP="00000000" w:rsidRDefault="00000000" w:rsidRPr="00000000" w14:paraId="00000003">
      <w:pPr>
        <w:keepNext w:val="1"/>
        <w:widowControl w:val="0"/>
        <w:pBdr>
          <w:top w:space="0" w:sz="0" w:val="nil"/>
          <w:left w:space="0" w:sz="0" w:val="nil"/>
          <w:bottom w:space="0" w:sz="0" w:val="nil"/>
          <w:right w:space="0" w:sz="0" w:val="nil"/>
          <w:between w:space="0" w:sz="0" w:val="nil"/>
        </w:pBdr>
        <w:tabs>
          <w:tab w:val="left" w:leader="none" w:pos="5040"/>
        </w:tabs>
        <w:spacing w:line="240" w:lineRule="auto"/>
        <w:ind w:left="0" w:hanging="2"/>
        <w:jc w:val="both"/>
        <w:rPr>
          <w:b w:val="1"/>
          <w:color w:val="000000"/>
        </w:rPr>
      </w:pPr>
      <w:r w:rsidDel="00000000" w:rsidR="00000000" w:rsidRPr="00000000">
        <w:rPr>
          <w:rtl w:val="0"/>
        </w:rPr>
      </w:r>
    </w:p>
    <w:p w:rsidR="00000000" w:rsidDel="00000000" w:rsidP="00000000" w:rsidRDefault="00000000" w:rsidRPr="00000000" w14:paraId="00000004">
      <w:pPr>
        <w:keepNext w:val="1"/>
        <w:widowControl w:val="0"/>
        <w:pBdr>
          <w:top w:space="0" w:sz="0" w:val="nil"/>
          <w:left w:space="0" w:sz="0" w:val="nil"/>
          <w:bottom w:space="0" w:sz="0" w:val="nil"/>
          <w:right w:space="0" w:sz="0" w:val="nil"/>
          <w:between w:space="0" w:sz="0" w:val="nil"/>
        </w:pBdr>
        <w:tabs>
          <w:tab w:val="left" w:leader="none" w:pos="5040"/>
        </w:tabs>
        <w:spacing w:line="240" w:lineRule="auto"/>
        <w:ind w:left="0" w:hanging="2"/>
        <w:jc w:val="both"/>
        <w:rPr>
          <w:b w:val="1"/>
          <w:color w:val="000000"/>
        </w:rPr>
      </w:pPr>
      <w:r w:rsidDel="00000000" w:rsidR="00000000" w:rsidRPr="00000000">
        <w:rPr>
          <w:rtl w:val="0"/>
        </w:rPr>
      </w:r>
    </w:p>
    <w:p w:rsidR="00000000" w:rsidDel="00000000" w:rsidP="00000000" w:rsidRDefault="00000000" w:rsidRPr="00000000" w14:paraId="00000005">
      <w:pPr>
        <w:spacing w:after="198" w:before="280" w:line="276" w:lineRule="auto"/>
        <w:ind w:left="0" w:hanging="2"/>
        <w:jc w:val="both"/>
        <w:rPr>
          <w:b w:val="1"/>
        </w:rPr>
      </w:pPr>
      <w:r w:rsidDel="00000000" w:rsidR="00000000" w:rsidRPr="00000000">
        <w:rPr>
          <w:rtl w:val="0"/>
        </w:rPr>
      </w:r>
    </w:p>
    <w:p w:rsidR="00000000" w:rsidDel="00000000" w:rsidP="00000000" w:rsidRDefault="00000000" w:rsidRPr="00000000" w14:paraId="00000006">
      <w:pPr>
        <w:spacing w:after="198" w:before="280" w:line="276" w:lineRule="auto"/>
        <w:ind w:left="0" w:hanging="2"/>
        <w:jc w:val="both"/>
        <w:rPr/>
      </w:pPr>
      <w:r w:rsidDel="00000000" w:rsidR="00000000" w:rsidRPr="00000000">
        <w:rPr>
          <w:b w:val="1"/>
          <w:rtl w:val="0"/>
        </w:rPr>
        <w:t xml:space="preserve">MERCOSUR /SGT Nº 10/ CETSS/ACTA Nº 01/2023</w:t>
      </w:r>
      <w:r w:rsidDel="00000000" w:rsidR="00000000" w:rsidRPr="00000000">
        <w:rPr>
          <w:rtl w:val="0"/>
        </w:rPr>
      </w:r>
    </w:p>
    <w:p w:rsidR="00000000" w:rsidDel="00000000" w:rsidP="00000000" w:rsidRDefault="00000000" w:rsidRPr="00000000" w14:paraId="00000007">
      <w:pPr>
        <w:ind w:left="0" w:hanging="2"/>
        <w:jc w:val="center"/>
        <w:rPr>
          <w:b w:val="1"/>
        </w:rPr>
      </w:pPr>
      <w:r w:rsidDel="00000000" w:rsidR="00000000" w:rsidRPr="00000000">
        <w:rPr>
          <w:rtl w:val="0"/>
        </w:rPr>
      </w:r>
    </w:p>
    <w:p w:rsidR="00000000" w:rsidDel="00000000" w:rsidP="00000000" w:rsidRDefault="00000000" w:rsidRPr="00000000" w14:paraId="00000008">
      <w:pPr>
        <w:spacing w:line="240" w:lineRule="auto"/>
        <w:ind w:left="0" w:hanging="2"/>
        <w:jc w:val="center"/>
        <w:rPr>
          <w:b w:val="1"/>
          <w:color w:val="00000a"/>
        </w:rPr>
      </w:pPr>
      <w:r w:rsidDel="00000000" w:rsidR="00000000" w:rsidRPr="00000000">
        <w:rPr>
          <w:b w:val="1"/>
          <w:color w:val="00000a"/>
          <w:rtl w:val="0"/>
        </w:rPr>
        <w:t xml:space="preserve">REUNIÓN DE LA COMISIÓN DEL EQUIPO TÉCNICO DE SALUD Y   SEGURIDAD EN EL TRABAJO   DEL MERCOSUR (CETSS)</w:t>
      </w:r>
    </w:p>
    <w:p w:rsidR="00000000" w:rsidDel="00000000" w:rsidP="00000000" w:rsidRDefault="00000000" w:rsidRPr="00000000" w14:paraId="00000009">
      <w:pPr>
        <w:ind w:left="0" w:hanging="2"/>
        <w:rPr>
          <w:color w:val="00000a"/>
        </w:rPr>
      </w:pPr>
      <w:r w:rsidDel="00000000" w:rsidR="00000000" w:rsidRPr="00000000">
        <w:rPr>
          <w:rtl w:val="0"/>
        </w:rPr>
      </w:r>
    </w:p>
    <w:p w:rsidR="00000000" w:rsidDel="00000000" w:rsidP="00000000" w:rsidRDefault="00000000" w:rsidRPr="00000000" w14:paraId="0000000A">
      <w:pPr>
        <w:ind w:left="0" w:hanging="2"/>
        <w:rPr/>
      </w:pPr>
      <w:r w:rsidDel="00000000" w:rsidR="00000000" w:rsidRPr="00000000">
        <w:rPr>
          <w:color w:val="00000a"/>
          <w:rtl w:val="0"/>
        </w:rPr>
        <w:t xml:space="preserve">(Plan regional de salud y seguridad de los trabajadores en el Mercosur (Res. GMC 4/15)</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ind w:left="0" w:firstLine="0"/>
        <w:jc w:val="both"/>
        <w:rPr>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ind w:left="0" w:hanging="2"/>
        <w:jc w:val="both"/>
        <w:rPr>
          <w:color w:val="000000"/>
        </w:rPr>
      </w:pPr>
      <w:r w:rsidDel="00000000" w:rsidR="00000000" w:rsidRPr="00000000">
        <w:rPr>
          <w:color w:val="000000"/>
          <w:rtl w:val="0"/>
        </w:rPr>
        <w:t xml:space="preserve">Se realizó el día  5</w:t>
      </w:r>
      <w:r w:rsidDel="00000000" w:rsidR="00000000" w:rsidRPr="00000000">
        <w:rPr>
          <w:rtl w:val="0"/>
        </w:rPr>
        <w:t xml:space="preserve"> de mayo de 2023</w:t>
      </w:r>
      <w:r w:rsidDel="00000000" w:rsidR="00000000" w:rsidRPr="00000000">
        <w:rPr>
          <w:color w:val="000000"/>
          <w:rtl w:val="0"/>
        </w:rPr>
        <w:t xml:space="preserve">, e</w:t>
      </w:r>
      <w:r w:rsidDel="00000000" w:rsidR="00000000" w:rsidRPr="00000000">
        <w:rPr>
          <w:rtl w:val="0"/>
        </w:rPr>
        <w:t xml:space="preserve">n ejercicio de la Presidencia </w:t>
      </w:r>
      <w:r w:rsidDel="00000000" w:rsidR="00000000" w:rsidRPr="00000000">
        <w:rPr>
          <w:i w:val="1"/>
          <w:rtl w:val="0"/>
        </w:rPr>
        <w:t xml:space="preserve">Pro Tempore</w:t>
      </w:r>
      <w:r w:rsidDel="00000000" w:rsidR="00000000" w:rsidRPr="00000000">
        <w:rPr>
          <w:rtl w:val="0"/>
        </w:rPr>
        <w:t xml:space="preserve"> de Argentina (PPTA), la Reunión de la Comisión del Equipo Técnico de Salud y Seguridad en el Trabajo del (CETSS),</w:t>
      </w:r>
      <w:r w:rsidDel="00000000" w:rsidR="00000000" w:rsidRPr="00000000">
        <w:rPr>
          <w:color w:val="000000"/>
          <w:rtl w:val="0"/>
        </w:rPr>
        <w:t xml:space="preserve"> </w:t>
      </w:r>
      <w:r w:rsidDel="00000000" w:rsidR="00000000" w:rsidRPr="00000000">
        <w:rPr>
          <w:rtl w:val="0"/>
        </w:rPr>
        <w:t xml:space="preserve">por sistema de videoconferencia de conformidad con lo dispuesto en la Resolución GMC N° 19/12, con la presencia de las delegaciones de Argentina, Brasil, Paraguay y Uruguay,</w:t>
      </w:r>
      <w:r w:rsidDel="00000000" w:rsidR="00000000" w:rsidRPr="00000000">
        <w:rPr>
          <w:color w:val="000000"/>
          <w:rtl w:val="0"/>
        </w:rPr>
        <w:t xml:space="preserve">  y representantes del sector trabajador y empleador.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ind w:left="0" w:hanging="2"/>
        <w:jc w:val="both"/>
        <w:rPr/>
      </w:pPr>
      <w:r w:rsidDel="00000000" w:rsidR="00000000" w:rsidRPr="00000000">
        <w:rPr>
          <w:rtl w:val="0"/>
        </w:rPr>
      </w:r>
    </w:p>
    <w:p w:rsidR="00000000" w:rsidDel="00000000" w:rsidP="00000000" w:rsidRDefault="00000000" w:rsidRPr="00000000" w14:paraId="0000000E">
      <w:pPr>
        <w:spacing w:after="198" w:before="280" w:line="276" w:lineRule="auto"/>
        <w:ind w:left="0" w:hanging="2"/>
        <w:jc w:val="both"/>
        <w:rPr/>
      </w:pPr>
      <w:r w:rsidDel="00000000" w:rsidR="00000000" w:rsidRPr="00000000">
        <w:rPr>
          <w:rtl w:val="0"/>
        </w:rPr>
        <w:t xml:space="preserve">La lista de participantes consta como </w:t>
      </w:r>
      <w:r w:rsidDel="00000000" w:rsidR="00000000" w:rsidRPr="00000000">
        <w:rPr>
          <w:b w:val="1"/>
          <w:rtl w:val="0"/>
        </w:rPr>
        <w:t xml:space="preserve">Anexo I.</w:t>
      </w:r>
      <w:r w:rsidDel="00000000" w:rsidR="00000000" w:rsidRPr="00000000">
        <w:rPr>
          <w:rtl w:val="0"/>
        </w:rPr>
      </w:r>
    </w:p>
    <w:p w:rsidR="00000000" w:rsidDel="00000000" w:rsidP="00000000" w:rsidRDefault="00000000" w:rsidRPr="00000000" w14:paraId="0000000F">
      <w:pPr>
        <w:spacing w:before="280" w:lineRule="auto"/>
        <w:ind w:left="0" w:hanging="2"/>
        <w:jc w:val="both"/>
        <w:rPr/>
      </w:pPr>
      <w:r w:rsidDel="00000000" w:rsidR="00000000" w:rsidRPr="00000000">
        <w:rPr>
          <w:rtl w:val="0"/>
        </w:rPr>
        <w:t xml:space="preserve">La agenda de la reunión consta como </w:t>
      </w:r>
      <w:r w:rsidDel="00000000" w:rsidR="00000000" w:rsidRPr="00000000">
        <w:rPr>
          <w:b w:val="1"/>
          <w:rtl w:val="0"/>
        </w:rPr>
        <w:t xml:space="preserve">Anexo II.</w:t>
      </w:r>
      <w:r w:rsidDel="00000000" w:rsidR="00000000" w:rsidRPr="00000000">
        <w:rPr>
          <w:rtl w:val="0"/>
        </w:rPr>
      </w:r>
    </w:p>
    <w:p w:rsidR="00000000" w:rsidDel="00000000" w:rsidP="00000000" w:rsidRDefault="00000000" w:rsidRPr="00000000" w14:paraId="00000010">
      <w:pPr>
        <w:spacing w:before="280" w:line="276" w:lineRule="auto"/>
        <w:ind w:left="0" w:hanging="2"/>
        <w:jc w:val="both"/>
        <w:rPr/>
      </w:pPr>
      <w:r w:rsidDel="00000000" w:rsidR="00000000" w:rsidRPr="00000000">
        <w:rPr>
          <w:rtl w:val="0"/>
        </w:rPr>
        <w:t xml:space="preserve">La PPTA dio la bienvenida a las delegaciones presentes y sometió a consideración la Agenda de la Reunión, la misma fue aprobada y consta como anexo. </w:t>
      </w:r>
    </w:p>
    <w:p w:rsidR="00000000" w:rsidDel="00000000" w:rsidP="00000000" w:rsidRDefault="00000000" w:rsidRPr="00000000" w14:paraId="00000011">
      <w:pPr>
        <w:spacing w:before="280" w:line="276" w:lineRule="auto"/>
        <w:ind w:left="0" w:hanging="2"/>
        <w:jc w:val="both"/>
        <w:rPr/>
      </w:pPr>
      <w:r w:rsidDel="00000000" w:rsidR="00000000" w:rsidRPr="00000000">
        <w:rPr>
          <w:rtl w:val="0"/>
        </w:rPr>
        <w:t xml:space="preserve">Fueron tratados los siguientes temas:</w:t>
      </w:r>
    </w:p>
    <w:p w:rsidR="00000000" w:rsidDel="00000000" w:rsidP="00000000" w:rsidRDefault="00000000" w:rsidRPr="00000000" w14:paraId="00000012">
      <w:pPr>
        <w:spacing w:line="240" w:lineRule="auto"/>
        <w:ind w:left="0" w:hanging="2"/>
        <w:jc w:val="both"/>
        <w:rPr>
          <w:rFonts w:ascii="Calibri" w:cs="Calibri" w:eastAsia="Calibri" w:hAnsi="Calibri"/>
          <w:sz w:val="22"/>
          <w:szCs w:val="22"/>
        </w:rPr>
      </w:pPr>
      <w:r w:rsidDel="00000000" w:rsidR="00000000" w:rsidRPr="00000000">
        <w:rPr>
          <w:rFonts w:ascii="Times New Roman" w:cs="Times New Roman" w:eastAsia="Times New Roman" w:hAnsi="Times New Roman"/>
          <w:b w:val="1"/>
          <w:rtl w:val="0"/>
        </w:rPr>
        <w:br w:type="textWrapping"/>
      </w:r>
      <w:r w:rsidDel="00000000" w:rsidR="00000000" w:rsidRPr="00000000">
        <w:rPr>
          <w:color w:val="00000a"/>
          <w:rtl w:val="0"/>
        </w:rPr>
        <w:t xml:space="preserve">Información para OMTM sobre datos estadísticos de accidentes de trabajo. </w:t>
      </w:r>
      <w:r w:rsidDel="00000000" w:rsidR="00000000" w:rsidRPr="00000000">
        <w:rPr>
          <w:rtl w:val="0"/>
        </w:rPr>
      </w:r>
    </w:p>
    <w:p w:rsidR="00000000" w:rsidDel="00000000" w:rsidP="00000000" w:rsidRDefault="00000000" w:rsidRPr="00000000" w14:paraId="00000013">
      <w:pPr>
        <w:tabs>
          <w:tab w:val="left" w:leader="none" w:pos="0"/>
        </w:tabs>
        <w:ind w:left="0" w:hanging="2"/>
        <w:jc w:val="both"/>
        <w:rPr>
          <w:color w:val="00000a"/>
        </w:rPr>
      </w:pPr>
      <w:r w:rsidDel="00000000" w:rsidR="00000000" w:rsidRPr="00000000">
        <w:rPr>
          <w:rtl w:val="0"/>
        </w:rPr>
      </w:r>
    </w:p>
    <w:p w:rsidR="00000000" w:rsidDel="00000000" w:rsidP="00000000" w:rsidRDefault="00000000" w:rsidRPr="00000000" w14:paraId="00000014">
      <w:pPr>
        <w:tabs>
          <w:tab w:val="left" w:leader="none" w:pos="0"/>
        </w:tabs>
        <w:ind w:left="0" w:firstLine="0"/>
        <w:jc w:val="both"/>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tabs>
          <w:tab w:val="left" w:leader="none" w:pos="0"/>
        </w:tabs>
        <w:spacing w:line="240" w:lineRule="auto"/>
        <w:ind w:left="720" w:hanging="360"/>
        <w:jc w:val="both"/>
        <w:rPr>
          <w:b w:val="1"/>
        </w:rPr>
      </w:pPr>
      <w:bookmarkStart w:colFirst="0" w:colLast="0" w:name="_heading=h.gjdgxs" w:id="0"/>
      <w:bookmarkEnd w:id="0"/>
      <w:r w:rsidDel="00000000" w:rsidR="00000000" w:rsidRPr="00000000">
        <w:rPr>
          <w:b w:val="1"/>
          <w:color w:val="00000a"/>
          <w:rtl w:val="0"/>
        </w:rPr>
        <w:t xml:space="preserve">Información para OMTM sobre datos estadísticos de accidentes de trabajo. </w:t>
      </w:r>
      <w:r w:rsidDel="00000000" w:rsidR="00000000" w:rsidRPr="00000000">
        <w:rPr>
          <w:rtl w:val="0"/>
        </w:rPr>
      </w:r>
    </w:p>
    <w:p w:rsidR="00000000" w:rsidDel="00000000" w:rsidP="00000000" w:rsidRDefault="00000000" w:rsidRPr="00000000" w14:paraId="00000016">
      <w:pPr>
        <w:spacing w:after="120" w:before="120" w:lineRule="auto"/>
        <w:ind w:left="0" w:firstLine="0"/>
        <w:jc w:val="both"/>
        <w:rPr/>
      </w:pPr>
      <w:r w:rsidDel="00000000" w:rsidR="00000000" w:rsidRPr="00000000">
        <w:rPr>
          <w:rtl w:val="0"/>
        </w:rPr>
        <w:t xml:space="preserve">Por Acta 1/23 punto 6, el OMTM analizó la información presentada por la CETSS  y concluyó que no cuenta con las herramientas necesarias para abordar la armonización estadística en materia de SST.</w:t>
      </w:r>
    </w:p>
    <w:p w:rsidR="00000000" w:rsidDel="00000000" w:rsidP="00000000" w:rsidRDefault="00000000" w:rsidRPr="00000000" w14:paraId="00000017">
      <w:pPr>
        <w:spacing w:after="120" w:before="120" w:lineRule="auto"/>
        <w:ind w:left="0" w:hanging="2"/>
        <w:jc w:val="both"/>
        <w:rPr/>
      </w:pPr>
      <w:r w:rsidDel="00000000" w:rsidR="00000000" w:rsidRPr="00000000">
        <w:rPr>
          <w:rtl w:val="0"/>
        </w:rPr>
        <w:t xml:space="preserve">Sugirió a la CETSS la utilización de estadísticas internacionales (ODS/OIT) y/o cursar consultas a las áreas nacionales especializadas en estadísticas SST.</w:t>
      </w:r>
    </w:p>
    <w:p w:rsidR="00000000" w:rsidDel="00000000" w:rsidP="00000000" w:rsidRDefault="00000000" w:rsidRPr="00000000" w14:paraId="00000018">
      <w:pPr>
        <w:spacing w:after="120" w:before="120" w:lineRule="auto"/>
        <w:ind w:left="0" w:hanging="2"/>
        <w:jc w:val="both"/>
        <w:rPr/>
      </w:pPr>
      <w:r w:rsidDel="00000000" w:rsidR="00000000" w:rsidRPr="00000000">
        <w:rPr>
          <w:rtl w:val="0"/>
        </w:rPr>
        <w:t xml:space="preserve">La CETSS agradeció la respuesta del OMTM y decidió realizar un compilado de estadísticas con información proveniente de las áreas nacionales especializadas, el que será actualizado anualmente, en el segundo semestre de cada año.</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0"/>
        </w:tabs>
        <w:spacing w:line="240" w:lineRule="auto"/>
        <w:ind w:left="0" w:firstLine="0"/>
        <w:jc w:val="both"/>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0"/>
        </w:tabs>
        <w:spacing w:line="240" w:lineRule="auto"/>
        <w:ind w:left="0" w:firstLine="0"/>
        <w:jc w:val="both"/>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0"/>
        </w:tabs>
        <w:spacing w:line="240" w:lineRule="auto"/>
        <w:ind w:left="0" w:hanging="2"/>
        <w:jc w:val="both"/>
        <w:rPr>
          <w:color w:val="00000a"/>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tabs>
          <w:tab w:val="left" w:leader="none" w:pos="0"/>
        </w:tabs>
        <w:spacing w:line="240" w:lineRule="auto"/>
        <w:ind w:left="720" w:hanging="360"/>
        <w:jc w:val="both"/>
        <w:rPr/>
      </w:pPr>
      <w:r w:rsidDel="00000000" w:rsidR="00000000" w:rsidRPr="00000000">
        <w:rPr>
          <w:b w:val="1"/>
          <w:color w:val="000000"/>
          <w:rtl w:val="0"/>
        </w:rPr>
        <w:t xml:space="preserve">Proyecto de Recomendación sobre Prevención de Riesgos Psicosociales en el Trabajo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D">
      <w:pPr>
        <w:ind w:left="360" w:firstLine="0"/>
        <w:rPr/>
      </w:pPr>
      <w:bookmarkStart w:colFirst="0" w:colLast="0" w:name="_heading=h.3znysh7" w:id="1"/>
      <w:bookmarkEnd w:id="1"/>
      <w:r w:rsidDel="00000000" w:rsidR="00000000" w:rsidRPr="00000000">
        <w:rPr>
          <w:color w:val="000000"/>
          <w:rtl w:val="0"/>
        </w:rPr>
        <w:t xml:space="preserve">La CETSS elevó al SGT 10 el Proyecto de Recomendación CETSS</w:t>
      </w:r>
      <w:r w:rsidDel="00000000" w:rsidR="00000000" w:rsidRPr="00000000">
        <w:rPr>
          <w:rtl w:val="0"/>
        </w:rPr>
        <w:t xml:space="preserve"> N° 01/23 sobre riesgos psicosociales, el que se agrega como </w:t>
      </w:r>
      <w:r w:rsidDel="00000000" w:rsidR="00000000" w:rsidRPr="00000000">
        <w:rPr>
          <w:b w:val="1"/>
          <w:rtl w:val="0"/>
        </w:rPr>
        <w:t xml:space="preserve">ANEXO III, </w:t>
      </w:r>
      <w:r w:rsidDel="00000000" w:rsidR="00000000" w:rsidRPr="00000000">
        <w:rPr>
          <w:rtl w:val="0"/>
        </w:rPr>
        <w:t xml:space="preserve">solicitando su aprobación.</w:t>
      </w:r>
    </w:p>
    <w:p w:rsidR="00000000" w:rsidDel="00000000" w:rsidP="00000000" w:rsidRDefault="00000000" w:rsidRPr="00000000" w14:paraId="0000001E">
      <w:pPr>
        <w:ind w:left="0" w:hanging="2"/>
        <w:rPr/>
      </w:pPr>
      <w:r w:rsidDel="00000000" w:rsidR="00000000" w:rsidRPr="00000000">
        <w:rPr>
          <w:rtl w:val="0"/>
        </w:rPr>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0"/>
        </w:tabs>
        <w:spacing w:line="240" w:lineRule="auto"/>
        <w:ind w:left="0" w:firstLine="0"/>
        <w:jc w:val="both"/>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0"/>
        </w:tabs>
        <w:spacing w:line="240" w:lineRule="auto"/>
        <w:ind w:left="0" w:firstLine="0"/>
        <w:jc w:val="both"/>
        <w:rPr>
          <w:color w:val="00000a"/>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tabs>
          <w:tab w:val="left" w:leader="none" w:pos="0"/>
        </w:tabs>
        <w:spacing w:line="240" w:lineRule="auto"/>
        <w:ind w:left="720" w:hanging="360"/>
        <w:jc w:val="both"/>
        <w:rPr>
          <w:b w:val="1"/>
        </w:rPr>
      </w:pPr>
      <w:r w:rsidDel="00000000" w:rsidR="00000000" w:rsidRPr="00000000">
        <w:rPr>
          <w:b w:val="1"/>
          <w:color w:val="000000"/>
          <w:rtl w:val="0"/>
        </w:rPr>
        <w:t xml:space="preserve">Articulación con la COPRIT (Plan regional de Inspección del Trabajo)</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0"/>
        </w:tabs>
        <w:spacing w:line="240" w:lineRule="auto"/>
        <w:ind w:left="360" w:firstLine="0"/>
        <w:jc w:val="both"/>
        <w:rPr/>
      </w:pPr>
      <w:r w:rsidDel="00000000" w:rsidR="00000000" w:rsidRPr="00000000">
        <w:rPr>
          <w:color w:val="000000"/>
          <w:rtl w:val="0"/>
        </w:rPr>
        <w:t xml:space="preserve">La PPTA informó que en el ámbito de la COPRIT se está analizando la propuesta de seminario sobre la inspección del trabajo en la actividad portuaria.Se aguarda el resultado de la reunión ordinaria de la COPRIT a realizarse el próximo 3 de mayo.</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0"/>
        </w:tabs>
        <w:spacing w:line="240" w:lineRule="auto"/>
        <w:ind w:left="0" w:hanging="2"/>
        <w:jc w:val="both"/>
        <w:rPr>
          <w:color w:val="00000a"/>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0"/>
        </w:tabs>
        <w:spacing w:line="240" w:lineRule="auto"/>
        <w:ind w:left="0" w:hanging="2"/>
        <w:jc w:val="both"/>
        <w:rPr>
          <w:color w:val="00000a"/>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tabs>
          <w:tab w:val="left" w:leader="none" w:pos="0"/>
        </w:tabs>
        <w:spacing w:line="240" w:lineRule="auto"/>
        <w:ind w:left="720" w:hanging="360"/>
        <w:jc w:val="both"/>
        <w:rPr>
          <w:b w:val="1"/>
        </w:rPr>
      </w:pPr>
      <w:r w:rsidDel="00000000" w:rsidR="00000000" w:rsidRPr="00000000">
        <w:rPr>
          <w:b w:val="1"/>
          <w:color w:val="000000"/>
          <w:rtl w:val="0"/>
        </w:rPr>
        <w:t xml:space="preserve">Campaña </w:t>
      </w:r>
      <w:r w:rsidDel="00000000" w:rsidR="00000000" w:rsidRPr="00000000">
        <w:rPr>
          <w:b w:val="1"/>
          <w:i w:val="1"/>
          <w:color w:val="000000"/>
          <w:rtl w:val="0"/>
        </w:rPr>
        <w:t xml:space="preserve"> “Ellas Seguras y Saludables</w:t>
      </w:r>
      <w:r w:rsidDel="00000000" w:rsidR="00000000" w:rsidRPr="00000000">
        <w:rPr>
          <w:b w:val="1"/>
          <w:color w:val="000000"/>
          <w:rtl w:val="0"/>
        </w:rPr>
        <w:t xml:space="preserve">”: informe estado de situación.</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0"/>
        </w:tabs>
        <w:spacing w:line="240" w:lineRule="auto"/>
        <w:ind w:left="360" w:firstLine="0"/>
        <w:jc w:val="both"/>
        <w:rPr/>
      </w:pPr>
      <w:r w:rsidDel="00000000" w:rsidR="00000000" w:rsidRPr="00000000">
        <w:rPr>
          <w:rtl w:val="0"/>
        </w:rPr>
        <w:t xml:space="preserve">La PPTA informó que solicitó a la SM la publicación de las placas comunicacionales que habían sido elevadas el año anterior por la PPTU.</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0"/>
        </w:tabs>
        <w:spacing w:line="240" w:lineRule="auto"/>
        <w:ind w:left="360" w:firstLine="0"/>
        <w:jc w:val="both"/>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0"/>
        </w:tabs>
        <w:spacing w:line="240" w:lineRule="auto"/>
        <w:ind w:left="360" w:firstLine="0"/>
        <w:jc w:val="both"/>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0"/>
        </w:tabs>
        <w:spacing w:line="240" w:lineRule="auto"/>
        <w:ind w:left="0" w:firstLine="0"/>
        <w:jc w:val="both"/>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0"/>
        </w:tabs>
        <w:spacing w:line="240" w:lineRule="auto"/>
        <w:ind w:left="0" w:hanging="2"/>
        <w:jc w:val="both"/>
        <w:rPr>
          <w:b w:val="1"/>
          <w:color w:val="00000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0"/>
        </w:tabs>
        <w:spacing w:after="16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Estudio comparado de legislación sobre género y salud laboral. </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2" w:firstLine="0"/>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0" w:firstLine="0"/>
        <w:rPr>
          <w:color w:val="000000"/>
        </w:rPr>
      </w:pPr>
      <w:r w:rsidDel="00000000" w:rsidR="00000000" w:rsidRPr="00000000">
        <w:rPr>
          <w:color w:val="000000"/>
          <w:rtl w:val="0"/>
        </w:rPr>
        <w:t xml:space="preserve">La PPTA presentó los avances del documento, el que se agrega como Anexo IV. Las delegaciones harán llegar sus comentarios hasta el día 11 de mayo, al efecto de que la versión final pueda ser elevada al SGT 10. </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2" w:firstLine="0"/>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0"/>
        </w:tabs>
        <w:spacing w:line="240" w:lineRule="auto"/>
        <w:ind w:left="0" w:firstLine="0"/>
        <w:jc w:val="both"/>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0"/>
        </w:tabs>
        <w:spacing w:line="240" w:lineRule="auto"/>
        <w:ind w:left="0" w:firstLine="0"/>
        <w:jc w:val="both"/>
        <w:rPr>
          <w:b w:val="1"/>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tabs>
          <w:tab w:val="left" w:leader="none" w:pos="0"/>
        </w:tabs>
        <w:spacing w:line="240" w:lineRule="auto"/>
        <w:ind w:left="720" w:hanging="360"/>
        <w:jc w:val="both"/>
        <w:rPr>
          <w:color w:val="000000"/>
        </w:rPr>
      </w:pPr>
      <w:r w:rsidDel="00000000" w:rsidR="00000000" w:rsidRPr="00000000">
        <w:rPr>
          <w:b w:val="1"/>
          <w:color w:val="000000"/>
          <w:rtl w:val="0"/>
        </w:rPr>
        <w:t xml:space="preserve">Articulación con SGT 6: análisis del estado de situación.</w:t>
      </w:r>
      <w:r w:rsidDel="00000000" w:rsidR="00000000" w:rsidRPr="00000000">
        <w:rPr>
          <w:rtl w:val="0"/>
        </w:rPr>
      </w:r>
    </w:p>
    <w:p w:rsidR="00000000" w:rsidDel="00000000" w:rsidP="00000000" w:rsidRDefault="00000000" w:rsidRPr="00000000" w14:paraId="00000033">
      <w:pPr>
        <w:widowControl w:val="0"/>
        <w:spacing w:line="240" w:lineRule="auto"/>
        <w:ind w:left="0" w:hanging="2"/>
        <w:rPr>
          <w:vertAlign w:val="baseline"/>
        </w:rPr>
      </w:pPr>
      <w:r w:rsidDel="00000000" w:rsidR="00000000" w:rsidRPr="00000000">
        <w:rPr>
          <w:rtl w:val="0"/>
        </w:rPr>
        <w:t xml:space="preserve">En relación a la articulación con el SGT N° 6 y al “Plan de Acción MERCOSUR en materia de Sustancias y Productos Químicos Peligrosos 2021- 2024” la CETSS decidió dar prioridad a los documentos que están bajo análisis en el momento</w:t>
      </w:r>
      <w:r w:rsidDel="00000000" w:rsidR="00000000" w:rsidRPr="00000000">
        <w:rPr>
          <w:b w:val="1"/>
          <w:rtl w:val="0"/>
        </w:rPr>
        <w:t xml:space="preserve">. </w:t>
      </w:r>
      <w:r w:rsidDel="00000000" w:rsidR="00000000" w:rsidRPr="00000000">
        <w:rPr>
          <w:rtl w:val="0"/>
        </w:rPr>
        <w:t xml:space="preserve">El tema continúa en agenda.</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0"/>
        </w:tabs>
        <w:spacing w:line="240" w:lineRule="auto"/>
        <w:ind w:left="0" w:firstLine="0"/>
        <w:jc w:val="both"/>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tabs>
          <w:tab w:val="left" w:leader="none" w:pos="0"/>
        </w:tabs>
        <w:spacing w:line="240" w:lineRule="auto"/>
        <w:ind w:left="720" w:hanging="360"/>
        <w:jc w:val="both"/>
        <w:rPr>
          <w:b w:val="1"/>
          <w:color w:val="000000"/>
        </w:rPr>
      </w:pPr>
      <w:r w:rsidDel="00000000" w:rsidR="00000000" w:rsidRPr="00000000">
        <w:rPr>
          <w:b w:val="1"/>
          <w:color w:val="000000"/>
          <w:rtl w:val="0"/>
        </w:rPr>
        <w:t xml:space="preserve">Evaluación semestral Programa de Trabajo 2023-2024.</w:t>
      </w:r>
    </w:p>
    <w:p w:rsidR="00000000" w:rsidDel="00000000" w:rsidP="00000000" w:rsidRDefault="00000000" w:rsidRPr="00000000" w14:paraId="00000037">
      <w:pPr>
        <w:spacing w:after="120" w:before="120" w:lineRule="auto"/>
        <w:ind w:left="0" w:hanging="2"/>
        <w:jc w:val="both"/>
        <w:rPr/>
      </w:pPr>
      <w:r w:rsidDel="00000000" w:rsidR="00000000" w:rsidRPr="00000000">
        <w:rPr>
          <w:rtl w:val="0"/>
        </w:rPr>
        <w:t xml:space="preserve">La PPTA informó que el GMC aprobó el Programa de Trabajo 2023-2024 el que consta como </w:t>
      </w:r>
      <w:r w:rsidDel="00000000" w:rsidR="00000000" w:rsidRPr="00000000">
        <w:rPr>
          <w:b w:val="1"/>
          <w:rtl w:val="0"/>
        </w:rPr>
        <w:t xml:space="preserve">ANEXO V.</w:t>
      </w:r>
      <w:r w:rsidDel="00000000" w:rsidR="00000000" w:rsidRPr="00000000">
        <w:rPr>
          <w:rtl w:val="0"/>
        </w:rPr>
      </w:r>
    </w:p>
    <w:p w:rsidR="00000000" w:rsidDel="00000000" w:rsidP="00000000" w:rsidRDefault="00000000" w:rsidRPr="00000000" w14:paraId="00000038">
      <w:pPr>
        <w:spacing w:after="120" w:before="120" w:lineRule="auto"/>
        <w:ind w:left="0" w:hanging="2"/>
        <w:jc w:val="both"/>
        <w:rPr/>
      </w:pPr>
      <w:r w:rsidDel="00000000" w:rsidR="00000000" w:rsidRPr="00000000">
        <w:rPr>
          <w:rtl w:val="0"/>
        </w:rPr>
        <w:t xml:space="preserve">Se realizó el informe semestral sobre grado de avance del programa de trabajo vigente, el cual es agregado como </w:t>
      </w:r>
      <w:r w:rsidDel="00000000" w:rsidR="00000000" w:rsidRPr="00000000">
        <w:rPr>
          <w:b w:val="1"/>
          <w:rtl w:val="0"/>
        </w:rPr>
        <w:t xml:space="preserve">ANEXO VI.</w:t>
      </w:r>
      <w:r w:rsidDel="00000000" w:rsidR="00000000" w:rsidRPr="00000000">
        <w:rPr>
          <w:rtl w:val="0"/>
        </w:rPr>
        <w:t xml:space="preserve"> La PPTA realizará la carga de los datos en el sistema SIM de la Secretaría MERCOSUR.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hanging="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tabs>
          <w:tab w:val="left" w:leader="none" w:pos="0"/>
        </w:tabs>
        <w:spacing w:line="240" w:lineRule="auto"/>
        <w:ind w:left="720" w:hanging="360"/>
        <w:jc w:val="both"/>
        <w:rPr>
          <w:b w:val="1"/>
          <w:color w:val="000000"/>
        </w:rPr>
      </w:pPr>
      <w:r w:rsidDel="00000000" w:rsidR="00000000" w:rsidRPr="00000000">
        <w:rPr>
          <w:b w:val="1"/>
          <w:color w:val="000000"/>
          <w:rtl w:val="0"/>
        </w:rPr>
        <w:t xml:space="preserve">Próximos trabajos de la CETSS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280" w:line="276" w:lineRule="auto"/>
        <w:ind w:left="0" w:hanging="2"/>
        <w:jc w:val="both"/>
        <w:rPr>
          <w:color w:val="000000"/>
        </w:rPr>
      </w:pPr>
      <w:bookmarkStart w:colFirst="0" w:colLast="0" w:name="_heading=h.30j0zll" w:id="2"/>
      <w:bookmarkEnd w:id="2"/>
      <w:r w:rsidDel="00000000" w:rsidR="00000000" w:rsidRPr="00000000">
        <w:rPr>
          <w:color w:val="000000"/>
          <w:rtl w:val="0"/>
        </w:rPr>
        <w:t xml:space="preserve">Se decidió continuar con el análisis de las placas comunicacionales sobre prevención de riesgos psicosociales (se adjuntan como </w:t>
      </w:r>
      <w:r w:rsidDel="00000000" w:rsidR="00000000" w:rsidRPr="00000000">
        <w:rPr>
          <w:b w:val="1"/>
          <w:color w:val="000000"/>
          <w:rtl w:val="0"/>
        </w:rPr>
        <w:t xml:space="preserve">ANEXO VII)</w:t>
      </w:r>
      <w:r w:rsidDel="00000000" w:rsidR="00000000" w:rsidRPr="00000000">
        <w:rPr>
          <w:color w:val="000000"/>
          <w:rtl w:val="0"/>
        </w:rPr>
        <w:t xml:space="preserve"> y la propuesta de recomendación sobre Lineamientos de Trabajo en el Mercosur para la Gestión de la Salud y Seguridad en el Trabajo con perspectiva de Género (agregada como </w:t>
      </w:r>
      <w:r w:rsidDel="00000000" w:rsidR="00000000" w:rsidRPr="00000000">
        <w:rPr>
          <w:b w:val="1"/>
          <w:color w:val="000000"/>
          <w:rtl w:val="0"/>
        </w:rPr>
        <w:t xml:space="preserve">ANEXO VIII RESERVADO).</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0" w:hanging="2"/>
        <w:jc w:val="both"/>
        <w:rPr>
          <w:color w:val="000000"/>
        </w:rPr>
      </w:pPr>
      <w:r w:rsidDel="00000000" w:rsidR="00000000" w:rsidRPr="00000000">
        <w:rPr>
          <w:color w:val="000000"/>
          <w:rtl w:val="0"/>
        </w:rPr>
        <w:t xml:space="preserve">La próxima PPT convocará a una reunión preparatoria con motivo de estos temas, a </w:t>
      </w:r>
      <w:r w:rsidDel="00000000" w:rsidR="00000000" w:rsidRPr="00000000">
        <w:rPr>
          <w:rtl w:val="0"/>
        </w:rPr>
        <w:t xml:space="preserve">realizarse el 31 de</w:t>
      </w:r>
      <w:r w:rsidDel="00000000" w:rsidR="00000000" w:rsidRPr="00000000">
        <w:rPr>
          <w:color w:val="000000"/>
          <w:rtl w:val="0"/>
        </w:rPr>
        <w:t xml:space="preserve"> agosto a las 10 am (hora Brasil).</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0" w:hanging="2"/>
        <w:jc w:val="both"/>
        <w:rPr>
          <w:b w:val="1"/>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left="0" w:hanging="2"/>
        <w:jc w:val="both"/>
        <w:rPr>
          <w:color w:val="000000"/>
        </w:rPr>
      </w:pPr>
      <w:r w:rsidDel="00000000" w:rsidR="00000000" w:rsidRPr="00000000">
        <w:rPr>
          <w:b w:val="1"/>
          <w:color w:val="000000"/>
          <w:rtl w:val="0"/>
        </w:rPr>
        <w:t xml:space="preserve">PRÓXIMA REUNIÓN</w:t>
      </w:r>
      <w:r w:rsidDel="00000000" w:rsidR="00000000" w:rsidRPr="00000000">
        <w:rPr>
          <w:rtl w:val="0"/>
        </w:rPr>
      </w:r>
    </w:p>
    <w:p w:rsidR="00000000" w:rsidDel="00000000" w:rsidP="00000000" w:rsidRDefault="00000000" w:rsidRPr="00000000" w14:paraId="0000003F">
      <w:pPr>
        <w:spacing w:before="280" w:line="276" w:lineRule="auto"/>
        <w:ind w:left="0" w:hanging="2"/>
        <w:jc w:val="both"/>
        <w:rPr/>
      </w:pPr>
      <w:r w:rsidDel="00000000" w:rsidR="00000000" w:rsidRPr="00000000">
        <w:rPr>
          <w:rtl w:val="0"/>
        </w:rPr>
        <w:t xml:space="preserve">La próxima reunión ordinaria del CETSS, será convocada oportunamente por la PPT.</w:t>
      </w:r>
    </w:p>
    <w:p w:rsidR="00000000" w:rsidDel="00000000" w:rsidP="00000000" w:rsidRDefault="00000000" w:rsidRPr="00000000" w14:paraId="00000040">
      <w:pPr>
        <w:spacing w:before="280" w:lineRule="auto"/>
        <w:ind w:left="0" w:hanging="2"/>
        <w:jc w:val="both"/>
        <w:rPr/>
      </w:pPr>
      <w:r w:rsidDel="00000000" w:rsidR="00000000" w:rsidRPr="00000000">
        <w:rPr>
          <w:b w:val="1"/>
          <w:rtl w:val="0"/>
        </w:rPr>
        <w:t xml:space="preserve">ANEXO</w:t>
      </w:r>
      <w:r w:rsidDel="00000000" w:rsidR="00000000" w:rsidRPr="00000000">
        <w:rPr>
          <w:rtl w:val="0"/>
        </w:rPr>
      </w:r>
    </w:p>
    <w:p w:rsidR="00000000" w:rsidDel="00000000" w:rsidP="00000000" w:rsidRDefault="00000000" w:rsidRPr="00000000" w14:paraId="00000041">
      <w:pPr>
        <w:spacing w:before="280" w:lineRule="auto"/>
        <w:ind w:left="0" w:hanging="2"/>
        <w:jc w:val="both"/>
        <w:rPr/>
      </w:pPr>
      <w:r w:rsidDel="00000000" w:rsidR="00000000" w:rsidRPr="00000000">
        <w:rPr>
          <w:rtl w:val="0"/>
        </w:rPr>
        <w:t xml:space="preserve">Los Anexos que forman parte de la presente Acta son los siguientes: </w:t>
      </w:r>
    </w:p>
    <w:p w:rsidR="00000000" w:rsidDel="00000000" w:rsidP="00000000" w:rsidRDefault="00000000" w:rsidRPr="00000000" w14:paraId="00000042">
      <w:pPr>
        <w:spacing w:before="280" w:lineRule="auto"/>
        <w:ind w:left="0" w:hanging="2"/>
        <w:jc w:val="both"/>
        <w:rPr/>
      </w:pPr>
      <w:r w:rsidDel="00000000" w:rsidR="00000000" w:rsidRPr="00000000">
        <w:rPr>
          <w:rtl w:val="0"/>
        </w:rPr>
      </w:r>
    </w:p>
    <w:tbl>
      <w:tblPr>
        <w:tblStyle w:val="Table1"/>
        <w:tblW w:w="6708.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354"/>
        <w:gridCol w:w="3354"/>
        <w:tblGridChange w:id="0">
          <w:tblGrid>
            <w:gridCol w:w="3354"/>
            <w:gridCol w:w="3354"/>
          </w:tblGrid>
        </w:tblGridChange>
      </w:tblGrid>
      <w:tr>
        <w:trPr>
          <w:cantSplit w:val="0"/>
          <w:trHeight w:val="25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ind w:left="0" w:hanging="2"/>
              <w:jc w:val="both"/>
              <w:rPr/>
            </w:pPr>
            <w:r w:rsidDel="00000000" w:rsidR="00000000" w:rsidRPr="00000000">
              <w:rPr>
                <w:b w:val="1"/>
                <w:rtl w:val="0"/>
              </w:rPr>
              <w:t xml:space="preserve">Anexo 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ind w:left="0" w:hanging="2"/>
              <w:jc w:val="both"/>
              <w:rPr/>
            </w:pPr>
            <w:r w:rsidDel="00000000" w:rsidR="00000000" w:rsidRPr="00000000">
              <w:rPr>
                <w:rtl w:val="0"/>
              </w:rPr>
              <w:t xml:space="preserve">Lista de participantes</w:t>
            </w:r>
          </w:p>
        </w:tc>
      </w:tr>
      <w:tr>
        <w:trPr>
          <w:cantSplit w:val="0"/>
          <w:trHeight w:val="26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ind w:left="0" w:hanging="2"/>
              <w:jc w:val="both"/>
              <w:rPr/>
            </w:pPr>
            <w:r w:rsidDel="00000000" w:rsidR="00000000" w:rsidRPr="00000000">
              <w:rPr>
                <w:b w:val="1"/>
                <w:rtl w:val="0"/>
              </w:rPr>
              <w:t xml:space="preserve">Anexo 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ind w:left="0" w:hanging="2"/>
              <w:jc w:val="both"/>
              <w:rPr/>
            </w:pPr>
            <w:r w:rsidDel="00000000" w:rsidR="00000000" w:rsidRPr="00000000">
              <w:rPr>
                <w:rtl w:val="0"/>
              </w:rPr>
              <w:t xml:space="preserve">Agenda</w:t>
            </w:r>
          </w:p>
        </w:tc>
      </w:tr>
      <w:tr>
        <w:trPr>
          <w:cantSplit w:val="0"/>
          <w:trHeight w:val="25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ind w:left="0" w:hanging="2"/>
              <w:jc w:val="both"/>
              <w:rPr>
                <w:b w:val="1"/>
              </w:rPr>
            </w:pPr>
            <w:r w:rsidDel="00000000" w:rsidR="00000000" w:rsidRPr="00000000">
              <w:rPr>
                <w:b w:val="1"/>
                <w:rtl w:val="0"/>
              </w:rPr>
              <w:t xml:space="preserve">Anexo III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ind w:left="0" w:hanging="2"/>
              <w:jc w:val="both"/>
              <w:rPr/>
            </w:pPr>
            <w:r w:rsidDel="00000000" w:rsidR="00000000" w:rsidRPr="00000000">
              <w:rPr>
                <w:rtl w:val="0"/>
              </w:rPr>
              <w:t xml:space="preserve">Proyecto de recomendación CMC sobre riesgos psicosociales en el trabajo</w:t>
            </w:r>
          </w:p>
        </w:tc>
      </w:tr>
      <w:tr>
        <w:trPr>
          <w:cantSplit w:val="0"/>
          <w:trHeight w:val="25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ind w:left="0" w:hanging="2"/>
              <w:jc w:val="both"/>
              <w:rPr/>
            </w:pPr>
            <w:r w:rsidDel="00000000" w:rsidR="00000000" w:rsidRPr="00000000">
              <w:rPr>
                <w:b w:val="1"/>
                <w:rtl w:val="0"/>
              </w:rPr>
              <w:t xml:space="preserve">Anexo IV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tabs>
                <w:tab w:val="left" w:leader="none" w:pos="0"/>
              </w:tabs>
              <w:ind w:left="0" w:firstLine="0"/>
              <w:jc w:val="both"/>
              <w:rPr/>
            </w:pPr>
            <w:r w:rsidDel="00000000" w:rsidR="00000000" w:rsidRPr="00000000">
              <w:rPr>
                <w:color w:val="000000"/>
                <w:rtl w:val="0"/>
              </w:rPr>
              <w:t xml:space="preserve">Estudio comparado de legislación sobre género y salud laboral</w:t>
            </w:r>
            <w:r w:rsidDel="00000000" w:rsidR="00000000" w:rsidRPr="00000000">
              <w:rPr>
                <w:rtl w:val="0"/>
              </w:rPr>
            </w:r>
          </w:p>
        </w:tc>
      </w:tr>
      <w:tr>
        <w:trPr>
          <w:cantSplit w:val="0"/>
          <w:trHeight w:val="26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ind w:left="0" w:hanging="2"/>
              <w:jc w:val="both"/>
              <w:rPr/>
            </w:pPr>
            <w:r w:rsidDel="00000000" w:rsidR="00000000" w:rsidRPr="00000000">
              <w:rPr>
                <w:b w:val="1"/>
                <w:rtl w:val="0"/>
              </w:rPr>
              <w:t xml:space="preserve">Anexo 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ind w:left="0" w:hanging="2"/>
              <w:jc w:val="both"/>
              <w:rPr>
                <w:b w:val="1"/>
              </w:rPr>
            </w:pPr>
            <w:r w:rsidDel="00000000" w:rsidR="00000000" w:rsidRPr="00000000">
              <w:rPr>
                <w:rtl w:val="0"/>
              </w:rPr>
              <w:t xml:space="preserve">Programa de Trabajo vigente 2023-2024</w:t>
            </w:r>
            <w:r w:rsidDel="00000000" w:rsidR="00000000" w:rsidRPr="00000000">
              <w:rPr>
                <w:rtl w:val="0"/>
              </w:rPr>
            </w:r>
          </w:p>
        </w:tc>
      </w:tr>
      <w:tr>
        <w:trPr>
          <w:cantSplit w:val="0"/>
          <w:trHeight w:val="24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ind w:left="0" w:hanging="2"/>
              <w:jc w:val="both"/>
              <w:rPr>
                <w:b w:val="1"/>
              </w:rPr>
            </w:pPr>
            <w:r w:rsidDel="00000000" w:rsidR="00000000" w:rsidRPr="00000000">
              <w:rPr>
                <w:b w:val="1"/>
                <w:rtl w:val="0"/>
              </w:rPr>
              <w:t xml:space="preserve">Anexo VI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ind w:left="0" w:hanging="2"/>
              <w:jc w:val="both"/>
              <w:rPr>
                <w:b w:val="1"/>
              </w:rPr>
            </w:pPr>
            <w:r w:rsidDel="00000000" w:rsidR="00000000" w:rsidRPr="00000000">
              <w:rPr>
                <w:rtl w:val="0"/>
              </w:rPr>
              <w:t xml:space="preserve">Informe semestral de cumplimiento PT 2023/24</w:t>
            </w:r>
            <w:r w:rsidDel="00000000" w:rsidR="00000000" w:rsidRPr="00000000">
              <w:rPr>
                <w:rtl w:val="0"/>
              </w:rPr>
            </w:r>
          </w:p>
        </w:tc>
      </w:tr>
      <w:tr>
        <w:trPr>
          <w:cantSplit w:val="0"/>
          <w:trHeight w:val="24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ind w:left="0" w:hanging="2"/>
              <w:jc w:val="both"/>
              <w:rPr>
                <w:b w:val="1"/>
              </w:rPr>
            </w:pPr>
            <w:r w:rsidDel="00000000" w:rsidR="00000000" w:rsidRPr="00000000">
              <w:rPr>
                <w:b w:val="1"/>
                <w:rtl w:val="0"/>
              </w:rPr>
              <w:t xml:space="preserve">Anexo VII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ind w:left="0" w:hanging="2"/>
              <w:jc w:val="both"/>
              <w:rPr/>
            </w:pPr>
            <w:r w:rsidDel="00000000" w:rsidR="00000000" w:rsidRPr="00000000">
              <w:rPr>
                <w:rtl w:val="0"/>
              </w:rPr>
              <w:t xml:space="preserve">Placas comunicacionales sobre riesgos psicosociales</w:t>
            </w:r>
          </w:p>
        </w:tc>
      </w:tr>
      <w:tr>
        <w:trPr>
          <w:cantSplit w:val="0"/>
          <w:trHeight w:val="249"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ind w:left="0" w:hanging="2"/>
              <w:jc w:val="both"/>
              <w:rPr>
                <w:b w:val="1"/>
              </w:rPr>
            </w:pPr>
            <w:r w:rsidDel="00000000" w:rsidR="00000000" w:rsidRPr="00000000">
              <w:rPr>
                <w:b w:val="1"/>
                <w:rtl w:val="0"/>
              </w:rPr>
              <w:t xml:space="preserve">Anexo VIII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ind w:left="0" w:hanging="2"/>
              <w:jc w:val="both"/>
              <w:rPr/>
            </w:pPr>
            <w:r w:rsidDel="00000000" w:rsidR="00000000" w:rsidRPr="00000000">
              <w:rPr>
                <w:rtl w:val="0"/>
              </w:rPr>
              <w:t xml:space="preserve">Proyecto de recomendación sobre Gestión SST c/perspectiva de género</w:t>
            </w:r>
          </w:p>
        </w:tc>
      </w:tr>
    </w:tbl>
    <w:p w:rsidR="00000000" w:rsidDel="00000000" w:rsidP="00000000" w:rsidRDefault="00000000" w:rsidRPr="00000000" w14:paraId="00000053">
      <w:pPr>
        <w:spacing w:after="240" w:before="280" w:line="276" w:lineRule="auto"/>
        <w:ind w:left="0" w:hanging="2"/>
        <w:jc w:val="both"/>
        <w:rPr/>
      </w:pPr>
      <w:r w:rsidDel="00000000" w:rsidR="00000000" w:rsidRPr="00000000">
        <w:rPr>
          <w:rtl w:val="0"/>
        </w:rPr>
      </w:r>
    </w:p>
    <w:p w:rsidR="00000000" w:rsidDel="00000000" w:rsidP="00000000" w:rsidRDefault="00000000" w:rsidRPr="00000000" w14:paraId="00000054">
      <w:pPr>
        <w:spacing w:after="240" w:before="280" w:line="276" w:lineRule="auto"/>
        <w:ind w:left="0" w:firstLine="0"/>
        <w:jc w:val="both"/>
        <w:rPr/>
      </w:pPr>
      <w:r w:rsidDel="00000000" w:rsidR="00000000" w:rsidRPr="00000000">
        <w:rPr>
          <w:rtl w:val="0"/>
        </w:rPr>
      </w:r>
    </w:p>
    <w:p w:rsidR="00000000" w:rsidDel="00000000" w:rsidP="00000000" w:rsidRDefault="00000000" w:rsidRPr="00000000" w14:paraId="00000055">
      <w:pPr>
        <w:spacing w:after="240" w:before="280" w:line="276" w:lineRule="auto"/>
        <w:ind w:left="0" w:hanging="2"/>
        <w:jc w:val="both"/>
        <w:rPr/>
      </w:pPr>
      <w:r w:rsidDel="00000000" w:rsidR="00000000" w:rsidRPr="00000000">
        <w:rPr>
          <w:rtl w:val="0"/>
        </w:rPr>
      </w:r>
    </w:p>
    <w:p w:rsidR="00000000" w:rsidDel="00000000" w:rsidP="00000000" w:rsidRDefault="00000000" w:rsidRPr="00000000" w14:paraId="00000056">
      <w:pPr>
        <w:ind w:left="0" w:hanging="2"/>
        <w:rPr>
          <w:highlight w:val="yellow"/>
          <w:u w:val="single"/>
        </w:rPr>
      </w:pPr>
      <w:r w:rsidDel="00000000" w:rsidR="00000000" w:rsidRPr="00000000">
        <w:rPr>
          <w:rtl w:val="0"/>
        </w:rPr>
      </w:r>
    </w:p>
    <w:tbl>
      <w:tblPr>
        <w:tblStyle w:val="Table2"/>
        <w:tblW w:w="9128.0" w:type="dxa"/>
        <w:jc w:val="left"/>
        <w:tblInd w:w="-108.0" w:type="dxa"/>
        <w:tblLayout w:type="fixed"/>
        <w:tblLook w:val="0000"/>
      </w:tblPr>
      <w:tblGrid>
        <w:gridCol w:w="4564"/>
        <w:gridCol w:w="4564"/>
        <w:tblGridChange w:id="0">
          <w:tblGrid>
            <w:gridCol w:w="4564"/>
            <w:gridCol w:w="4564"/>
          </w:tblGrid>
        </w:tblGridChange>
      </w:tblGrid>
      <w:tr>
        <w:trPr>
          <w:cantSplit w:val="0"/>
          <w:trHeight w:val="1478" w:hRule="atLeast"/>
          <w:tblHeader w:val="0"/>
        </w:trPr>
        <w:tc>
          <w:tcPr/>
          <w:p w:rsidR="00000000" w:rsidDel="00000000" w:rsidP="00000000" w:rsidRDefault="00000000" w:rsidRPr="00000000" w14:paraId="00000057">
            <w:pPr>
              <w:ind w:left="0" w:hanging="2"/>
              <w:rPr/>
            </w:pPr>
            <w:r w:rsidDel="00000000" w:rsidR="00000000" w:rsidRPr="00000000">
              <w:rPr>
                <w:b w:val="1"/>
                <w:rtl w:val="0"/>
              </w:rPr>
              <w:t xml:space="preserve">_______________________________</w:t>
            </w:r>
            <w:r w:rsidDel="00000000" w:rsidR="00000000" w:rsidRPr="00000000">
              <w:rPr>
                <w:rtl w:val="0"/>
              </w:rPr>
            </w:r>
          </w:p>
          <w:p w:rsidR="00000000" w:rsidDel="00000000" w:rsidP="00000000" w:rsidRDefault="00000000" w:rsidRPr="00000000" w14:paraId="00000058">
            <w:pPr>
              <w:ind w:left="0" w:hanging="2"/>
              <w:jc w:val="center"/>
              <w:rPr/>
            </w:pPr>
            <w:bookmarkStart w:colFirst="0" w:colLast="0" w:name="_heading=h.1fob9te" w:id="3"/>
            <w:bookmarkEnd w:id="3"/>
            <w:r w:rsidDel="00000000" w:rsidR="00000000" w:rsidRPr="00000000">
              <w:rPr>
                <w:b w:val="1"/>
                <w:rtl w:val="0"/>
              </w:rPr>
              <w:t xml:space="preserve">Por la Delegación de Argentina</w:t>
            </w:r>
            <w:r w:rsidDel="00000000" w:rsidR="00000000" w:rsidRPr="00000000">
              <w:rPr>
                <w:rtl w:val="0"/>
              </w:rPr>
            </w:r>
          </w:p>
          <w:p w:rsidR="00000000" w:rsidDel="00000000" w:rsidP="00000000" w:rsidRDefault="00000000" w:rsidRPr="00000000" w14:paraId="00000059">
            <w:pPr>
              <w:ind w:left="0" w:hanging="2"/>
              <w:jc w:val="center"/>
              <w:rPr/>
            </w:pPr>
            <w:r w:rsidDel="00000000" w:rsidR="00000000" w:rsidRPr="00000000">
              <w:rPr>
                <w:rtl w:val="0"/>
              </w:rPr>
              <w:t xml:space="preserve">Jose Luis Bettolli</w:t>
            </w:r>
          </w:p>
          <w:p w:rsidR="00000000" w:rsidDel="00000000" w:rsidP="00000000" w:rsidRDefault="00000000" w:rsidRPr="00000000" w14:paraId="0000005A">
            <w:pPr>
              <w:ind w:left="0" w:hanging="2"/>
              <w:rPr>
                <w:u w:val="single"/>
              </w:rPr>
            </w:pPr>
            <w:r w:rsidDel="00000000" w:rsidR="00000000" w:rsidRPr="00000000">
              <w:rPr>
                <w:rtl w:val="0"/>
              </w:rPr>
            </w:r>
          </w:p>
        </w:tc>
        <w:tc>
          <w:tcPr/>
          <w:p w:rsidR="00000000" w:rsidDel="00000000" w:rsidP="00000000" w:rsidRDefault="00000000" w:rsidRPr="00000000" w14:paraId="0000005B">
            <w:pPr>
              <w:ind w:left="0" w:hanging="2"/>
              <w:rPr/>
            </w:pPr>
            <w:r w:rsidDel="00000000" w:rsidR="00000000" w:rsidRPr="00000000">
              <w:rPr>
                <w:b w:val="1"/>
                <w:rtl w:val="0"/>
              </w:rPr>
              <w:t xml:space="preserve">______________________________</w:t>
            </w:r>
            <w:r w:rsidDel="00000000" w:rsidR="00000000" w:rsidRPr="00000000">
              <w:rPr>
                <w:rtl w:val="0"/>
              </w:rPr>
            </w:r>
          </w:p>
          <w:p w:rsidR="00000000" w:rsidDel="00000000" w:rsidP="00000000" w:rsidRDefault="00000000" w:rsidRPr="00000000" w14:paraId="0000005C">
            <w:pPr>
              <w:ind w:left="0" w:hanging="2"/>
              <w:jc w:val="center"/>
              <w:rPr/>
            </w:pPr>
            <w:r w:rsidDel="00000000" w:rsidR="00000000" w:rsidRPr="00000000">
              <w:rPr>
                <w:b w:val="1"/>
                <w:rtl w:val="0"/>
              </w:rPr>
              <w:t xml:space="preserve">Por la Delegación de Brasil</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Viviane De Jesus Forte</w:t>
            </w:r>
          </w:p>
          <w:p w:rsidR="00000000" w:rsidDel="00000000" w:rsidP="00000000" w:rsidRDefault="00000000" w:rsidRPr="00000000" w14:paraId="0000005E">
            <w:pPr>
              <w:ind w:left="0" w:hanging="2"/>
              <w:jc w:val="center"/>
              <w:rPr>
                <w:u w:val="single"/>
              </w:rPr>
            </w:pPr>
            <w:r w:rsidDel="00000000" w:rsidR="00000000" w:rsidRPr="00000000">
              <w:rPr>
                <w:rtl w:val="0"/>
              </w:rPr>
            </w:r>
          </w:p>
        </w:tc>
      </w:tr>
      <w:tr>
        <w:trPr>
          <w:cantSplit w:val="0"/>
          <w:trHeight w:val="2084" w:hRule="atLeast"/>
          <w:tblHeader w:val="0"/>
        </w:trPr>
        <w:tc>
          <w:tcPr/>
          <w:p w:rsidR="00000000" w:rsidDel="00000000" w:rsidP="00000000" w:rsidRDefault="00000000" w:rsidRPr="00000000" w14:paraId="0000005F">
            <w:pPr>
              <w:ind w:left="0" w:hanging="2"/>
              <w:rPr/>
            </w:pPr>
            <w:r w:rsidDel="00000000" w:rsidR="00000000" w:rsidRPr="00000000">
              <w:rPr>
                <w:rtl w:val="0"/>
              </w:rPr>
            </w:r>
          </w:p>
          <w:p w:rsidR="00000000" w:rsidDel="00000000" w:rsidP="00000000" w:rsidRDefault="00000000" w:rsidRPr="00000000" w14:paraId="00000060">
            <w:pPr>
              <w:ind w:left="0" w:hanging="2"/>
              <w:rPr/>
            </w:pPr>
            <w:r w:rsidDel="00000000" w:rsidR="00000000" w:rsidRPr="00000000">
              <w:rPr>
                <w:rtl w:val="0"/>
              </w:rPr>
            </w:r>
          </w:p>
          <w:p w:rsidR="00000000" w:rsidDel="00000000" w:rsidP="00000000" w:rsidRDefault="00000000" w:rsidRPr="00000000" w14:paraId="00000061">
            <w:pPr>
              <w:ind w:left="0" w:hanging="2"/>
              <w:rPr/>
            </w:pPr>
            <w:r w:rsidDel="00000000" w:rsidR="00000000" w:rsidRPr="00000000">
              <w:rPr>
                <w:rtl w:val="0"/>
              </w:rPr>
            </w:r>
          </w:p>
          <w:p w:rsidR="00000000" w:rsidDel="00000000" w:rsidP="00000000" w:rsidRDefault="00000000" w:rsidRPr="00000000" w14:paraId="00000062">
            <w:pPr>
              <w:ind w:left="0" w:hanging="2"/>
              <w:rPr/>
            </w:pPr>
            <w:r w:rsidDel="00000000" w:rsidR="00000000" w:rsidRPr="00000000">
              <w:rPr>
                <w:rtl w:val="0"/>
              </w:rPr>
            </w:r>
          </w:p>
          <w:p w:rsidR="00000000" w:rsidDel="00000000" w:rsidP="00000000" w:rsidRDefault="00000000" w:rsidRPr="00000000" w14:paraId="00000063">
            <w:pPr>
              <w:ind w:left="0" w:hanging="2"/>
              <w:rPr/>
            </w:pPr>
            <w:r w:rsidDel="00000000" w:rsidR="00000000" w:rsidRPr="00000000">
              <w:rPr>
                <w:b w:val="1"/>
                <w:rtl w:val="0"/>
              </w:rPr>
              <w:t xml:space="preserve">_______________________________</w:t>
            </w:r>
            <w:r w:rsidDel="00000000" w:rsidR="00000000" w:rsidRPr="00000000">
              <w:rPr>
                <w:rtl w:val="0"/>
              </w:rPr>
            </w:r>
          </w:p>
          <w:p w:rsidR="00000000" w:rsidDel="00000000" w:rsidP="00000000" w:rsidRDefault="00000000" w:rsidRPr="00000000" w14:paraId="00000064">
            <w:pPr>
              <w:ind w:left="0" w:hanging="2"/>
              <w:jc w:val="center"/>
              <w:rPr/>
            </w:pPr>
            <w:r w:rsidDel="00000000" w:rsidR="00000000" w:rsidRPr="00000000">
              <w:rPr>
                <w:b w:val="1"/>
                <w:rtl w:val="0"/>
              </w:rPr>
              <w:t xml:space="preserve">Por la Delegación de Paraguay</w:t>
            </w:r>
            <w:r w:rsidDel="00000000" w:rsidR="00000000" w:rsidRPr="00000000">
              <w:rPr>
                <w:rtl w:val="0"/>
              </w:rPr>
            </w:r>
          </w:p>
          <w:p w:rsidR="00000000" w:rsidDel="00000000" w:rsidP="00000000" w:rsidRDefault="00000000" w:rsidRPr="00000000" w14:paraId="00000065">
            <w:pPr>
              <w:ind w:left="0" w:hanging="2"/>
              <w:jc w:val="center"/>
              <w:rPr/>
            </w:pPr>
            <w:r w:rsidDel="00000000" w:rsidR="00000000" w:rsidRPr="00000000">
              <w:rPr>
                <w:rtl w:val="0"/>
              </w:rPr>
              <w:t xml:space="preserve">Olga Ortiz</w:t>
            </w:r>
          </w:p>
        </w:tc>
        <w:tc>
          <w:tcPr/>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p w:rsidR="00000000" w:rsidDel="00000000" w:rsidP="00000000" w:rsidRDefault="00000000" w:rsidRPr="00000000" w14:paraId="00000068">
            <w:pPr>
              <w:ind w:left="0" w:hanging="2"/>
              <w:rPr/>
            </w:pPr>
            <w:r w:rsidDel="00000000" w:rsidR="00000000" w:rsidRPr="00000000">
              <w:rPr>
                <w:rtl w:val="0"/>
              </w:rPr>
            </w:r>
          </w:p>
          <w:p w:rsidR="00000000" w:rsidDel="00000000" w:rsidP="00000000" w:rsidRDefault="00000000" w:rsidRPr="00000000" w14:paraId="00000069">
            <w:pPr>
              <w:ind w:left="0" w:hanging="2"/>
              <w:rPr/>
            </w:pPr>
            <w:r w:rsidDel="00000000" w:rsidR="00000000" w:rsidRPr="00000000">
              <w:rPr>
                <w:rtl w:val="0"/>
              </w:rPr>
            </w:r>
          </w:p>
          <w:p w:rsidR="00000000" w:rsidDel="00000000" w:rsidP="00000000" w:rsidRDefault="00000000" w:rsidRPr="00000000" w14:paraId="0000006A">
            <w:pPr>
              <w:ind w:left="0" w:hanging="2"/>
              <w:rPr/>
            </w:pPr>
            <w:r w:rsidDel="00000000" w:rsidR="00000000" w:rsidRPr="00000000">
              <w:rPr>
                <w:b w:val="1"/>
                <w:rtl w:val="0"/>
              </w:rPr>
              <w:t xml:space="preserve">_______________________________</w:t>
            </w:r>
            <w:r w:rsidDel="00000000" w:rsidR="00000000" w:rsidRPr="00000000">
              <w:rPr>
                <w:rtl w:val="0"/>
              </w:rPr>
            </w:r>
          </w:p>
          <w:p w:rsidR="00000000" w:rsidDel="00000000" w:rsidP="00000000" w:rsidRDefault="00000000" w:rsidRPr="00000000" w14:paraId="0000006B">
            <w:pPr>
              <w:ind w:left="0" w:hanging="2"/>
              <w:jc w:val="center"/>
              <w:rPr/>
            </w:pPr>
            <w:r w:rsidDel="00000000" w:rsidR="00000000" w:rsidRPr="00000000">
              <w:rPr>
                <w:b w:val="1"/>
                <w:rtl w:val="0"/>
              </w:rPr>
              <w:t xml:space="preserve">Por la Delegación de Uruguay</w:t>
            </w:r>
            <w:r w:rsidDel="00000000" w:rsidR="00000000" w:rsidRPr="00000000">
              <w:rPr>
                <w:rtl w:val="0"/>
              </w:rPr>
            </w:r>
          </w:p>
          <w:p w:rsidR="00000000" w:rsidDel="00000000" w:rsidP="00000000" w:rsidRDefault="00000000" w:rsidRPr="00000000" w14:paraId="0000006C">
            <w:pPr>
              <w:ind w:left="0" w:hanging="2"/>
              <w:jc w:val="center"/>
              <w:rPr>
                <w:u w:val="single"/>
              </w:rPr>
            </w:pPr>
            <w:r w:rsidDel="00000000" w:rsidR="00000000" w:rsidRPr="00000000">
              <w:rPr>
                <w:rtl w:val="0"/>
              </w:rPr>
              <w:t xml:space="preserve">Gabriela Roberti Colombo</w:t>
            </w:r>
            <w:r w:rsidDel="00000000" w:rsidR="00000000" w:rsidRPr="00000000">
              <w:rPr>
                <w:rtl w:val="0"/>
              </w:rPr>
            </w:r>
          </w:p>
        </w:tc>
      </w:tr>
    </w:tbl>
    <w:p w:rsidR="00000000" w:rsidDel="00000000" w:rsidP="00000000" w:rsidRDefault="00000000" w:rsidRPr="00000000" w14:paraId="0000006D">
      <w:pPr>
        <w:keepNext w:val="1"/>
        <w:widowControl w:val="0"/>
        <w:pBdr>
          <w:top w:space="0" w:sz="0" w:val="nil"/>
          <w:left w:space="0" w:sz="0" w:val="nil"/>
          <w:bottom w:space="0" w:sz="0" w:val="nil"/>
          <w:right w:space="0" w:sz="0" w:val="nil"/>
          <w:between w:space="0" w:sz="0" w:val="nil"/>
        </w:pBdr>
        <w:tabs>
          <w:tab w:val="left" w:leader="none" w:pos="5040"/>
        </w:tabs>
        <w:spacing w:line="240" w:lineRule="auto"/>
        <w:ind w:left="0" w:hanging="2"/>
        <w:jc w:val="both"/>
        <w:rPr>
          <w:b w:val="1"/>
          <w:color w:val="000000"/>
        </w:rPr>
      </w:pPr>
      <w:r w:rsidDel="00000000" w:rsidR="00000000" w:rsidRPr="00000000">
        <w:rPr>
          <w:rtl w:val="0"/>
        </w:rPr>
      </w:r>
    </w:p>
    <w:sectPr>
      <w:footerReference r:id="rId8" w:type="default"/>
      <w:pgSz w:h="16838" w:w="11906" w:orient="portrait"/>
      <w:pgMar w:bottom="1417" w:top="1417" w:left="1701" w:right="127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PY"/>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5040"/>
      </w:tabs>
      <w:jc w:val="both"/>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lang w:eastAsia="es-UY"/>
    </w:rPr>
  </w:style>
  <w:style w:type="paragraph" w:styleId="Ttulo1">
    <w:name w:val="heading 1"/>
    <w:basedOn w:val="Normal"/>
    <w:next w:val="Normal"/>
    <w:uiPriority w:val="9"/>
    <w:qFormat w:val="1"/>
    <w:pPr>
      <w:keepNext w:val="1"/>
      <w:widowControl w:val="0"/>
      <w:tabs>
        <w:tab w:val="left" w:pos="5040"/>
      </w:tabs>
      <w:jc w:val="both"/>
    </w:pPr>
    <w:rPr>
      <w:b w:val="1"/>
      <w:color w:val="000000"/>
      <w:lang w:val="es-E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angradetextonormal">
    <w:name w:val="Body Text Indent"/>
    <w:basedOn w:val="Normal"/>
    <w:pPr>
      <w:ind w:left="540"/>
      <w:jc w:val="both"/>
    </w:pPr>
    <w:rPr>
      <w:rFonts w:ascii="Times New Roman" w:hAnsi="Times New Roman"/>
      <w:lang w:val="es-ES"/>
    </w:rPr>
  </w:style>
  <w:style w:type="paragraph" w:styleId="Textoindependiente2">
    <w:name w:val="Body Text 2"/>
    <w:basedOn w:val="Normal"/>
    <w:pPr>
      <w:jc w:val="both"/>
    </w:pPr>
    <w:rPr>
      <w:lang w:val="es-ES"/>
    </w:rPr>
  </w:style>
  <w:style w:type="paragraph" w:styleId="Prrafodelista">
    <w:name w:val="List Paragraph"/>
    <w:basedOn w:val="Normal"/>
    <w:pPr>
      <w:spacing w:after="160" w:line="259" w:lineRule="auto"/>
      <w:ind w:left="720"/>
      <w:contextualSpacing w:val="1"/>
    </w:pPr>
    <w:rPr>
      <w:rFonts w:ascii="Calibri" w:cs="Calibri" w:eastAsia="Calibri" w:hAnsi="Calibri"/>
      <w:sz w:val="22"/>
      <w:szCs w:val="22"/>
      <w:lang w:eastAsia="en-US" w:val="es-ES"/>
    </w:rPr>
  </w:style>
  <w:style w:type="table" w:styleId="Tablaconcuadrcula">
    <w:name w:val="Table Grid"/>
    <w:basedOn w:val="Tablanormal"/>
    <w:pPr>
      <w:suppressAutoHyphens w:val="1"/>
      <w:spacing w:line="1" w:lineRule="atLeast"/>
      <w:ind w:left="-1" w:leftChars="-1" w:hangingChars="1"/>
      <w:textDirection w:val="btLr"/>
      <w:textAlignment w:val="top"/>
      <w:outlineLvl w:val="0"/>
    </w:pPr>
    <w:rPr>
      <w:rFonts w:ascii="Calibri" w:cs="Times New Roman" w:eastAsia="Calibri" w:hAnsi="Calibri"/>
      <w:position w:val="-1"/>
      <w:szCs w:val="22"/>
      <w:lang w:val="es-E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ntinuarlista">
    <w:name w:val="List Continue"/>
    <w:basedOn w:val="Normal"/>
    <w:qFormat w:val="1"/>
    <w:pPr>
      <w:spacing w:after="120"/>
      <w:ind w:left="283"/>
      <w:contextualSpacing w:val="1"/>
    </w:pPr>
  </w:style>
  <w:style w:type="paragraph" w:styleId="Encabezado">
    <w:name w:val="header"/>
    <w:basedOn w:val="Normal"/>
    <w:qFormat w:val="1"/>
    <w:pPr>
      <w:tabs>
        <w:tab w:val="center" w:pos="4252"/>
        <w:tab w:val="right" w:pos="8504"/>
      </w:tabs>
    </w:pPr>
  </w:style>
  <w:style w:type="character" w:styleId="EncabezadoCar" w:customStyle="1">
    <w:name w:val="Encabezado Car"/>
    <w:rPr>
      <w:rFonts w:ascii="Arial" w:hAnsi="Arial"/>
      <w:w w:val="100"/>
      <w:position w:val="-1"/>
      <w:sz w:val="24"/>
      <w:effect w:val="none"/>
      <w:vertAlign w:val="baseline"/>
      <w:cs w:val="0"/>
      <w:em w:val="none"/>
      <w:lang w:eastAsia="es-UY" w:val="es-PY"/>
    </w:rPr>
  </w:style>
  <w:style w:type="paragraph" w:styleId="Piedepgina">
    <w:name w:val="footer"/>
    <w:basedOn w:val="Normal"/>
    <w:qFormat w:val="1"/>
    <w:pPr>
      <w:tabs>
        <w:tab w:val="center" w:pos="4252"/>
        <w:tab w:val="right" w:pos="8504"/>
      </w:tabs>
    </w:pPr>
  </w:style>
  <w:style w:type="character" w:styleId="PiedepginaCar" w:customStyle="1">
    <w:name w:val="Pie de página Car"/>
    <w:rPr>
      <w:rFonts w:ascii="Arial" w:hAnsi="Arial"/>
      <w:w w:val="100"/>
      <w:position w:val="-1"/>
      <w:sz w:val="24"/>
      <w:effect w:val="none"/>
      <w:vertAlign w:val="baseline"/>
      <w:cs w:val="0"/>
      <w:em w:val="none"/>
      <w:lang w:eastAsia="es-UY" w:val="es-PY"/>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65.0" w:type="dxa"/>
        <w:right w:w="68.0" w:type="dxa"/>
      </w:tblCellMar>
    </w:tblPr>
  </w:style>
  <w:style w:type="table" w:styleId="a0" w:customStyle="1">
    <w:basedOn w:val="TableNormal0"/>
    <w:tblPr>
      <w:tblStyleRowBandSize w:val="1"/>
      <w:tblStyleColBandSize w:val="1"/>
      <w:tblCellMar>
        <w:left w:w="108.0" w:type="dxa"/>
        <w:right w:w="108.0" w:type="dxa"/>
      </w:tblCellMar>
    </w:tblPr>
  </w:style>
  <w:style w:type="paragraph" w:styleId="NormalWeb">
    <w:name w:val="Normal (Web)"/>
    <w:basedOn w:val="Normal"/>
    <w:uiPriority w:val="99"/>
    <w:semiHidden w:val="1"/>
    <w:unhideWhenUsed w:val="1"/>
    <w:rsid w:val="00D471AC"/>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es-ES" w:val="es-ES"/>
    </w:rPr>
  </w:style>
  <w:style w:type="table" w:styleId="a1" w:customStyle="1">
    <w:basedOn w:val="TableNormal0"/>
    <w:tblPr>
      <w:tblStyleRowBandSize w:val="1"/>
      <w:tblStyleColBandSize w:val="1"/>
      <w:tblCellMar>
        <w:left w:w="108.0" w:type="dxa"/>
        <w:right w:w="108.0" w:type="dxa"/>
      </w:tblCellMar>
    </w:tblPr>
  </w:style>
  <w:style w:type="table" w:styleId="a2" w:customStyle="1">
    <w:basedOn w:val="TableNormal0"/>
    <w:tblPr>
      <w:tblStyleRowBandSize w:val="1"/>
      <w:tblStyleColBandSize w:val="1"/>
      <w:tblCellMar>
        <w:left w:w="108.0" w:type="dxa"/>
        <w:right w:w="108.0" w:type="dxa"/>
      </w:tblCellMar>
    </w:tblPr>
  </w:style>
  <w:style w:type="character" w:styleId="Nmerodepgina">
    <w:name w:val="page number"/>
    <w:rsid w:val="00E176E9"/>
  </w:style>
  <w:style w:type="paragraph" w:styleId="LO-normal" w:customStyle="1">
    <w:name w:val="LO-normal"/>
    <w:qFormat w:val="1"/>
    <w:rsid w:val="00517C73"/>
    <w:pPr>
      <w:spacing w:after="200" w:line="276" w:lineRule="auto"/>
      <w:ind w:firstLine="0"/>
    </w:pPr>
    <w:rPr>
      <w:rFonts w:ascii="Calibri" w:cs="Calibri" w:eastAsia="Calibri" w:hAnsi="Calibri"/>
      <w:sz w:val="22"/>
      <w:szCs w:val="22"/>
      <w:lang w:bidi="hi-IN" w:eastAsia="zh-CN" w:val="es-419"/>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57g52G+TtgbnA2oDJeQMr+KqmA==">AMUW2mVHbrT50C6jOq1mCdm6IqvRAN6fvlgWRuHlAluT8I4FvhuW56cq3g5DnbdWLh01Zx9RI1aOIQsN7+5af3Y7Gskt6vjBmP4LXnyxjc3MqMVlsiqmbtwiZ+PZb20CXLPDyZXVCcdC2RCpCdnCVi0CNswwWQeTQiJxxpgWSwUlY06h0OaVMDA=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2022-04-26T16:29:00Z</dcterms:created>
  <dc:creator>Informática</dc:creator>
</cp:coreProperties>
</file>