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8847" w14:textId="6552CB30" w:rsidR="008B7004" w:rsidRPr="009035E0" w:rsidRDefault="005A4257">
      <w:pPr>
        <w:pStyle w:val="Ttulo1"/>
        <w:rPr>
          <w:rFonts w:cs="Arial"/>
          <w:szCs w:val="24"/>
          <w:lang w:val="pt-BR"/>
        </w:rPr>
      </w:pPr>
      <w:bookmarkStart w:id="0" w:name="_GoBack"/>
      <w:bookmarkEnd w:id="0"/>
      <w:r w:rsidRPr="009035E0">
        <w:rPr>
          <w:rFonts w:cs="Arial"/>
          <w:szCs w:val="24"/>
          <w:lang w:val="pt-BR"/>
        </w:rPr>
        <w:t xml:space="preserve">    </w:t>
      </w:r>
      <w:r w:rsidR="00181E00">
        <w:rPr>
          <w:rFonts w:cs="Arial"/>
          <w:noProof/>
          <w:szCs w:val="24"/>
          <w:lang w:val="es-AR" w:eastAsia="es-AR"/>
        </w:rPr>
        <w:drawing>
          <wp:inline distT="0" distB="0" distL="0" distR="0" wp14:anchorId="0F18B8F0" wp14:editId="427B91A6">
            <wp:extent cx="1231392" cy="904399"/>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1231392" cy="904399"/>
                    </a:xfrm>
                    <a:prstGeom prst="rect">
                      <a:avLst/>
                    </a:prstGeom>
                    <a:noFill/>
                    <a:ln>
                      <a:noFill/>
                    </a:ln>
                  </pic:spPr>
                </pic:pic>
              </a:graphicData>
            </a:graphic>
          </wp:inline>
        </w:drawing>
      </w:r>
    </w:p>
    <w:p w14:paraId="211C12E4" w14:textId="77777777" w:rsidR="008B7004" w:rsidRPr="009035E0" w:rsidRDefault="008B7004">
      <w:pPr>
        <w:pStyle w:val="Ttulo1"/>
        <w:rPr>
          <w:rFonts w:cs="Arial"/>
          <w:szCs w:val="24"/>
          <w:lang w:val="pt-BR"/>
        </w:rPr>
      </w:pPr>
    </w:p>
    <w:p w14:paraId="4D0D7B7C" w14:textId="77777777" w:rsidR="008B7004" w:rsidRDefault="005A4257">
      <w:pPr>
        <w:pStyle w:val="Ttulo1"/>
        <w:rPr>
          <w:rFonts w:cs="Arial"/>
          <w:szCs w:val="24"/>
          <w:lang w:val="pt-BR"/>
        </w:rPr>
      </w:pPr>
      <w:r>
        <w:rPr>
          <w:rFonts w:cs="Arial"/>
          <w:szCs w:val="24"/>
          <w:lang w:val="pt-BR"/>
        </w:rPr>
        <w:t>MERCOSUR/SGT N° 8/CSA /ACTA N° 01/23</w:t>
      </w:r>
    </w:p>
    <w:p w14:paraId="194728E7" w14:textId="77777777" w:rsidR="008B7004" w:rsidRDefault="008B7004">
      <w:pPr>
        <w:jc w:val="both"/>
        <w:rPr>
          <w:rFonts w:cs="Arial"/>
          <w:szCs w:val="24"/>
          <w:lang w:val="pt-BR"/>
        </w:rPr>
      </w:pPr>
    </w:p>
    <w:p w14:paraId="59F8EC20" w14:textId="77777777" w:rsidR="008B7004" w:rsidRDefault="008B7004">
      <w:pPr>
        <w:jc w:val="both"/>
        <w:rPr>
          <w:rFonts w:cs="Arial"/>
          <w:szCs w:val="24"/>
          <w:lang w:val="pt-BR"/>
        </w:rPr>
      </w:pPr>
    </w:p>
    <w:p w14:paraId="3D876908" w14:textId="77777777" w:rsidR="008B7004" w:rsidRDefault="005A4257">
      <w:pPr>
        <w:jc w:val="center"/>
        <w:rPr>
          <w:rFonts w:cs="Arial"/>
          <w:b/>
          <w:szCs w:val="24"/>
        </w:rPr>
      </w:pPr>
      <w:r>
        <w:rPr>
          <w:rFonts w:cs="Arial"/>
          <w:b/>
          <w:szCs w:val="24"/>
        </w:rPr>
        <w:t>REUNIÓN ORDINARIA DE LA COMISIÓN DE SANIDAD ANIMAL (CSA)</w:t>
      </w:r>
    </w:p>
    <w:p w14:paraId="0ED536D8" w14:textId="77777777" w:rsidR="008B7004" w:rsidRDefault="008B7004">
      <w:pPr>
        <w:jc w:val="both"/>
        <w:rPr>
          <w:rFonts w:cs="Arial"/>
          <w:szCs w:val="24"/>
          <w:lang w:val="es-ES"/>
        </w:rPr>
      </w:pPr>
    </w:p>
    <w:p w14:paraId="03E6BA1F" w14:textId="6E4ADFDC" w:rsidR="008B7004" w:rsidRDefault="005A4257" w:rsidP="00BF2852">
      <w:pPr>
        <w:jc w:val="both"/>
        <w:rPr>
          <w:rFonts w:cs="Arial"/>
          <w:bCs/>
          <w:szCs w:val="24"/>
          <w:lang w:val="es-ES"/>
        </w:rPr>
      </w:pPr>
      <w:r>
        <w:rPr>
          <w:rFonts w:cs="Arial"/>
          <w:szCs w:val="24"/>
          <w:lang w:val="es-ES"/>
        </w:rPr>
        <w:t>Se realizó en la ciudad de Buenos Aires, en ejercicio de la Presidencia Pro Tempore de Argentina, entre los días 27 al 31</w:t>
      </w:r>
      <w:r w:rsidR="00BF2852">
        <w:rPr>
          <w:rFonts w:cs="Arial"/>
          <w:szCs w:val="24"/>
          <w:lang w:val="es-ES"/>
        </w:rPr>
        <w:t xml:space="preserve"> </w:t>
      </w:r>
      <w:r>
        <w:rPr>
          <w:rFonts w:cs="Arial"/>
          <w:szCs w:val="24"/>
          <w:lang w:val="es-ES"/>
        </w:rPr>
        <w:t xml:space="preserve">de marzo de 2023 la </w:t>
      </w:r>
      <w:r w:rsidR="00BF2852">
        <w:rPr>
          <w:rFonts w:cs="Arial"/>
          <w:szCs w:val="24"/>
          <w:lang w:val="es-ES"/>
        </w:rPr>
        <w:t xml:space="preserve">primera </w:t>
      </w:r>
      <w:r>
        <w:rPr>
          <w:rFonts w:cs="Arial"/>
          <w:szCs w:val="24"/>
          <w:lang w:val="es-ES"/>
        </w:rPr>
        <w:t>Reunión Ordinaria de la Comisión de Sanidad Animal</w:t>
      </w:r>
      <w:r w:rsidR="00BF2852">
        <w:rPr>
          <w:rFonts w:cs="Arial"/>
          <w:szCs w:val="24"/>
          <w:lang w:val="es-ES"/>
        </w:rPr>
        <w:t xml:space="preserve"> de 2023</w:t>
      </w:r>
      <w:r>
        <w:rPr>
          <w:rFonts w:cs="Arial"/>
          <w:szCs w:val="24"/>
          <w:lang w:val="es-ES"/>
        </w:rPr>
        <w:t>, con la presencia de las delegaciones de Argentina, Brasil, Paraguay y Uruguay</w:t>
      </w:r>
      <w:r>
        <w:rPr>
          <w:rFonts w:cs="Arial"/>
          <w:bCs/>
          <w:szCs w:val="24"/>
          <w:lang w:val="es-ES"/>
        </w:rPr>
        <w:t>.</w:t>
      </w:r>
    </w:p>
    <w:p w14:paraId="457EF9B9" w14:textId="77777777" w:rsidR="008B7004" w:rsidRDefault="008B7004">
      <w:pPr>
        <w:jc w:val="both"/>
        <w:rPr>
          <w:rFonts w:cs="Arial"/>
          <w:color w:val="000000"/>
          <w:szCs w:val="24"/>
          <w:lang w:val="es-ES" w:eastAsia="es-AR"/>
        </w:rPr>
      </w:pPr>
    </w:p>
    <w:p w14:paraId="14CE1E67" w14:textId="77777777" w:rsidR="008B7004" w:rsidRDefault="005A4257">
      <w:pPr>
        <w:widowControl w:val="0"/>
        <w:jc w:val="both"/>
        <w:rPr>
          <w:rFonts w:cs="Arial"/>
          <w:bCs/>
          <w:szCs w:val="24"/>
          <w:lang w:val="es-ES_tradnl" w:eastAsia="en-US"/>
        </w:rPr>
      </w:pPr>
      <w:r>
        <w:rPr>
          <w:rFonts w:cs="Arial"/>
          <w:bCs/>
          <w:szCs w:val="24"/>
          <w:lang w:val="es-ES_tradnl" w:eastAsia="en-US"/>
        </w:rPr>
        <w:t xml:space="preserve">La Lista de Participantes consta como </w:t>
      </w:r>
      <w:r>
        <w:rPr>
          <w:rFonts w:cs="Arial"/>
          <w:b/>
          <w:bCs/>
          <w:szCs w:val="24"/>
          <w:lang w:val="es-ES_tradnl" w:eastAsia="en-US"/>
        </w:rPr>
        <w:t>ANEXO I</w:t>
      </w:r>
      <w:r>
        <w:rPr>
          <w:rFonts w:cs="Arial"/>
          <w:bCs/>
          <w:szCs w:val="24"/>
          <w:lang w:val="es-ES_tradnl" w:eastAsia="en-US"/>
        </w:rPr>
        <w:t>.</w:t>
      </w:r>
    </w:p>
    <w:p w14:paraId="427121D8" w14:textId="77777777" w:rsidR="008B7004" w:rsidRDefault="008B7004">
      <w:pPr>
        <w:widowControl w:val="0"/>
        <w:jc w:val="both"/>
        <w:rPr>
          <w:rFonts w:cs="Arial"/>
          <w:bCs/>
          <w:szCs w:val="24"/>
          <w:lang w:val="es-ES_tradnl" w:eastAsia="en-US"/>
        </w:rPr>
      </w:pPr>
    </w:p>
    <w:p w14:paraId="092C3FCD" w14:textId="77777777" w:rsidR="008B7004" w:rsidRDefault="005A4257">
      <w:pPr>
        <w:widowControl w:val="0"/>
        <w:jc w:val="both"/>
        <w:rPr>
          <w:rFonts w:cs="Arial"/>
          <w:bCs/>
          <w:szCs w:val="24"/>
          <w:lang w:val="es-ES_tradnl" w:eastAsia="en-US"/>
        </w:rPr>
      </w:pPr>
      <w:r>
        <w:rPr>
          <w:rFonts w:cs="Arial"/>
          <w:bCs/>
          <w:szCs w:val="24"/>
          <w:lang w:val="es-ES_tradnl" w:eastAsia="en-US"/>
        </w:rPr>
        <w:t xml:space="preserve">La Agenda consta como </w:t>
      </w:r>
      <w:r>
        <w:rPr>
          <w:rFonts w:cs="Arial"/>
          <w:b/>
          <w:bCs/>
          <w:szCs w:val="24"/>
          <w:lang w:val="es-ES_tradnl" w:eastAsia="en-US"/>
        </w:rPr>
        <w:t>ANEXO II</w:t>
      </w:r>
      <w:r>
        <w:rPr>
          <w:rFonts w:cs="Arial"/>
          <w:bCs/>
          <w:szCs w:val="24"/>
          <w:lang w:val="es-ES_tradnl" w:eastAsia="en-US"/>
        </w:rPr>
        <w:t>.</w:t>
      </w:r>
    </w:p>
    <w:p w14:paraId="01985745" w14:textId="77777777" w:rsidR="008B7004" w:rsidRDefault="008B7004">
      <w:pPr>
        <w:widowControl w:val="0"/>
        <w:jc w:val="both"/>
        <w:rPr>
          <w:rFonts w:cs="Arial"/>
          <w:bCs/>
          <w:szCs w:val="24"/>
          <w:lang w:val="es-ES_tradnl" w:eastAsia="en-US"/>
        </w:rPr>
      </w:pPr>
    </w:p>
    <w:p w14:paraId="40347051" w14:textId="0BE464B0" w:rsidR="008B7004" w:rsidRDefault="005A4257">
      <w:pPr>
        <w:widowControl w:val="0"/>
        <w:jc w:val="both"/>
        <w:rPr>
          <w:rFonts w:cs="Arial"/>
          <w:bCs/>
          <w:szCs w:val="24"/>
          <w:lang w:val="es-ES"/>
        </w:rPr>
      </w:pPr>
      <w:r>
        <w:rPr>
          <w:rFonts w:cs="Arial"/>
          <w:bCs/>
          <w:szCs w:val="24"/>
          <w:lang w:val="es-ES"/>
        </w:rPr>
        <w:t>En la reunión fueron</w:t>
      </w:r>
      <w:r w:rsidR="00BF2852">
        <w:rPr>
          <w:rFonts w:cs="Arial"/>
          <w:bCs/>
          <w:szCs w:val="24"/>
          <w:lang w:val="es-ES"/>
        </w:rPr>
        <w:t xml:space="preserve"> tratados los siguientes temas:</w:t>
      </w:r>
    </w:p>
    <w:p w14:paraId="36C5B642" w14:textId="77777777" w:rsidR="008B7004" w:rsidRDefault="008B7004">
      <w:pPr>
        <w:widowControl w:val="0"/>
        <w:jc w:val="both"/>
        <w:rPr>
          <w:rFonts w:cs="Arial"/>
          <w:b/>
          <w:szCs w:val="24"/>
          <w:lang w:val="es-ES"/>
        </w:rPr>
      </w:pPr>
    </w:p>
    <w:p w14:paraId="59EDCBDB" w14:textId="77777777" w:rsidR="008B7004" w:rsidRDefault="005A4257">
      <w:pPr>
        <w:pStyle w:val="NormalWeb"/>
        <w:jc w:val="both"/>
        <w:rPr>
          <w:rFonts w:ascii="Arial" w:hAnsi="Arial" w:cs="Arial"/>
          <w:b/>
          <w:color w:val="000000"/>
        </w:rPr>
      </w:pPr>
      <w:r>
        <w:rPr>
          <w:rFonts w:ascii="Arial" w:hAnsi="Arial" w:cs="Arial"/>
          <w:b/>
          <w:lang w:val="es-ES"/>
        </w:rPr>
        <w:t>1.</w:t>
      </w:r>
      <w:r>
        <w:rPr>
          <w:rFonts w:ascii="Arial" w:hAnsi="Arial" w:cs="Arial"/>
          <w:b/>
          <w:color w:val="000000"/>
        </w:rPr>
        <w:t xml:space="preserve"> TEMAS DE INTERÉS COMÚN ENTRE LOS ESTADOS PARTES</w:t>
      </w:r>
    </w:p>
    <w:p w14:paraId="21D8593E" w14:textId="38A357A1" w:rsidR="004C20DA" w:rsidRDefault="005A4257">
      <w:pPr>
        <w:pStyle w:val="NormalWeb"/>
        <w:ind w:firstLine="708"/>
        <w:jc w:val="both"/>
        <w:rPr>
          <w:rFonts w:ascii="Arial" w:hAnsi="Arial" w:cs="Arial"/>
          <w:b/>
          <w:color w:val="000000"/>
        </w:rPr>
      </w:pPr>
      <w:r>
        <w:rPr>
          <w:rFonts w:ascii="Arial" w:hAnsi="Arial" w:cs="Arial"/>
          <w:b/>
          <w:color w:val="000000"/>
        </w:rPr>
        <w:t>1.1</w:t>
      </w:r>
      <w:r w:rsidR="004C20DA">
        <w:rPr>
          <w:rFonts w:ascii="Arial" w:hAnsi="Arial" w:cs="Arial"/>
          <w:b/>
          <w:color w:val="000000"/>
        </w:rPr>
        <w:t>.</w:t>
      </w:r>
      <w:r>
        <w:rPr>
          <w:rFonts w:ascii="Arial" w:hAnsi="Arial" w:cs="Arial"/>
          <w:b/>
          <w:color w:val="000000"/>
        </w:rPr>
        <w:t xml:space="preserve"> </w:t>
      </w:r>
      <w:r w:rsidR="004C20DA">
        <w:rPr>
          <w:rFonts w:ascii="Arial" w:hAnsi="Arial" w:cs="Arial"/>
          <w:b/>
          <w:color w:val="000000"/>
        </w:rPr>
        <w:t>Seguimiento sobre la Influenza Aviar</w:t>
      </w:r>
      <w:r w:rsidR="00BF2852">
        <w:rPr>
          <w:rFonts w:ascii="Arial" w:hAnsi="Arial" w:cs="Arial"/>
          <w:b/>
          <w:color w:val="000000"/>
        </w:rPr>
        <w:t xml:space="preserve"> Altamente Patógena (IAAP)</w:t>
      </w:r>
    </w:p>
    <w:p w14:paraId="5BF78B23" w14:textId="5DBE160A" w:rsidR="00BF2852" w:rsidRDefault="002478E1" w:rsidP="00BF2852">
      <w:pPr>
        <w:jc w:val="both"/>
      </w:pPr>
      <w:r>
        <w:t>Las delegaciones de Argentina</w:t>
      </w:r>
      <w:r w:rsidR="00BF2852">
        <w:t xml:space="preserve"> y</w:t>
      </w:r>
      <w:r>
        <w:t xml:space="preserve"> Uruguay realizaron una presentación del estado de situación de la enfermedad en sus respectivos países, </w:t>
      </w:r>
      <w:r w:rsidRPr="00800D13">
        <w:t xml:space="preserve">las medidas sanitarias adoptadas para la contención de los </w:t>
      </w:r>
      <w:r w:rsidR="00514C46" w:rsidRPr="00800D13">
        <w:t>brotes</w:t>
      </w:r>
      <w:r w:rsidR="00514C46">
        <w:t xml:space="preserve"> y</w:t>
      </w:r>
      <w:r>
        <w:t xml:space="preserve"> las acciones de vigilancia i</w:t>
      </w:r>
      <w:r w:rsidR="00BF2852">
        <w:t>mplementadas en torno a los mismos.</w:t>
      </w:r>
    </w:p>
    <w:p w14:paraId="283929AD" w14:textId="77777777" w:rsidR="00BF2852" w:rsidRDefault="00BF2852" w:rsidP="00BF2852">
      <w:pPr>
        <w:jc w:val="both"/>
      </w:pPr>
    </w:p>
    <w:p w14:paraId="24F6F3BC" w14:textId="77777777" w:rsidR="00BF2852" w:rsidRDefault="00BF2852" w:rsidP="00BF2852">
      <w:pPr>
        <w:pStyle w:val="Textocomentario"/>
        <w:jc w:val="both"/>
        <w:rPr>
          <w:rFonts w:cs="Arial"/>
          <w:bCs/>
          <w:color w:val="000000"/>
          <w:sz w:val="24"/>
          <w:szCs w:val="24"/>
        </w:rPr>
      </w:pPr>
      <w:r>
        <w:rPr>
          <w:sz w:val="24"/>
          <w:szCs w:val="24"/>
        </w:rPr>
        <w:t xml:space="preserve">Con respecto a la </w:t>
      </w:r>
      <w:r w:rsidRPr="00514C46">
        <w:rPr>
          <w:sz w:val="24"/>
          <w:szCs w:val="24"/>
        </w:rPr>
        <w:t xml:space="preserve">delegación de Uruguay </w:t>
      </w:r>
      <w:r>
        <w:rPr>
          <w:rFonts w:cs="Arial"/>
          <w:bCs/>
          <w:color w:val="000000"/>
          <w:sz w:val="24"/>
          <w:szCs w:val="24"/>
        </w:rPr>
        <w:t>l</w:t>
      </w:r>
      <w:r w:rsidRPr="00514C46">
        <w:rPr>
          <w:rFonts w:cs="Arial"/>
          <w:bCs/>
          <w:color w:val="000000"/>
          <w:sz w:val="24"/>
          <w:szCs w:val="24"/>
        </w:rPr>
        <w:t xml:space="preserve">as Dras. Virginia Russi, María Laura Bertalmio y Leticia Luengo del equipo técnico de la Unidad de Epidemiología-UNEPI del Ministerio de Ganadería Agricultura y Pesca presentó al resto de las delegaciones la situación actual de la Influenza Aviar Altamente Patogénica (IAAP) en </w:t>
      </w:r>
      <w:r>
        <w:rPr>
          <w:rFonts w:cs="Arial"/>
          <w:bCs/>
          <w:color w:val="000000"/>
          <w:sz w:val="24"/>
          <w:szCs w:val="24"/>
        </w:rPr>
        <w:t>ese</w:t>
      </w:r>
      <w:r w:rsidRPr="00514C46">
        <w:rPr>
          <w:rFonts w:cs="Arial"/>
          <w:bCs/>
          <w:color w:val="000000"/>
          <w:sz w:val="24"/>
          <w:szCs w:val="24"/>
        </w:rPr>
        <w:t xml:space="preserve"> país. El equipo comenzó con una breve presentación sobre la producción avícola comercial y el Sistema de Monitoreo Avícola que se implementa a nivel nacional. Asimismo, compartió la información de los sistemas de vigilancia pasiva y activa, la ocurrencia de focos de IAAP hasta la fecha, las medidas implementadas en el control de los mismos y la consideración de la vacunación contra la IAAP a ciertas categorías de animales.</w:t>
      </w:r>
    </w:p>
    <w:p w14:paraId="323D7F81" w14:textId="77777777" w:rsidR="00BF2852" w:rsidRDefault="00BF2852" w:rsidP="00BF2852">
      <w:pPr>
        <w:pStyle w:val="Textocomentario"/>
        <w:jc w:val="both"/>
        <w:rPr>
          <w:rFonts w:cs="Arial"/>
          <w:bCs/>
          <w:color w:val="000000"/>
          <w:sz w:val="24"/>
          <w:szCs w:val="24"/>
        </w:rPr>
      </w:pPr>
    </w:p>
    <w:p w14:paraId="184C5021" w14:textId="7EA570B8" w:rsidR="00BF2852" w:rsidRPr="00BF2852" w:rsidRDefault="00BF2852" w:rsidP="00BF2852">
      <w:pPr>
        <w:pStyle w:val="Textocomentario"/>
        <w:jc w:val="both"/>
        <w:rPr>
          <w:rFonts w:cs="Arial"/>
          <w:bCs/>
          <w:color w:val="000000"/>
          <w:sz w:val="24"/>
          <w:szCs w:val="24"/>
        </w:rPr>
      </w:pPr>
      <w:r w:rsidRPr="00BF2852">
        <w:rPr>
          <w:rFonts w:cs="Arial"/>
          <w:bCs/>
          <w:color w:val="000000"/>
          <w:sz w:val="24"/>
          <w:szCs w:val="24"/>
        </w:rPr>
        <w:t>Las delegaciones de Brasil y Paraguay presentaron las estrategias de vigilancia activa llevadas a cabo en aves de corral, traspatio y silvestres y las medidas de refuerzo de la vigilancia en frontera, cuerpos de agua y zonas de alto riesgo que están implementando en virtud del avance de la enfermedad en los países vecinos</w:t>
      </w:r>
      <w:r w:rsidR="006548DF">
        <w:rPr>
          <w:rFonts w:cs="Arial"/>
          <w:bCs/>
          <w:color w:val="000000"/>
          <w:sz w:val="24"/>
          <w:szCs w:val="24"/>
        </w:rPr>
        <w:t>.</w:t>
      </w:r>
      <w:r w:rsidRPr="00BF2852">
        <w:rPr>
          <w:rFonts w:cs="Arial"/>
          <w:bCs/>
          <w:color w:val="000000"/>
          <w:sz w:val="24"/>
          <w:szCs w:val="24"/>
        </w:rPr>
        <w:t xml:space="preserve"> </w:t>
      </w:r>
    </w:p>
    <w:p w14:paraId="7382CC5D" w14:textId="77777777" w:rsidR="00BF2852" w:rsidRDefault="00BF2852" w:rsidP="00BF2852">
      <w:pPr>
        <w:jc w:val="both"/>
      </w:pPr>
    </w:p>
    <w:p w14:paraId="38052083" w14:textId="70B0F8D1" w:rsidR="00BF2852" w:rsidRDefault="00BF2852" w:rsidP="00BF2852">
      <w:pPr>
        <w:jc w:val="both"/>
      </w:pPr>
      <w:r>
        <w:t xml:space="preserve">En vista del avance de la IAAP en los países de la región se invitó a participar de la jornada del día lunes 27.03.2023 a miembros de los Servicios Veterinarios de Bolivia, Chile y </w:t>
      </w:r>
      <w:r w:rsidRPr="00514C46">
        <w:t>Perú</w:t>
      </w:r>
      <w:r>
        <w:t xml:space="preserve">. </w:t>
      </w:r>
    </w:p>
    <w:p w14:paraId="46C10BE7" w14:textId="7B12C29D" w:rsidR="002478E1" w:rsidRDefault="006548DF" w:rsidP="00BF2852">
      <w:pPr>
        <w:jc w:val="both"/>
      </w:pPr>
      <w:r>
        <w:t>Lo</w:t>
      </w:r>
      <w:r w:rsidR="002478E1">
        <w:t xml:space="preserve">s </w:t>
      </w:r>
      <w:r>
        <w:t>representantes de</w:t>
      </w:r>
      <w:r w:rsidR="002478E1">
        <w:t xml:space="preserve"> </w:t>
      </w:r>
      <w:r>
        <w:t xml:space="preserve">Chile, </w:t>
      </w:r>
      <w:r w:rsidR="002478E1">
        <w:t xml:space="preserve">Bolivia y </w:t>
      </w:r>
      <w:r w:rsidR="002478E1" w:rsidRPr="00514C46">
        <w:t>Perú</w:t>
      </w:r>
      <w:r w:rsidR="002478E1">
        <w:t xml:space="preserve"> compartieron los puntos más relevantes de la estrategia de vacunación que se</w:t>
      </w:r>
      <w:r>
        <w:t xml:space="preserve"> está ejecutando en sus países.</w:t>
      </w:r>
    </w:p>
    <w:p w14:paraId="1EB93934" w14:textId="558A9988" w:rsidR="00514C46" w:rsidRDefault="00514C46" w:rsidP="006548DF">
      <w:pPr>
        <w:jc w:val="both"/>
      </w:pPr>
    </w:p>
    <w:p w14:paraId="4E33089D" w14:textId="3C04CEBE" w:rsidR="002478E1" w:rsidRDefault="002478E1" w:rsidP="00BF2852">
      <w:pPr>
        <w:jc w:val="both"/>
      </w:pPr>
      <w:r>
        <w:t>Se intercambió información sobre las estrategias implementadas para la restitución del comercio de aves vivas, genética y productos de origen aviar. Se enfatizó en la implementación de la zonificación como estrategia y se mencionaron puntos relevantes para el reconocimiento de las zonas de control sanitario entre los Estados Partes y entre los demás países de la región. Se compartió la experiencia de los países de la región en lo que respecta al reconocimiento de compartimentos para la exportación de gené</w:t>
      </w:r>
      <w:r w:rsidR="006548DF">
        <w:t>tica aviar por terceros países.</w:t>
      </w:r>
    </w:p>
    <w:p w14:paraId="119E9E3B" w14:textId="0D2901FF" w:rsidR="004C20DA" w:rsidRDefault="004C20DA" w:rsidP="002478E1">
      <w:pPr>
        <w:ind w:left="284"/>
        <w:jc w:val="both"/>
      </w:pPr>
    </w:p>
    <w:p w14:paraId="00326676" w14:textId="1DDD6186" w:rsidR="004C20DA" w:rsidRPr="004C20DA" w:rsidRDefault="004C20DA" w:rsidP="004C20DA">
      <w:pPr>
        <w:spacing w:after="160" w:line="259" w:lineRule="auto"/>
        <w:rPr>
          <w:b/>
          <w:bCs/>
        </w:rPr>
      </w:pPr>
      <w:r>
        <w:rPr>
          <w:b/>
          <w:bCs/>
        </w:rPr>
        <w:t xml:space="preserve">   1.2.  </w:t>
      </w:r>
      <w:r w:rsidRPr="004C20DA">
        <w:rPr>
          <w:b/>
          <w:bCs/>
        </w:rPr>
        <w:t>Seguimiento sob</w:t>
      </w:r>
      <w:r w:rsidR="006548DF">
        <w:rPr>
          <w:b/>
          <w:bCs/>
        </w:rPr>
        <w:t>re Peste Porcina Africana (PPA)</w:t>
      </w:r>
    </w:p>
    <w:p w14:paraId="39C997CE" w14:textId="6B73F675" w:rsidR="006548DF" w:rsidRDefault="004C20DA" w:rsidP="006548DF">
      <w:pPr>
        <w:jc w:val="both"/>
      </w:pPr>
      <w:r>
        <w:t xml:space="preserve">La presentación de la delegación argentina estuvo a cargo del Programa de Enfermedades de los </w:t>
      </w:r>
      <w:r w:rsidR="006548DF">
        <w:t>Porcinos del SENASA. Se mencionó</w:t>
      </w:r>
      <w:r>
        <w:t xml:space="preserve"> que anualmente se </w:t>
      </w:r>
      <w:r w:rsidR="006548DF">
        <w:t>realiza la</w:t>
      </w:r>
      <w:r>
        <w:t xml:space="preserve"> actualización de la lista de países afectados por PPA la cual se comparte con las oficinas locales y, especialmente, con el personal oficial de puestos de frontera con el fin de que se mantengan actualizados sobre los países que revisten mayor riesgo de ingreso y de esta forma se actualicen periódica</w:t>
      </w:r>
      <w:r w:rsidR="006548DF">
        <w:t>mente los controles dirigidos a</w:t>
      </w:r>
      <w:r>
        <w:t xml:space="preserve"> pasajeros y cargas.</w:t>
      </w:r>
    </w:p>
    <w:p w14:paraId="541565C7" w14:textId="77777777" w:rsidR="006548DF" w:rsidRDefault="006548DF" w:rsidP="006548DF">
      <w:pPr>
        <w:jc w:val="both"/>
      </w:pPr>
    </w:p>
    <w:p w14:paraId="6DE61945" w14:textId="05D19387" w:rsidR="004C20DA" w:rsidRDefault="004C20DA" w:rsidP="006548DF">
      <w:pPr>
        <w:jc w:val="both"/>
      </w:pPr>
      <w:r>
        <w:t xml:space="preserve">Se describieron las actividades del grupo ad hoc de Sanidad Porcina del CVP realizadas durante 2022 y aquellas iniciadas en 2023 que se encuentran actualmente en progreso. </w:t>
      </w:r>
    </w:p>
    <w:p w14:paraId="7155766C" w14:textId="5FFCC53E" w:rsidR="004C20DA" w:rsidRDefault="004C20DA" w:rsidP="004C20DA"/>
    <w:p w14:paraId="429C7A56" w14:textId="77777777" w:rsidR="006548DF" w:rsidRDefault="004C20DA" w:rsidP="006548DF">
      <w:pPr>
        <w:jc w:val="both"/>
      </w:pPr>
      <w:r>
        <w:t xml:space="preserve">La delegación de </w:t>
      </w:r>
      <w:r w:rsidR="006548DF">
        <w:t>Brasil comentó que para el segundo semestre de 2023</w:t>
      </w:r>
      <w:r>
        <w:t xml:space="preserve"> se prevé la realización de un simulacro conjunto para </w:t>
      </w:r>
      <w:r w:rsidR="006548DF">
        <w:t>enfermedades de los cerdos</w:t>
      </w:r>
      <w:r>
        <w:t>. El mismo estaba pautado para inicios de 2023 pero se retrasó debido a la realización del simulacro para IAAP pautado para mayo.</w:t>
      </w:r>
    </w:p>
    <w:p w14:paraId="1C79E06B" w14:textId="77777777" w:rsidR="006548DF" w:rsidRDefault="006548DF" w:rsidP="006548DF">
      <w:pPr>
        <w:jc w:val="both"/>
      </w:pPr>
    </w:p>
    <w:p w14:paraId="2CA58A61" w14:textId="77777777" w:rsidR="006548DF" w:rsidRDefault="004C20DA" w:rsidP="006548DF">
      <w:pPr>
        <w:jc w:val="both"/>
      </w:pPr>
      <w:r>
        <w:t>En cuanto a los co</w:t>
      </w:r>
      <w:r w:rsidR="006548DF">
        <w:t>ntroles en frontera, se mencionó</w:t>
      </w:r>
      <w:r>
        <w:t xml:space="preserve"> que </w:t>
      </w:r>
      <w:r w:rsidR="006548DF">
        <w:t xml:space="preserve">se mantuvo </w:t>
      </w:r>
      <w:r>
        <w:t xml:space="preserve">la restricción de ingreso de productos de origen porcino desde países afectados o que no cumplan con un tratamiento térmico suficiente para mitigar el riesgo del virus. </w:t>
      </w:r>
      <w:r w:rsidR="006548DF">
        <w:t>Asimismo, q</w:t>
      </w:r>
      <w:r>
        <w:t xml:space="preserve">ue los productos madurados </w:t>
      </w:r>
      <w:r w:rsidR="006548DF">
        <w:t xml:space="preserve">que ingresan con pasajeros </w:t>
      </w:r>
      <w:r>
        <w:t xml:space="preserve">se encuentran prohibidos independientemente del tiempo de maduración de los mismos. Al respecto, la delegación de Brasil compartió un listado donde se detallan los productos de origen animal autorizados </w:t>
      </w:r>
      <w:r w:rsidR="006548DF">
        <w:t>para el ingreso hacia ese país.</w:t>
      </w:r>
    </w:p>
    <w:p w14:paraId="3A9F5AD7" w14:textId="77777777" w:rsidR="006548DF" w:rsidRDefault="006548DF" w:rsidP="006548DF">
      <w:pPr>
        <w:jc w:val="both"/>
      </w:pPr>
    </w:p>
    <w:p w14:paraId="78EA95A0" w14:textId="77777777" w:rsidR="006548DF" w:rsidRDefault="004C20DA" w:rsidP="006548DF">
      <w:pPr>
        <w:jc w:val="both"/>
      </w:pPr>
      <w:r>
        <w:t xml:space="preserve">Con relación a la vigilancia activa de PPA, la cual se realiza en conjunto con </w:t>
      </w:r>
      <w:r w:rsidR="006548DF">
        <w:t>peste porcina clásica (</w:t>
      </w:r>
      <w:r>
        <w:t>PPC</w:t>
      </w:r>
      <w:r w:rsidR="006548DF">
        <w:t>)</w:t>
      </w:r>
      <w:r>
        <w:t xml:space="preserve">, en mataderos y granjas reproductoras se menciona que la misma se intensificó. </w:t>
      </w:r>
    </w:p>
    <w:p w14:paraId="412A47F3" w14:textId="77777777" w:rsidR="006548DF" w:rsidRDefault="006548DF" w:rsidP="006548DF">
      <w:pPr>
        <w:jc w:val="both"/>
      </w:pPr>
    </w:p>
    <w:p w14:paraId="3BEB3975" w14:textId="77777777" w:rsidR="006548DF" w:rsidRDefault="004C20DA" w:rsidP="006548DF">
      <w:pPr>
        <w:jc w:val="both"/>
      </w:pPr>
      <w:r>
        <w:t>La</w:t>
      </w:r>
      <w:r w:rsidR="006548DF">
        <w:t xml:space="preserve"> delegación de Paraguay mencionó</w:t>
      </w:r>
      <w:r>
        <w:t xml:space="preserve"> que se continúa con la restricción de ingreso de productos porcinos en los puntos de control de ingreso de pasajeros desde países afectados, por ejemplo, Alemania y República Dominicana.</w:t>
      </w:r>
    </w:p>
    <w:p w14:paraId="2FF944BC" w14:textId="77777777" w:rsidR="006548DF" w:rsidRDefault="006548DF" w:rsidP="006548DF">
      <w:pPr>
        <w:jc w:val="both"/>
      </w:pPr>
    </w:p>
    <w:p w14:paraId="7CB84ECE" w14:textId="77777777" w:rsidR="000240F2" w:rsidRDefault="004C20DA" w:rsidP="000240F2">
      <w:pPr>
        <w:jc w:val="both"/>
      </w:pPr>
      <w:r>
        <w:t>Asimismo, se intensificó la vigilancia en los pu</w:t>
      </w:r>
      <w:r w:rsidR="000240F2">
        <w:t xml:space="preserve">ntos </w:t>
      </w:r>
      <w:r>
        <w:t>de ingreso</w:t>
      </w:r>
      <w:r w:rsidR="000240F2">
        <w:t xml:space="preserve"> y puestos de control internos</w:t>
      </w:r>
      <w:r>
        <w:t>.</w:t>
      </w:r>
      <w:r w:rsidR="00F95E12">
        <w:t xml:space="preserve"> </w:t>
      </w:r>
      <w:r>
        <w:t>Además, se continuó con diferentes actividades de comunicación y difusión orientadas a la población general y al sector productivo con el fin de concientizar a la población sobre el impacto que tendría el ingreso de la enfermedad. Dichas actividades se intensificaron en frontera, puestos de control y escuelas rurales.</w:t>
      </w:r>
    </w:p>
    <w:p w14:paraId="2B8F0763" w14:textId="77777777" w:rsidR="000240F2" w:rsidRDefault="000240F2" w:rsidP="000240F2">
      <w:pPr>
        <w:jc w:val="both"/>
      </w:pPr>
    </w:p>
    <w:p w14:paraId="3023F4F1" w14:textId="77777777" w:rsidR="000240F2" w:rsidRDefault="004C20DA" w:rsidP="000240F2">
      <w:pPr>
        <w:jc w:val="both"/>
      </w:pPr>
      <w:r>
        <w:t xml:space="preserve">Con relación a la vigilancia activa en establecimientos porcinos, se menciona que continúa la vigilancia permanente y que se llevó a cabo un rediseño del muestreo serológico anual para PPA y otras enfermedades porcinas (PPC, Aujeszky, </w:t>
      </w:r>
      <w:r w:rsidR="000240F2">
        <w:t>síndrome respiratorio reproductivo porcino –</w:t>
      </w:r>
      <w:r>
        <w:t>PRRS</w:t>
      </w:r>
      <w:r w:rsidR="000240F2">
        <w:t>-</w:t>
      </w:r>
      <w:r>
        <w:t>) el cual se prevé completar en julio-agosto.</w:t>
      </w:r>
    </w:p>
    <w:p w14:paraId="21D49530" w14:textId="77777777" w:rsidR="000240F2" w:rsidRDefault="000240F2" w:rsidP="000240F2">
      <w:pPr>
        <w:jc w:val="both"/>
      </w:pPr>
    </w:p>
    <w:p w14:paraId="7B861489" w14:textId="76C8D95A" w:rsidR="004C20DA" w:rsidRDefault="000240F2" w:rsidP="000240F2">
      <w:pPr>
        <w:jc w:val="both"/>
      </w:pPr>
      <w:r>
        <w:t>Por otro lado, comunicó sobre</w:t>
      </w:r>
      <w:r w:rsidR="004C20DA">
        <w:t xml:space="preserve"> la implementación del sistema SIGOR porcino, un sistema informatizado que permite la carga de datos de los establecimientos porcinos de todo el país lo que facilita su caracterización e identificación y la trazabilidad de los animales y productos que ingresan y egresan de los mismos. </w:t>
      </w:r>
    </w:p>
    <w:p w14:paraId="61CEBAF6" w14:textId="3EEB0DD4" w:rsidR="004C20DA" w:rsidRDefault="004C20DA" w:rsidP="004C20DA">
      <w:pPr>
        <w:ind w:left="284"/>
        <w:jc w:val="both"/>
      </w:pPr>
    </w:p>
    <w:p w14:paraId="3D6D83CE" w14:textId="6C997F60" w:rsidR="002478E1" w:rsidRPr="004C20DA" w:rsidRDefault="004C20DA" w:rsidP="000240F2">
      <w:pPr>
        <w:jc w:val="both"/>
      </w:pPr>
      <w:r>
        <w:t>L</w:t>
      </w:r>
      <w:r w:rsidR="000240F2">
        <w:t>a delegación de Uruguay mencionó</w:t>
      </w:r>
      <w:r>
        <w:t xml:space="preserve"> que desde la última reunión MERCOSUR se mantuvieron las mismas acciones sin cambios en su implementación.</w:t>
      </w:r>
    </w:p>
    <w:p w14:paraId="34C4D480" w14:textId="3FF5B113" w:rsidR="008B7004" w:rsidRDefault="005A4257">
      <w:pPr>
        <w:pStyle w:val="NormalWeb"/>
        <w:jc w:val="both"/>
        <w:rPr>
          <w:rFonts w:ascii="Arial" w:hAnsi="Arial" w:cs="Arial"/>
          <w:b/>
          <w:color w:val="000000"/>
        </w:rPr>
      </w:pPr>
      <w:r>
        <w:rPr>
          <w:rFonts w:ascii="Arial" w:hAnsi="Arial" w:cs="Arial"/>
          <w:bCs/>
          <w:color w:val="000000"/>
        </w:rPr>
        <w:t xml:space="preserve">Las presentaciones constan </w:t>
      </w:r>
      <w:r w:rsidR="00333FEC">
        <w:rPr>
          <w:rFonts w:ascii="Arial" w:hAnsi="Arial" w:cs="Arial"/>
          <w:bCs/>
          <w:color w:val="000000"/>
        </w:rPr>
        <w:t xml:space="preserve">en el siguiente enlace </w:t>
      </w:r>
      <w:hyperlink r:id="rId8" w:history="1">
        <w:r w:rsidR="00333FEC" w:rsidRPr="00333FEC">
          <w:rPr>
            <w:rFonts w:ascii="Arial" w:hAnsi="Arial"/>
            <w:bCs/>
            <w:color w:val="000000"/>
          </w:rPr>
          <w:t>https://nube.senasa.gob.ar/s/suGY5mcaAbS9De9</w:t>
        </w:r>
      </w:hyperlink>
      <w:r w:rsidR="00333FEC" w:rsidRPr="00333FEC">
        <w:rPr>
          <w:rFonts w:ascii="Arial" w:hAnsi="Arial" w:cs="Arial"/>
          <w:bCs/>
          <w:color w:val="000000"/>
        </w:rPr>
        <w:t xml:space="preserve"> </w:t>
      </w:r>
      <w:r w:rsidRPr="00333FEC">
        <w:rPr>
          <w:rFonts w:ascii="Arial" w:hAnsi="Arial" w:cs="Arial"/>
          <w:bCs/>
          <w:color w:val="000000"/>
        </w:rPr>
        <w:t>.</w:t>
      </w:r>
    </w:p>
    <w:p w14:paraId="7E190BD0" w14:textId="77777777" w:rsidR="008B7004" w:rsidRDefault="005A4257">
      <w:pPr>
        <w:pStyle w:val="NormalWeb"/>
        <w:jc w:val="both"/>
        <w:rPr>
          <w:rFonts w:ascii="Arial" w:hAnsi="Arial" w:cs="Arial"/>
          <w:b/>
          <w:color w:val="000000"/>
        </w:rPr>
      </w:pPr>
      <w:r>
        <w:rPr>
          <w:rFonts w:ascii="Arial" w:hAnsi="Arial" w:cs="Arial"/>
          <w:b/>
          <w:color w:val="000000"/>
        </w:rPr>
        <w:t>2. ELABORACIÓN, REVISIÓN Y/O ACTUALIZACIÓN DE LA NORMATIVA</w:t>
      </w:r>
    </w:p>
    <w:p w14:paraId="21E7182F" w14:textId="152DAF70" w:rsidR="008B7004" w:rsidRDefault="005A4257">
      <w:pPr>
        <w:pStyle w:val="NormalWeb"/>
        <w:jc w:val="both"/>
        <w:rPr>
          <w:rFonts w:ascii="Arial" w:hAnsi="Arial" w:cs="Arial"/>
          <w:b/>
          <w:color w:val="000000"/>
        </w:rPr>
      </w:pPr>
      <w:r>
        <w:rPr>
          <w:rFonts w:ascii="Arial" w:hAnsi="Arial" w:cs="Arial"/>
          <w:b/>
          <w:color w:val="000000"/>
        </w:rPr>
        <w:t>2.1. Requisitos zoosanitarios de los Estados Partes para la importación de semen bovino y bubalino congel</w:t>
      </w:r>
      <w:r w:rsidR="00B94E07">
        <w:rPr>
          <w:rFonts w:ascii="Arial" w:hAnsi="Arial" w:cs="Arial"/>
          <w:b/>
          <w:color w:val="000000"/>
        </w:rPr>
        <w:t>ado (Derogación de las Resoluciones</w:t>
      </w:r>
      <w:r>
        <w:rPr>
          <w:rFonts w:ascii="Arial" w:hAnsi="Arial" w:cs="Arial"/>
          <w:b/>
          <w:color w:val="000000"/>
        </w:rPr>
        <w:t xml:space="preserve"> GMC Nº 49/14 y 42/18). </w:t>
      </w:r>
    </w:p>
    <w:p w14:paraId="6E1FA429" w14:textId="7BA08AF0" w:rsidR="00DA6358" w:rsidRDefault="005A4257">
      <w:pPr>
        <w:pStyle w:val="NormalWeb"/>
        <w:jc w:val="both"/>
        <w:rPr>
          <w:rFonts w:ascii="Arial" w:hAnsi="Arial" w:cs="Arial"/>
          <w:bCs/>
          <w:color w:val="000000"/>
        </w:rPr>
      </w:pPr>
      <w:r>
        <w:rPr>
          <w:rFonts w:ascii="Arial" w:hAnsi="Arial" w:cs="Arial"/>
          <w:bCs/>
          <w:color w:val="000000"/>
        </w:rPr>
        <w:t>Las delegaciones finalizaron con la revisión y elaboración del proyecto de Resolución “Requisitos zoosanitarios de los Estados Partes para la importación de semen bovino y bubalino congel</w:t>
      </w:r>
      <w:r w:rsidR="00B94E07">
        <w:rPr>
          <w:rFonts w:ascii="Arial" w:hAnsi="Arial" w:cs="Arial"/>
          <w:bCs/>
          <w:color w:val="000000"/>
        </w:rPr>
        <w:t>ado (Derogación de las Resoluciones</w:t>
      </w:r>
      <w:r>
        <w:rPr>
          <w:rFonts w:ascii="Arial" w:hAnsi="Arial" w:cs="Arial"/>
          <w:bCs/>
          <w:color w:val="000000"/>
        </w:rPr>
        <w:t xml:space="preserve"> GMC Nº 49/14 y 42/18). </w:t>
      </w:r>
      <w:r w:rsidR="00DA6358">
        <w:rPr>
          <w:rFonts w:ascii="Arial" w:hAnsi="Arial" w:cs="Arial"/>
          <w:bCs/>
          <w:color w:val="000000"/>
        </w:rPr>
        <w:t>El mismo se eleva a consideración de los Coordinadores Nacionales del SGT Nº</w:t>
      </w:r>
      <w:r w:rsidR="00B94E07">
        <w:rPr>
          <w:rFonts w:ascii="Arial" w:hAnsi="Arial" w:cs="Arial"/>
          <w:bCs/>
          <w:color w:val="000000"/>
        </w:rPr>
        <w:t xml:space="preserve"> </w:t>
      </w:r>
      <w:r w:rsidR="00DA6358">
        <w:rPr>
          <w:rFonts w:ascii="Arial" w:hAnsi="Arial" w:cs="Arial"/>
          <w:bCs/>
          <w:color w:val="000000"/>
        </w:rPr>
        <w:t xml:space="preserve">8 y constan las versiones en español y portugués en </w:t>
      </w:r>
      <w:r w:rsidR="00DA6358">
        <w:rPr>
          <w:rFonts w:ascii="Arial" w:hAnsi="Arial" w:cs="Arial"/>
          <w:b/>
          <w:bCs/>
          <w:color w:val="000000"/>
        </w:rPr>
        <w:t xml:space="preserve">Anexo </w:t>
      </w:r>
      <w:r w:rsidR="00333FEC">
        <w:rPr>
          <w:rFonts w:ascii="Arial" w:hAnsi="Arial" w:cs="Arial"/>
          <w:b/>
          <w:bCs/>
          <w:color w:val="000000"/>
        </w:rPr>
        <w:t>I</w:t>
      </w:r>
      <w:r w:rsidR="008D1873">
        <w:rPr>
          <w:rFonts w:ascii="Arial" w:hAnsi="Arial" w:cs="Arial"/>
          <w:b/>
          <w:bCs/>
          <w:color w:val="000000"/>
        </w:rPr>
        <w:t>V</w:t>
      </w:r>
      <w:r w:rsidR="00DA6358">
        <w:rPr>
          <w:rFonts w:ascii="Arial" w:hAnsi="Arial" w:cs="Arial"/>
          <w:b/>
          <w:bCs/>
          <w:color w:val="000000"/>
        </w:rPr>
        <w:t>.</w:t>
      </w:r>
    </w:p>
    <w:p w14:paraId="023EC169" w14:textId="58995939" w:rsidR="008B7004" w:rsidRDefault="005A4257" w:rsidP="00DA6358">
      <w:pPr>
        <w:pStyle w:val="NormalWeb"/>
        <w:jc w:val="both"/>
        <w:rPr>
          <w:rFonts w:ascii="Arial" w:hAnsi="Arial" w:cs="Arial"/>
          <w:b/>
          <w:color w:val="000000"/>
        </w:rPr>
      </w:pPr>
      <w:r>
        <w:rPr>
          <w:rFonts w:ascii="Arial" w:hAnsi="Arial" w:cs="Arial"/>
          <w:b/>
          <w:color w:val="000000"/>
        </w:rPr>
        <w:t>2.2. Armonización de lo</w:t>
      </w:r>
      <w:r w:rsidR="00B94E07">
        <w:rPr>
          <w:rFonts w:ascii="Arial" w:hAnsi="Arial" w:cs="Arial"/>
          <w:b/>
          <w:color w:val="000000"/>
        </w:rPr>
        <w:t xml:space="preserve">s procedimientos cuarentenarios </w:t>
      </w:r>
      <w:r>
        <w:rPr>
          <w:rFonts w:ascii="Arial" w:hAnsi="Arial" w:cs="Arial"/>
          <w:b/>
          <w:color w:val="000000"/>
        </w:rPr>
        <w:t>``Condiciones que deben cumplir las unidades habilitadas para cuarentena animal en el país de origen o de destino y disposiciones para su funcionamiento’’ (revisión de la Resolución GMC N° 21/97</w:t>
      </w:r>
      <w:r w:rsidR="00B94E07">
        <w:rPr>
          <w:rFonts w:ascii="Arial" w:hAnsi="Arial" w:cs="Arial"/>
          <w:b/>
          <w:color w:val="000000"/>
        </w:rPr>
        <w:t xml:space="preserve"> </w:t>
      </w:r>
      <w:r>
        <w:rPr>
          <w:rFonts w:ascii="Arial" w:hAnsi="Arial" w:cs="Arial"/>
          <w:b/>
          <w:color w:val="000000"/>
        </w:rPr>
        <w:t xml:space="preserve">con relación </w:t>
      </w:r>
      <w:r w:rsidR="00B94E07">
        <w:rPr>
          <w:rFonts w:ascii="Arial" w:hAnsi="Arial" w:cs="Arial"/>
          <w:b/>
          <w:color w:val="000000"/>
        </w:rPr>
        <w:t xml:space="preserve">a </w:t>
      </w:r>
      <w:r>
        <w:rPr>
          <w:rFonts w:ascii="Arial" w:hAnsi="Arial" w:cs="Arial"/>
          <w:b/>
          <w:color w:val="000000"/>
        </w:rPr>
        <w:t>la importación y exportación de animales vivos a los Estados Partes del MERCOSUR).</w:t>
      </w:r>
    </w:p>
    <w:p w14:paraId="3C8E8308" w14:textId="0A1A1682" w:rsidR="008B7004" w:rsidRDefault="005A4257">
      <w:pPr>
        <w:pStyle w:val="NormalWeb"/>
        <w:jc w:val="both"/>
        <w:rPr>
          <w:rFonts w:ascii="Arial" w:hAnsi="Arial" w:cs="Arial"/>
          <w:bCs/>
          <w:color w:val="000000"/>
        </w:rPr>
      </w:pPr>
      <w:r>
        <w:rPr>
          <w:rFonts w:ascii="Arial" w:hAnsi="Arial" w:cs="Arial"/>
          <w:bCs/>
          <w:color w:val="000000"/>
        </w:rPr>
        <w:t>Las delegaciones continuaron con la revisión y elaborac</w:t>
      </w:r>
      <w:r w:rsidR="00B94E07">
        <w:rPr>
          <w:rFonts w:ascii="Arial" w:hAnsi="Arial" w:cs="Arial"/>
          <w:bCs/>
          <w:color w:val="000000"/>
        </w:rPr>
        <w:t>ión del proyecto de Resolución “</w:t>
      </w:r>
      <w:r>
        <w:rPr>
          <w:rFonts w:ascii="Arial" w:hAnsi="Arial" w:cs="Arial"/>
          <w:bCs/>
          <w:color w:val="000000"/>
        </w:rPr>
        <w:t>Condiciones que deben cumplir las unidades habilitadas para cuarentena animal en el país de origen o de destino y disposiciones para su funcionamiento’’ (revisión de la Resolución GMC N° 21/97</w:t>
      </w:r>
      <w:r w:rsidR="00B94E07">
        <w:rPr>
          <w:rFonts w:ascii="Arial" w:hAnsi="Arial" w:cs="Arial"/>
          <w:bCs/>
          <w:color w:val="000000"/>
        </w:rPr>
        <w:t xml:space="preserve"> </w:t>
      </w:r>
      <w:r>
        <w:rPr>
          <w:rFonts w:ascii="Arial" w:hAnsi="Arial" w:cs="Arial"/>
          <w:bCs/>
          <w:color w:val="000000"/>
        </w:rPr>
        <w:t xml:space="preserve">con relación </w:t>
      </w:r>
      <w:r w:rsidR="00B94E07">
        <w:rPr>
          <w:rFonts w:ascii="Arial" w:hAnsi="Arial" w:cs="Arial"/>
          <w:bCs/>
          <w:color w:val="000000"/>
        </w:rPr>
        <w:t>a</w:t>
      </w:r>
      <w:r>
        <w:rPr>
          <w:rFonts w:ascii="Arial" w:hAnsi="Arial" w:cs="Arial"/>
          <w:bCs/>
          <w:color w:val="000000"/>
        </w:rPr>
        <w:t xml:space="preserve"> la importación y exportación de animales vivos a los Estados Partes del MERCOSUR).</w:t>
      </w:r>
    </w:p>
    <w:p w14:paraId="0E00CC82" w14:textId="57FF97BF" w:rsidR="00B94E07" w:rsidRDefault="00B94E07">
      <w:pPr>
        <w:pStyle w:val="NormalWeb"/>
        <w:jc w:val="both"/>
        <w:rPr>
          <w:rFonts w:ascii="Arial" w:hAnsi="Arial" w:cs="Arial"/>
          <w:bCs/>
          <w:color w:val="000000"/>
        </w:rPr>
      </w:pPr>
      <w:r>
        <w:rPr>
          <w:rFonts w:ascii="Arial" w:hAnsi="Arial" w:cs="Arial"/>
          <w:bCs/>
          <w:color w:val="000000"/>
        </w:rPr>
        <w:t>Si bien el proyecto cuenta con un alto grado de avance se continuará con su análisis en la próxima reunión.</w:t>
      </w:r>
    </w:p>
    <w:p w14:paraId="1B29910D" w14:textId="77777777" w:rsidR="008B7004" w:rsidRDefault="005A4257" w:rsidP="008A0905">
      <w:pPr>
        <w:pStyle w:val="NormalWeb"/>
        <w:jc w:val="both"/>
        <w:rPr>
          <w:rFonts w:ascii="Arial" w:hAnsi="Arial" w:cs="Arial"/>
          <w:b/>
          <w:color w:val="000000"/>
        </w:rPr>
      </w:pPr>
      <w:r>
        <w:rPr>
          <w:rFonts w:ascii="Arial" w:hAnsi="Arial" w:cs="Arial"/>
          <w:b/>
          <w:color w:val="000000"/>
        </w:rPr>
        <w:t>2.3 Actualización Requisitos zoosanitarios para importación de caninos y felinos domésticos a los Estados Partes. (Res. GMC N° 17/15)</w:t>
      </w:r>
    </w:p>
    <w:p w14:paraId="24AE62B6" w14:textId="398DC431" w:rsidR="008B7004" w:rsidRDefault="005A4257">
      <w:pPr>
        <w:pStyle w:val="NormalWeb"/>
        <w:jc w:val="both"/>
        <w:rPr>
          <w:rFonts w:ascii="Arial" w:hAnsi="Arial" w:cs="Arial"/>
          <w:bCs/>
          <w:color w:val="000000"/>
        </w:rPr>
      </w:pPr>
      <w:r>
        <w:rPr>
          <w:rFonts w:ascii="Arial" w:hAnsi="Arial" w:cs="Arial"/>
          <w:bCs/>
          <w:color w:val="000000"/>
        </w:rPr>
        <w:t xml:space="preserve">Las delegaciones </w:t>
      </w:r>
      <w:r w:rsidR="007F62B9">
        <w:rPr>
          <w:rFonts w:ascii="Arial" w:hAnsi="Arial" w:cs="Arial"/>
          <w:bCs/>
          <w:color w:val="000000"/>
        </w:rPr>
        <w:t>iniciarán l</w:t>
      </w:r>
      <w:r>
        <w:rPr>
          <w:rFonts w:ascii="Arial" w:hAnsi="Arial" w:cs="Arial"/>
          <w:bCs/>
          <w:color w:val="000000"/>
        </w:rPr>
        <w:t xml:space="preserve">a revisión y elaboración del proyecto de Resolución “Actualización Requisitos zoosanitarios para importación de caninos y felinos domésticos a los Estados Partes. (Res. GMC N° 17/15)” </w:t>
      </w:r>
      <w:r w:rsidR="007F62B9" w:rsidRPr="00B94E07">
        <w:rPr>
          <w:rFonts w:ascii="Arial" w:hAnsi="Arial" w:cs="Arial"/>
          <w:bCs/>
          <w:color w:val="000000"/>
        </w:rPr>
        <w:t>en la próxima reunión</w:t>
      </w:r>
      <w:r w:rsidR="007F62B9">
        <w:rPr>
          <w:rFonts w:ascii="Arial" w:hAnsi="Arial" w:cs="Arial"/>
          <w:bCs/>
          <w:color w:val="000000"/>
        </w:rPr>
        <w:t>.</w:t>
      </w:r>
    </w:p>
    <w:p w14:paraId="5C081156" w14:textId="58418E30" w:rsidR="00317478" w:rsidRDefault="00317478" w:rsidP="00B94E07">
      <w:pPr>
        <w:pStyle w:val="NormalWeb"/>
        <w:jc w:val="both"/>
        <w:rPr>
          <w:rFonts w:ascii="Arial" w:hAnsi="Arial" w:cs="Arial"/>
          <w:bCs/>
          <w:color w:val="000000"/>
        </w:rPr>
      </w:pPr>
      <w:r>
        <w:rPr>
          <w:rFonts w:ascii="Arial" w:hAnsi="Arial" w:cs="Arial"/>
          <w:bCs/>
          <w:color w:val="000000"/>
        </w:rPr>
        <w:t xml:space="preserve">De todos modos, se discutió sobre la interpretación de la normativa en relación a ingresos y retornos </w:t>
      </w:r>
      <w:r w:rsidR="009215CC">
        <w:rPr>
          <w:rFonts w:ascii="Arial" w:hAnsi="Arial" w:cs="Arial"/>
          <w:bCs/>
          <w:color w:val="000000"/>
        </w:rPr>
        <w:t xml:space="preserve">varios </w:t>
      </w:r>
      <w:r>
        <w:rPr>
          <w:rFonts w:ascii="Arial" w:hAnsi="Arial" w:cs="Arial"/>
          <w:bCs/>
          <w:color w:val="000000"/>
        </w:rPr>
        <w:t>entre EP, acordando el uso del mismo CVI siempre que la emisión del mismo, la vacunación antirrábica y test de Leishmaniasis (para el caso de ingreso a Uruguay) se encuentren vigentes.</w:t>
      </w:r>
    </w:p>
    <w:p w14:paraId="4F6BFC97" w14:textId="5F08E6DC" w:rsidR="00317478" w:rsidRDefault="00317478" w:rsidP="00B94E07">
      <w:pPr>
        <w:pStyle w:val="NormalWeb"/>
        <w:jc w:val="both"/>
        <w:rPr>
          <w:rFonts w:ascii="Arial" w:hAnsi="Arial" w:cs="Arial"/>
          <w:bCs/>
          <w:color w:val="000000"/>
        </w:rPr>
      </w:pPr>
      <w:r>
        <w:rPr>
          <w:rFonts w:ascii="Arial" w:hAnsi="Arial" w:cs="Arial"/>
          <w:bCs/>
          <w:color w:val="000000"/>
        </w:rPr>
        <w:lastRenderedPageBreak/>
        <w:t>En ese sentido se acuerda arbitrar los medios para que los puestos de control fronterizo</w:t>
      </w:r>
      <w:r w:rsidR="009C1642">
        <w:rPr>
          <w:rFonts w:ascii="Arial" w:hAnsi="Arial" w:cs="Arial"/>
          <w:bCs/>
          <w:color w:val="000000"/>
        </w:rPr>
        <w:t>s</w:t>
      </w:r>
      <w:r>
        <w:rPr>
          <w:rFonts w:ascii="Arial" w:hAnsi="Arial" w:cs="Arial"/>
          <w:bCs/>
          <w:color w:val="000000"/>
        </w:rPr>
        <w:t xml:space="preserve"> no retengan el CVI original</w:t>
      </w:r>
      <w:r w:rsidR="009215CC">
        <w:rPr>
          <w:rFonts w:ascii="Arial" w:hAnsi="Arial" w:cs="Arial"/>
          <w:bCs/>
          <w:color w:val="000000"/>
        </w:rPr>
        <w:t xml:space="preserve"> de los </w:t>
      </w:r>
      <w:r w:rsidR="009C1642">
        <w:rPr>
          <w:rFonts w:ascii="Arial" w:hAnsi="Arial" w:cs="Arial"/>
          <w:bCs/>
          <w:color w:val="000000"/>
        </w:rPr>
        <w:t>animales</w:t>
      </w:r>
      <w:r>
        <w:rPr>
          <w:rFonts w:ascii="Arial" w:hAnsi="Arial" w:cs="Arial"/>
          <w:bCs/>
          <w:color w:val="000000"/>
        </w:rPr>
        <w:t>.</w:t>
      </w:r>
    </w:p>
    <w:p w14:paraId="549CCAE0" w14:textId="79B21D3F" w:rsidR="00E1026C" w:rsidRDefault="00E1026C" w:rsidP="00E1026C">
      <w:pPr>
        <w:pStyle w:val="NormalWeb"/>
        <w:jc w:val="both"/>
        <w:rPr>
          <w:rFonts w:ascii="Arial" w:hAnsi="Arial" w:cs="Arial"/>
          <w:b/>
          <w:color w:val="000000"/>
        </w:rPr>
      </w:pPr>
      <w:r w:rsidRPr="00F95E12">
        <w:rPr>
          <w:rFonts w:ascii="Arial" w:hAnsi="Arial" w:cs="Arial"/>
          <w:b/>
          <w:bCs/>
          <w:color w:val="000000"/>
        </w:rPr>
        <w:t>2</w:t>
      </w:r>
      <w:r w:rsidR="007D1E93">
        <w:rPr>
          <w:rFonts w:ascii="Arial" w:hAnsi="Arial" w:cs="Arial"/>
          <w:b/>
          <w:bCs/>
          <w:color w:val="000000"/>
        </w:rPr>
        <w:t>.4</w:t>
      </w:r>
      <w:r>
        <w:rPr>
          <w:rFonts w:ascii="Arial" w:hAnsi="Arial" w:cs="Arial"/>
          <w:bCs/>
          <w:color w:val="000000"/>
        </w:rPr>
        <w:t xml:space="preserve"> </w:t>
      </w:r>
      <w:r>
        <w:rPr>
          <w:rFonts w:ascii="Arial" w:hAnsi="Arial" w:cs="Arial"/>
          <w:b/>
          <w:color w:val="000000"/>
        </w:rPr>
        <w:t xml:space="preserve">Actualización de los Requisitos zoosanitarios de los Estados Parte para autorizar la importación de aves cautivas </w:t>
      </w:r>
      <w:r w:rsidR="007D1E93">
        <w:rPr>
          <w:rFonts w:ascii="Arial" w:hAnsi="Arial" w:cs="Arial"/>
          <w:b/>
          <w:color w:val="000000"/>
        </w:rPr>
        <w:t xml:space="preserve">(silvestres u ornamentales), Res. GMC </w:t>
      </w:r>
      <w:r>
        <w:rPr>
          <w:rFonts w:ascii="Arial" w:hAnsi="Arial" w:cs="Arial"/>
          <w:b/>
          <w:color w:val="000000"/>
        </w:rPr>
        <w:t xml:space="preserve">Nº 19/20; y Requisitos zoosanitarios de los Estados Parte para </w:t>
      </w:r>
      <w:r w:rsidR="007D1E93">
        <w:rPr>
          <w:rFonts w:ascii="Arial" w:hAnsi="Arial" w:cs="Arial"/>
          <w:b/>
          <w:color w:val="000000"/>
        </w:rPr>
        <w:t>autorizar la importación de</w:t>
      </w:r>
      <w:r>
        <w:rPr>
          <w:rFonts w:ascii="Arial" w:hAnsi="Arial" w:cs="Arial"/>
          <w:b/>
          <w:color w:val="000000"/>
        </w:rPr>
        <w:t xml:space="preserve"> aves en calidad de anim</w:t>
      </w:r>
      <w:r w:rsidR="007D1E93">
        <w:rPr>
          <w:rFonts w:ascii="Arial" w:hAnsi="Arial" w:cs="Arial"/>
          <w:b/>
          <w:color w:val="000000"/>
        </w:rPr>
        <w:t>al de compañía, Res. GMC</w:t>
      </w:r>
      <w:r>
        <w:rPr>
          <w:rFonts w:ascii="Arial" w:hAnsi="Arial" w:cs="Arial"/>
          <w:b/>
          <w:color w:val="000000"/>
        </w:rPr>
        <w:t xml:space="preserve"> Nº 20/20.</w:t>
      </w:r>
    </w:p>
    <w:p w14:paraId="27AAA7D6" w14:textId="37CB0D81" w:rsidR="007D1E93" w:rsidRDefault="00E1026C" w:rsidP="00C01E76">
      <w:pPr>
        <w:widowControl w:val="0"/>
        <w:jc w:val="both"/>
      </w:pPr>
      <w:r>
        <w:t>Dada la situación de influenza aviar en el mundo y su difusión en la región, los EP entendieron oportuno y necesario realizar una revisión y actualización  de las exigencias referid</w:t>
      </w:r>
      <w:r w:rsidR="007D1E93">
        <w:t>as a Influenza Aviar contemplada</w:t>
      </w:r>
      <w:r>
        <w:t xml:space="preserve">s en estas normas. </w:t>
      </w:r>
      <w:r>
        <w:br/>
      </w:r>
      <w:r>
        <w:br/>
        <w:t xml:space="preserve">Al respecto, solo y exclusivamente se han modificado las exigencias referidas a Influenza aviar y </w:t>
      </w:r>
      <w:r w:rsidR="007D1E93">
        <w:t>Enfermedad de Newcastle, específicamente en los artículos 11 y 12 a los fines de armonizar las mismas con OMSA.</w:t>
      </w:r>
      <w:r>
        <w:t xml:space="preserve"> </w:t>
      </w:r>
    </w:p>
    <w:p w14:paraId="5CC1D04A" w14:textId="77777777" w:rsidR="007D1E93" w:rsidRDefault="007D1E93" w:rsidP="00C01E76">
      <w:pPr>
        <w:widowControl w:val="0"/>
        <w:jc w:val="both"/>
      </w:pPr>
    </w:p>
    <w:p w14:paraId="5514CF22" w14:textId="048CF755" w:rsidR="008B7004" w:rsidRDefault="007D1E93" w:rsidP="007D1E93">
      <w:pPr>
        <w:widowControl w:val="0"/>
        <w:jc w:val="both"/>
        <w:rPr>
          <w:rFonts w:cs="Arial"/>
          <w:bCs/>
          <w:color w:val="000000"/>
        </w:rPr>
      </w:pPr>
      <w:r>
        <w:t xml:space="preserve">Los EP acuerdan </w:t>
      </w:r>
      <w:r w:rsidR="00EF0298">
        <w:t xml:space="preserve">intercambiar avances de las consultas internas previo a la próxima reunión a los fines de elevar </w:t>
      </w:r>
      <w:r>
        <w:t xml:space="preserve">ambos proyectos </w:t>
      </w:r>
      <w:r w:rsidR="00EF0298">
        <w:t>durante la misma</w:t>
      </w:r>
      <w:r>
        <w:t>.</w:t>
      </w:r>
    </w:p>
    <w:p w14:paraId="1A5B347B" w14:textId="10C2A208" w:rsidR="008B7004" w:rsidRDefault="008D1873">
      <w:pPr>
        <w:pStyle w:val="NormalWeb"/>
        <w:jc w:val="both"/>
        <w:rPr>
          <w:rFonts w:ascii="Arial" w:hAnsi="Arial" w:cs="Arial"/>
          <w:b/>
          <w:color w:val="000000"/>
        </w:rPr>
      </w:pPr>
      <w:r>
        <w:rPr>
          <w:rFonts w:ascii="Arial" w:hAnsi="Arial" w:cs="Arial"/>
          <w:b/>
          <w:color w:val="000000"/>
        </w:rPr>
        <w:t>3. OTROS</w:t>
      </w:r>
    </w:p>
    <w:p w14:paraId="3FEF99B1" w14:textId="77777777" w:rsidR="008B7004" w:rsidRDefault="005A4257">
      <w:pPr>
        <w:jc w:val="both"/>
        <w:rPr>
          <w:rFonts w:cs="Arial"/>
          <w:b/>
          <w:szCs w:val="24"/>
          <w:lang w:val="es-UY" w:eastAsia="ar-SA"/>
        </w:rPr>
      </w:pPr>
      <w:r>
        <w:rPr>
          <w:rFonts w:cs="Arial"/>
          <w:b/>
          <w:szCs w:val="24"/>
          <w:lang w:val="es-UY" w:eastAsia="ar-SA"/>
        </w:rPr>
        <w:t>AGRADECIMIENTO</w:t>
      </w:r>
    </w:p>
    <w:p w14:paraId="65E7E57A" w14:textId="77777777" w:rsidR="008B7004" w:rsidRDefault="008B7004">
      <w:pPr>
        <w:jc w:val="both"/>
        <w:rPr>
          <w:rFonts w:cs="Arial"/>
          <w:b/>
          <w:szCs w:val="24"/>
          <w:lang w:val="es-UY" w:eastAsia="ar-SA"/>
        </w:rPr>
      </w:pPr>
    </w:p>
    <w:p w14:paraId="2B4F26FE" w14:textId="2B16B07B" w:rsidR="008B7004" w:rsidRDefault="008D1873" w:rsidP="008D1873">
      <w:pPr>
        <w:widowControl w:val="0"/>
        <w:jc w:val="both"/>
        <w:rPr>
          <w:rFonts w:cs="Arial"/>
          <w:bCs/>
          <w:szCs w:val="24"/>
          <w:lang w:val="es-ES"/>
        </w:rPr>
      </w:pPr>
      <w:r>
        <w:rPr>
          <w:rFonts w:cs="Arial"/>
          <w:bCs/>
          <w:szCs w:val="24"/>
          <w:lang w:val="es-ES"/>
        </w:rPr>
        <w:t>Las delegaciones agradec</w:t>
      </w:r>
      <w:r w:rsidR="005A4257">
        <w:rPr>
          <w:rFonts w:cs="Arial"/>
          <w:bCs/>
          <w:szCs w:val="24"/>
          <w:lang w:val="es-ES"/>
        </w:rPr>
        <w:t xml:space="preserve">en a la </w:t>
      </w:r>
      <w:r>
        <w:rPr>
          <w:rFonts w:cs="Arial"/>
          <w:bCs/>
          <w:szCs w:val="24"/>
          <w:lang w:val="es-ES"/>
        </w:rPr>
        <w:t>Secretaría del MERCOSUR por el apoyo técnico en la revisión de Actas y proyectos.</w:t>
      </w:r>
    </w:p>
    <w:p w14:paraId="207D39A6" w14:textId="77777777" w:rsidR="008D1873" w:rsidRDefault="008D1873" w:rsidP="008D1873">
      <w:pPr>
        <w:widowControl w:val="0"/>
        <w:jc w:val="both"/>
        <w:rPr>
          <w:rFonts w:cs="Arial"/>
          <w:b/>
          <w:bCs/>
          <w:szCs w:val="24"/>
          <w:lang w:val="es-ES"/>
        </w:rPr>
      </w:pPr>
    </w:p>
    <w:p w14:paraId="1697AAEE" w14:textId="77777777" w:rsidR="008B7004" w:rsidRDefault="005A4257">
      <w:pPr>
        <w:widowControl w:val="0"/>
        <w:tabs>
          <w:tab w:val="left" w:pos="425"/>
        </w:tabs>
        <w:jc w:val="both"/>
        <w:rPr>
          <w:rFonts w:cs="Arial"/>
          <w:b/>
          <w:bCs/>
          <w:szCs w:val="24"/>
          <w:lang w:val="es-ES"/>
        </w:rPr>
      </w:pPr>
      <w:r>
        <w:rPr>
          <w:rFonts w:cs="Arial"/>
          <w:b/>
          <w:bCs/>
          <w:szCs w:val="24"/>
          <w:lang w:val="es-ES"/>
        </w:rPr>
        <w:t>PRÓXIMA REUNIÓN</w:t>
      </w:r>
    </w:p>
    <w:p w14:paraId="538518F8" w14:textId="77777777" w:rsidR="008B7004" w:rsidRDefault="008B7004">
      <w:pPr>
        <w:widowControl w:val="0"/>
        <w:tabs>
          <w:tab w:val="left" w:pos="1134"/>
        </w:tabs>
        <w:jc w:val="both"/>
        <w:rPr>
          <w:rFonts w:cs="Arial"/>
          <w:szCs w:val="24"/>
          <w:lang w:val="es-ES"/>
        </w:rPr>
      </w:pPr>
    </w:p>
    <w:p w14:paraId="341BB7E3" w14:textId="1F5E289B" w:rsidR="008B7004" w:rsidRDefault="005A4257">
      <w:pPr>
        <w:widowControl w:val="0"/>
        <w:jc w:val="both"/>
        <w:rPr>
          <w:rFonts w:cs="Arial"/>
          <w:szCs w:val="24"/>
          <w:lang w:val="es-ES"/>
        </w:rPr>
      </w:pPr>
      <w:r>
        <w:rPr>
          <w:rFonts w:cs="Arial"/>
          <w:bCs/>
          <w:szCs w:val="24"/>
          <w:lang w:val="es-ES"/>
        </w:rPr>
        <w:t>Se propone como fecha tentativa para la próxima reunión ordin</w:t>
      </w:r>
      <w:r w:rsidR="00B67917">
        <w:rPr>
          <w:rFonts w:cs="Arial"/>
          <w:bCs/>
          <w:szCs w:val="24"/>
          <w:lang w:val="es-ES"/>
        </w:rPr>
        <w:t>aria de la CSA, la semana del 12 al 16</w:t>
      </w:r>
      <w:r>
        <w:rPr>
          <w:rFonts w:cs="Arial"/>
          <w:bCs/>
          <w:szCs w:val="24"/>
          <w:lang w:val="es-ES"/>
        </w:rPr>
        <w:t xml:space="preserve"> de junio de 2023. </w:t>
      </w:r>
    </w:p>
    <w:p w14:paraId="266A587B" w14:textId="77777777" w:rsidR="008B7004" w:rsidRDefault="008B7004">
      <w:pPr>
        <w:widowControl w:val="0"/>
        <w:tabs>
          <w:tab w:val="left" w:pos="425"/>
        </w:tabs>
        <w:jc w:val="both"/>
        <w:rPr>
          <w:rFonts w:cs="Arial"/>
          <w:szCs w:val="24"/>
          <w:lang w:val="es-ES"/>
        </w:rPr>
      </w:pPr>
    </w:p>
    <w:p w14:paraId="58D1386E" w14:textId="77777777" w:rsidR="008B7004" w:rsidRDefault="005A4257">
      <w:pPr>
        <w:widowControl w:val="0"/>
        <w:tabs>
          <w:tab w:val="left" w:pos="425"/>
        </w:tabs>
        <w:jc w:val="both"/>
        <w:rPr>
          <w:rFonts w:cs="Arial"/>
          <w:b/>
          <w:szCs w:val="24"/>
          <w:lang w:val="es-ES"/>
        </w:rPr>
      </w:pPr>
      <w:r>
        <w:rPr>
          <w:rFonts w:cs="Arial"/>
          <w:b/>
          <w:szCs w:val="24"/>
          <w:lang w:val="es-ES"/>
        </w:rPr>
        <w:t>ANEXOS</w:t>
      </w:r>
    </w:p>
    <w:p w14:paraId="6D6EB451" w14:textId="77777777" w:rsidR="008B7004" w:rsidRDefault="008B7004">
      <w:pPr>
        <w:widowControl w:val="0"/>
        <w:tabs>
          <w:tab w:val="left" w:pos="425"/>
        </w:tabs>
        <w:jc w:val="both"/>
        <w:rPr>
          <w:rFonts w:cs="Arial"/>
          <w:szCs w:val="24"/>
          <w:lang w:val="es-ES"/>
        </w:rPr>
      </w:pPr>
    </w:p>
    <w:p w14:paraId="4B0877E5" w14:textId="77777777" w:rsidR="008B7004" w:rsidRDefault="005A4257">
      <w:pPr>
        <w:widowControl w:val="0"/>
        <w:tabs>
          <w:tab w:val="left" w:pos="425"/>
        </w:tabs>
        <w:jc w:val="both"/>
        <w:rPr>
          <w:rFonts w:cs="Arial"/>
          <w:szCs w:val="24"/>
          <w:lang w:val="es-ES"/>
        </w:rPr>
      </w:pPr>
      <w:r>
        <w:rPr>
          <w:rFonts w:cs="Arial"/>
          <w:szCs w:val="24"/>
          <w:lang w:val="es-ES"/>
        </w:rPr>
        <w:t xml:space="preserve">Los Anexos que forman parte de la presente Acta son los siguientes:  </w:t>
      </w:r>
    </w:p>
    <w:p w14:paraId="1EEC5865" w14:textId="77777777" w:rsidR="008B7004" w:rsidRDefault="008B7004">
      <w:pPr>
        <w:widowControl w:val="0"/>
        <w:jc w:val="both"/>
        <w:rPr>
          <w:rFonts w:cs="Arial"/>
          <w:b/>
          <w:bCs/>
          <w:szCs w:val="24"/>
          <w:lang w:val="es-ES"/>
        </w:rPr>
      </w:pPr>
    </w:p>
    <w:tbl>
      <w:tblPr>
        <w:tblW w:w="92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80" w:type="dxa"/>
          <w:right w:w="180" w:type="dxa"/>
        </w:tblCellMar>
        <w:tblLook w:val="04A0" w:firstRow="1" w:lastRow="0" w:firstColumn="1" w:lastColumn="0" w:noHBand="0" w:noVBand="1"/>
      </w:tblPr>
      <w:tblGrid>
        <w:gridCol w:w="1881"/>
        <w:gridCol w:w="7329"/>
      </w:tblGrid>
      <w:tr w:rsidR="008B7004" w14:paraId="40D874EE" w14:textId="77777777">
        <w:trPr>
          <w:trHeight w:val="283"/>
        </w:trPr>
        <w:tc>
          <w:tcPr>
            <w:tcW w:w="1881" w:type="dxa"/>
            <w:tcBorders>
              <w:top w:val="single" w:sz="4" w:space="0" w:color="000000"/>
              <w:left w:val="single" w:sz="4" w:space="0" w:color="000000"/>
              <w:bottom w:val="single" w:sz="4" w:space="0" w:color="000000"/>
              <w:right w:val="single" w:sz="4" w:space="0" w:color="000000"/>
            </w:tcBorders>
          </w:tcPr>
          <w:p w14:paraId="6C07EA1D" w14:textId="77777777" w:rsidR="008B7004" w:rsidRDefault="005A4257">
            <w:pPr>
              <w:widowControl w:val="0"/>
              <w:jc w:val="both"/>
              <w:rPr>
                <w:rFonts w:cs="Arial"/>
                <w:szCs w:val="24"/>
                <w:lang w:val="es-ES"/>
              </w:rPr>
            </w:pPr>
            <w:r>
              <w:rPr>
                <w:rFonts w:cs="Arial"/>
                <w:b/>
                <w:bCs/>
                <w:szCs w:val="24"/>
                <w:lang w:val="es-ES_tradnl"/>
              </w:rPr>
              <w:t xml:space="preserve">Anexo I </w:t>
            </w:r>
            <w:r>
              <w:rPr>
                <w:rFonts w:cs="Arial"/>
                <w:b/>
                <w:bCs/>
                <w:szCs w:val="24"/>
                <w:lang w:val="es-ES_tradnl"/>
              </w:rPr>
              <w:tab/>
            </w:r>
          </w:p>
        </w:tc>
        <w:tc>
          <w:tcPr>
            <w:tcW w:w="7329" w:type="dxa"/>
            <w:tcBorders>
              <w:top w:val="single" w:sz="4" w:space="0" w:color="000000"/>
              <w:left w:val="single" w:sz="4" w:space="0" w:color="000000"/>
              <w:bottom w:val="single" w:sz="4" w:space="0" w:color="000000"/>
              <w:right w:val="single" w:sz="4" w:space="0" w:color="000000"/>
            </w:tcBorders>
          </w:tcPr>
          <w:p w14:paraId="06AD490F" w14:textId="77777777" w:rsidR="008B7004" w:rsidRDefault="005A4257">
            <w:pPr>
              <w:widowControl w:val="0"/>
              <w:jc w:val="both"/>
              <w:rPr>
                <w:rFonts w:cs="Arial"/>
                <w:szCs w:val="24"/>
                <w:lang w:val="es-ES_tradnl"/>
              </w:rPr>
            </w:pPr>
            <w:r>
              <w:rPr>
                <w:rFonts w:cs="Arial"/>
                <w:szCs w:val="24"/>
                <w:lang w:val="es-ES_tradnl"/>
              </w:rPr>
              <w:t>Lista de Participantes</w:t>
            </w:r>
          </w:p>
        </w:tc>
      </w:tr>
      <w:tr w:rsidR="008B7004" w14:paraId="2883331F" w14:textId="77777777">
        <w:trPr>
          <w:trHeight w:val="283"/>
        </w:trPr>
        <w:tc>
          <w:tcPr>
            <w:tcW w:w="1881" w:type="dxa"/>
            <w:tcBorders>
              <w:top w:val="single" w:sz="4" w:space="0" w:color="000000"/>
              <w:left w:val="single" w:sz="4" w:space="0" w:color="000000"/>
              <w:bottom w:val="single" w:sz="4" w:space="0" w:color="000000"/>
              <w:right w:val="single" w:sz="4" w:space="0" w:color="000000"/>
            </w:tcBorders>
          </w:tcPr>
          <w:p w14:paraId="4B0A95F1" w14:textId="77777777" w:rsidR="008B7004" w:rsidRDefault="005A4257">
            <w:pPr>
              <w:widowControl w:val="0"/>
              <w:jc w:val="both"/>
              <w:rPr>
                <w:rFonts w:cs="Arial"/>
                <w:szCs w:val="24"/>
                <w:lang w:val="es-ES"/>
              </w:rPr>
            </w:pPr>
            <w:r>
              <w:rPr>
                <w:rFonts w:cs="Arial"/>
                <w:b/>
                <w:bCs/>
                <w:szCs w:val="24"/>
                <w:lang w:val="es-ES_tradnl"/>
              </w:rPr>
              <w:t xml:space="preserve">Anexo II </w:t>
            </w:r>
          </w:p>
        </w:tc>
        <w:tc>
          <w:tcPr>
            <w:tcW w:w="7329" w:type="dxa"/>
            <w:tcBorders>
              <w:top w:val="single" w:sz="4" w:space="0" w:color="000000"/>
              <w:left w:val="single" w:sz="4" w:space="0" w:color="000000"/>
              <w:bottom w:val="single" w:sz="4" w:space="0" w:color="000000"/>
              <w:right w:val="single" w:sz="4" w:space="0" w:color="000000"/>
            </w:tcBorders>
          </w:tcPr>
          <w:p w14:paraId="70272354" w14:textId="77777777" w:rsidR="008B7004" w:rsidRDefault="005A4257">
            <w:pPr>
              <w:widowControl w:val="0"/>
              <w:jc w:val="both"/>
              <w:rPr>
                <w:rFonts w:cs="Arial"/>
                <w:szCs w:val="24"/>
                <w:lang w:val="es-ES_tradnl"/>
              </w:rPr>
            </w:pPr>
            <w:r>
              <w:rPr>
                <w:rFonts w:cs="Arial"/>
                <w:szCs w:val="24"/>
                <w:lang w:val="es-ES_tradnl"/>
              </w:rPr>
              <w:t xml:space="preserve">Agenda </w:t>
            </w:r>
          </w:p>
        </w:tc>
      </w:tr>
      <w:tr w:rsidR="008B7004" w14:paraId="514A4836" w14:textId="77777777">
        <w:trPr>
          <w:trHeight w:val="283"/>
        </w:trPr>
        <w:tc>
          <w:tcPr>
            <w:tcW w:w="1881" w:type="dxa"/>
            <w:tcBorders>
              <w:top w:val="single" w:sz="4" w:space="0" w:color="000000"/>
              <w:left w:val="single" w:sz="4" w:space="0" w:color="000000"/>
              <w:bottom w:val="single" w:sz="4" w:space="0" w:color="000000"/>
              <w:right w:val="single" w:sz="4" w:space="0" w:color="000000"/>
            </w:tcBorders>
          </w:tcPr>
          <w:p w14:paraId="4C4CEB6D" w14:textId="77777777" w:rsidR="008B7004" w:rsidRDefault="005A4257">
            <w:pPr>
              <w:widowControl w:val="0"/>
              <w:jc w:val="both"/>
              <w:rPr>
                <w:rFonts w:cs="Arial"/>
                <w:szCs w:val="24"/>
                <w:lang w:val="es-ES"/>
              </w:rPr>
            </w:pPr>
            <w:r>
              <w:rPr>
                <w:rFonts w:cs="Arial"/>
                <w:b/>
                <w:bCs/>
                <w:szCs w:val="24"/>
                <w:lang w:val="es-ES_tradnl"/>
              </w:rPr>
              <w:t>Anexo III</w:t>
            </w:r>
          </w:p>
        </w:tc>
        <w:tc>
          <w:tcPr>
            <w:tcW w:w="7329" w:type="dxa"/>
            <w:tcBorders>
              <w:top w:val="single" w:sz="4" w:space="0" w:color="000000"/>
              <w:left w:val="single" w:sz="4" w:space="0" w:color="000000"/>
              <w:bottom w:val="single" w:sz="4" w:space="0" w:color="000000"/>
              <w:right w:val="single" w:sz="4" w:space="0" w:color="000000"/>
            </w:tcBorders>
          </w:tcPr>
          <w:p w14:paraId="3DF09328" w14:textId="180CF05D" w:rsidR="008B7004" w:rsidRDefault="008D1873">
            <w:pPr>
              <w:widowControl w:val="0"/>
              <w:jc w:val="both"/>
              <w:rPr>
                <w:rFonts w:cs="Arial"/>
                <w:szCs w:val="24"/>
                <w:lang w:val="es-ES"/>
              </w:rPr>
            </w:pPr>
            <w:r>
              <w:rPr>
                <w:rFonts w:cs="Arial"/>
                <w:szCs w:val="24"/>
                <w:lang w:val="es-ES"/>
              </w:rPr>
              <w:t>Agenda tentativa de la próxima</w:t>
            </w:r>
            <w:r w:rsidR="00B02F3B">
              <w:rPr>
                <w:rFonts w:cs="Arial"/>
                <w:szCs w:val="24"/>
                <w:lang w:val="es-ES"/>
              </w:rPr>
              <w:t xml:space="preserve"> reunión</w:t>
            </w:r>
          </w:p>
        </w:tc>
      </w:tr>
      <w:tr w:rsidR="008B7004" w14:paraId="229CA862" w14:textId="77777777">
        <w:trPr>
          <w:trHeight w:val="283"/>
        </w:trPr>
        <w:tc>
          <w:tcPr>
            <w:tcW w:w="1881" w:type="dxa"/>
            <w:tcBorders>
              <w:top w:val="single" w:sz="4" w:space="0" w:color="000000"/>
              <w:left w:val="single" w:sz="4" w:space="0" w:color="000000"/>
              <w:bottom w:val="single" w:sz="4" w:space="0" w:color="000000"/>
              <w:right w:val="single" w:sz="4" w:space="0" w:color="000000"/>
            </w:tcBorders>
          </w:tcPr>
          <w:p w14:paraId="29C121ED" w14:textId="77777777" w:rsidR="008B7004" w:rsidRPr="008D1873" w:rsidRDefault="005A4257">
            <w:pPr>
              <w:widowControl w:val="0"/>
              <w:jc w:val="both"/>
              <w:rPr>
                <w:rFonts w:cs="Arial"/>
                <w:b/>
                <w:bCs/>
                <w:szCs w:val="24"/>
                <w:lang w:val="es-ES_tradnl"/>
              </w:rPr>
            </w:pPr>
            <w:r w:rsidRPr="008D1873">
              <w:rPr>
                <w:rFonts w:cs="Arial"/>
                <w:b/>
                <w:bCs/>
                <w:szCs w:val="24"/>
                <w:lang w:val="es-ES_tradnl"/>
              </w:rPr>
              <w:t>Anexo IV</w:t>
            </w:r>
          </w:p>
        </w:tc>
        <w:tc>
          <w:tcPr>
            <w:tcW w:w="7329" w:type="dxa"/>
            <w:tcBorders>
              <w:top w:val="single" w:sz="4" w:space="0" w:color="000000"/>
              <w:left w:val="single" w:sz="4" w:space="0" w:color="000000"/>
              <w:bottom w:val="single" w:sz="4" w:space="0" w:color="000000"/>
              <w:right w:val="single" w:sz="4" w:space="0" w:color="000000"/>
            </w:tcBorders>
          </w:tcPr>
          <w:p w14:paraId="713F408F" w14:textId="067040C1" w:rsidR="008B7004" w:rsidRPr="008D1873" w:rsidRDefault="008D1873">
            <w:pPr>
              <w:widowControl w:val="0"/>
              <w:jc w:val="both"/>
              <w:rPr>
                <w:rFonts w:cs="Arial"/>
                <w:szCs w:val="24"/>
                <w:lang w:val="es-ES"/>
              </w:rPr>
            </w:pPr>
            <w:r w:rsidRPr="008D1873">
              <w:rPr>
                <w:rFonts w:cs="Arial"/>
                <w:szCs w:val="24"/>
                <w:lang w:val="es-ES"/>
              </w:rPr>
              <w:t>Proyecto elevado a consideración del SGT8</w:t>
            </w:r>
          </w:p>
        </w:tc>
      </w:tr>
    </w:tbl>
    <w:p w14:paraId="7F15822A" w14:textId="77777777" w:rsidR="008B7004" w:rsidRDefault="008B7004">
      <w:pPr>
        <w:widowControl w:val="0"/>
        <w:jc w:val="both"/>
        <w:rPr>
          <w:rFonts w:cs="Arial"/>
          <w:b/>
          <w:bCs/>
          <w:szCs w:val="24"/>
          <w:lang w:val="es-ES"/>
        </w:rPr>
      </w:pPr>
    </w:p>
    <w:p w14:paraId="772F72BA" w14:textId="77777777" w:rsidR="008B7004" w:rsidRDefault="008B7004">
      <w:pPr>
        <w:widowControl w:val="0"/>
        <w:jc w:val="both"/>
        <w:rPr>
          <w:rFonts w:cs="Arial"/>
          <w:b/>
          <w:bCs/>
          <w:szCs w:val="24"/>
          <w:highlight w:val="yellow"/>
          <w:lang w:val="es-ES"/>
        </w:rPr>
      </w:pPr>
    </w:p>
    <w:p w14:paraId="725131F1" w14:textId="77777777" w:rsidR="008B7004" w:rsidRDefault="008B7004">
      <w:pPr>
        <w:widowControl w:val="0"/>
        <w:jc w:val="both"/>
        <w:rPr>
          <w:rFonts w:cs="Arial"/>
          <w:b/>
          <w:bCs/>
          <w:szCs w:val="24"/>
          <w:highlight w:val="yellow"/>
          <w:lang w:val="es-ES"/>
        </w:rPr>
      </w:pPr>
    </w:p>
    <w:p w14:paraId="2FF5EBCE" w14:textId="77777777" w:rsidR="008B7004" w:rsidRPr="008D1873" w:rsidRDefault="008B7004">
      <w:pPr>
        <w:widowControl w:val="0"/>
        <w:jc w:val="center"/>
        <w:rPr>
          <w:rFonts w:cs="Arial"/>
          <w:b/>
          <w:bCs/>
          <w:szCs w:val="24"/>
          <w:lang w:val="es-ES"/>
        </w:rPr>
      </w:pPr>
    </w:p>
    <w:tbl>
      <w:tblPr>
        <w:tblW w:w="9390" w:type="dxa"/>
        <w:jc w:val="center"/>
        <w:tblLayout w:type="fixed"/>
        <w:tblCellMar>
          <w:left w:w="180" w:type="dxa"/>
          <w:right w:w="180" w:type="dxa"/>
        </w:tblCellMar>
        <w:tblLook w:val="04A0" w:firstRow="1" w:lastRow="0" w:firstColumn="1" w:lastColumn="0" w:noHBand="0" w:noVBand="1"/>
      </w:tblPr>
      <w:tblGrid>
        <w:gridCol w:w="4454"/>
        <w:gridCol w:w="4936"/>
      </w:tblGrid>
      <w:tr w:rsidR="008B7004" w:rsidRPr="008D1873" w14:paraId="1367E447" w14:textId="77777777" w:rsidTr="00B67917">
        <w:trPr>
          <w:trHeight w:val="930"/>
          <w:jc w:val="center"/>
        </w:trPr>
        <w:tc>
          <w:tcPr>
            <w:tcW w:w="4454" w:type="dxa"/>
            <w:tcBorders>
              <w:top w:val="none" w:sz="0" w:space="0" w:color="000000"/>
              <w:left w:val="none" w:sz="0" w:space="0" w:color="000000"/>
              <w:bottom w:val="none" w:sz="0" w:space="0" w:color="000000"/>
              <w:right w:val="none" w:sz="0" w:space="0" w:color="000000"/>
            </w:tcBorders>
          </w:tcPr>
          <w:p w14:paraId="0863FE0E" w14:textId="77777777" w:rsidR="008B7004" w:rsidRPr="008D1873" w:rsidRDefault="005A4257">
            <w:pPr>
              <w:widowControl w:val="0"/>
              <w:jc w:val="center"/>
              <w:rPr>
                <w:rFonts w:cs="Arial"/>
                <w:b/>
                <w:szCs w:val="24"/>
                <w:lang w:val="es-UY"/>
              </w:rPr>
            </w:pPr>
            <w:r w:rsidRPr="008D1873">
              <w:rPr>
                <w:rFonts w:cs="Arial"/>
                <w:b/>
                <w:bCs/>
                <w:szCs w:val="24"/>
                <w:lang w:val="es-ES"/>
              </w:rPr>
              <w:t>___________________________</w:t>
            </w:r>
          </w:p>
          <w:p w14:paraId="7F1605BF" w14:textId="77777777" w:rsidR="008B7004" w:rsidRPr="008D1873" w:rsidRDefault="005A4257">
            <w:pPr>
              <w:widowControl w:val="0"/>
              <w:jc w:val="center"/>
              <w:rPr>
                <w:rFonts w:cs="Arial"/>
                <w:b/>
                <w:bCs/>
                <w:szCs w:val="24"/>
                <w:lang w:val="es-ES"/>
              </w:rPr>
            </w:pPr>
            <w:r w:rsidRPr="008D1873">
              <w:rPr>
                <w:rFonts w:cs="Arial"/>
                <w:b/>
                <w:bCs/>
                <w:szCs w:val="24"/>
                <w:lang w:val="es-ES"/>
              </w:rPr>
              <w:t>Por la delegación de Argentina</w:t>
            </w:r>
          </w:p>
          <w:p w14:paraId="0AE7661A" w14:textId="2F09622A" w:rsidR="008B7004" w:rsidRPr="008D1873" w:rsidRDefault="008D1873">
            <w:pPr>
              <w:widowControl w:val="0"/>
              <w:jc w:val="center"/>
              <w:rPr>
                <w:rFonts w:cs="Arial"/>
                <w:b/>
                <w:bCs/>
                <w:szCs w:val="24"/>
                <w:lang w:val="es-ES"/>
              </w:rPr>
            </w:pPr>
            <w:r w:rsidRPr="008D1873">
              <w:rPr>
                <w:rFonts w:cs="Arial"/>
                <w:b/>
                <w:bCs/>
                <w:szCs w:val="24"/>
                <w:lang w:val="es-ES"/>
              </w:rPr>
              <w:t>Laura Giménez</w:t>
            </w:r>
          </w:p>
        </w:tc>
        <w:tc>
          <w:tcPr>
            <w:tcW w:w="4936" w:type="dxa"/>
            <w:tcBorders>
              <w:top w:val="none" w:sz="0" w:space="0" w:color="000000"/>
              <w:left w:val="none" w:sz="0" w:space="0" w:color="000000"/>
              <w:bottom w:val="none" w:sz="0" w:space="0" w:color="000000"/>
              <w:right w:val="none" w:sz="0" w:space="0" w:color="000000"/>
            </w:tcBorders>
          </w:tcPr>
          <w:p w14:paraId="6A44B4B5" w14:textId="77777777" w:rsidR="008B7004" w:rsidRPr="008D1873" w:rsidRDefault="005A4257">
            <w:pPr>
              <w:widowControl w:val="0"/>
              <w:jc w:val="center"/>
              <w:rPr>
                <w:rFonts w:cs="Arial"/>
                <w:b/>
                <w:bCs/>
                <w:szCs w:val="24"/>
                <w:lang w:val="es-ES"/>
              </w:rPr>
            </w:pPr>
            <w:r w:rsidRPr="008D1873">
              <w:rPr>
                <w:rFonts w:cs="Arial"/>
                <w:b/>
                <w:bCs/>
                <w:szCs w:val="24"/>
                <w:lang w:val="es-ES"/>
              </w:rPr>
              <w:t>___________________________</w:t>
            </w:r>
          </w:p>
          <w:p w14:paraId="68D5659C" w14:textId="77777777" w:rsidR="008B7004" w:rsidRPr="008D1873" w:rsidRDefault="005A4257">
            <w:pPr>
              <w:widowControl w:val="0"/>
              <w:jc w:val="center"/>
              <w:rPr>
                <w:rFonts w:cs="Arial"/>
                <w:b/>
                <w:bCs/>
                <w:szCs w:val="24"/>
                <w:lang w:val="es-ES"/>
              </w:rPr>
            </w:pPr>
            <w:r w:rsidRPr="008D1873">
              <w:rPr>
                <w:rFonts w:cs="Arial"/>
                <w:b/>
                <w:bCs/>
                <w:szCs w:val="24"/>
                <w:lang w:val="es-ES"/>
              </w:rPr>
              <w:t>Por la delegación de Brasil</w:t>
            </w:r>
          </w:p>
          <w:p w14:paraId="5DA7F40D" w14:textId="1327F54D" w:rsidR="008B7004" w:rsidRPr="008D1873" w:rsidRDefault="008D1873" w:rsidP="008D1873">
            <w:pPr>
              <w:widowControl w:val="0"/>
              <w:rPr>
                <w:rFonts w:cs="Arial"/>
                <w:b/>
                <w:bCs/>
                <w:szCs w:val="24"/>
                <w:lang w:val="es-ES"/>
              </w:rPr>
            </w:pPr>
            <w:r>
              <w:rPr>
                <w:rFonts w:cs="Arial"/>
                <w:b/>
                <w:bCs/>
                <w:szCs w:val="24"/>
                <w:lang w:val="es-ES"/>
              </w:rPr>
              <w:t xml:space="preserve">       </w:t>
            </w:r>
            <w:r w:rsidRPr="008D1873">
              <w:rPr>
                <w:rFonts w:cs="Arial"/>
                <w:b/>
                <w:bCs/>
                <w:szCs w:val="24"/>
                <w:lang w:val="es-ES"/>
              </w:rPr>
              <w:t>Gabriel Batista de Oliveira Borges</w:t>
            </w:r>
          </w:p>
          <w:p w14:paraId="0F4A8386" w14:textId="77777777" w:rsidR="008B7004" w:rsidRPr="008D1873" w:rsidRDefault="008B7004">
            <w:pPr>
              <w:widowControl w:val="0"/>
              <w:jc w:val="center"/>
              <w:rPr>
                <w:rFonts w:cs="Arial"/>
                <w:b/>
                <w:bCs/>
                <w:szCs w:val="24"/>
                <w:lang w:val="es-ES"/>
              </w:rPr>
            </w:pPr>
          </w:p>
          <w:p w14:paraId="198F6B91" w14:textId="77777777" w:rsidR="008B7004" w:rsidRDefault="008B7004">
            <w:pPr>
              <w:widowControl w:val="0"/>
              <w:jc w:val="center"/>
              <w:rPr>
                <w:rFonts w:cs="Arial"/>
                <w:b/>
                <w:bCs/>
                <w:szCs w:val="24"/>
                <w:lang w:val="es-ES"/>
              </w:rPr>
            </w:pPr>
          </w:p>
          <w:p w14:paraId="38A45544" w14:textId="77777777" w:rsidR="00181E00" w:rsidRPr="008D1873" w:rsidRDefault="00181E00">
            <w:pPr>
              <w:widowControl w:val="0"/>
              <w:jc w:val="center"/>
              <w:rPr>
                <w:rFonts w:cs="Arial"/>
                <w:b/>
                <w:bCs/>
                <w:szCs w:val="24"/>
                <w:lang w:val="es-ES"/>
              </w:rPr>
            </w:pPr>
          </w:p>
        </w:tc>
      </w:tr>
      <w:tr w:rsidR="008B7004" w14:paraId="1E022F79" w14:textId="77777777" w:rsidTr="00B67917">
        <w:trPr>
          <w:trHeight w:val="930"/>
          <w:jc w:val="center"/>
        </w:trPr>
        <w:tc>
          <w:tcPr>
            <w:tcW w:w="4454" w:type="dxa"/>
            <w:tcBorders>
              <w:top w:val="none" w:sz="0" w:space="0" w:color="000000"/>
              <w:left w:val="none" w:sz="0" w:space="0" w:color="000000"/>
              <w:bottom w:val="none" w:sz="0" w:space="0" w:color="000000"/>
              <w:right w:val="none" w:sz="0" w:space="0" w:color="000000"/>
            </w:tcBorders>
          </w:tcPr>
          <w:p w14:paraId="13AD31B7" w14:textId="77777777" w:rsidR="008B7004" w:rsidRPr="008D1873" w:rsidRDefault="005A4257">
            <w:pPr>
              <w:widowControl w:val="0"/>
              <w:jc w:val="center"/>
              <w:rPr>
                <w:rFonts w:cs="Arial"/>
                <w:b/>
                <w:bCs/>
                <w:szCs w:val="24"/>
                <w:lang w:val="es-ES"/>
              </w:rPr>
            </w:pPr>
            <w:r w:rsidRPr="008D1873">
              <w:rPr>
                <w:rFonts w:cs="Arial"/>
                <w:b/>
                <w:bCs/>
                <w:szCs w:val="24"/>
                <w:lang w:val="es-ES"/>
              </w:rPr>
              <w:lastRenderedPageBreak/>
              <w:t>___________________________</w:t>
            </w:r>
          </w:p>
          <w:p w14:paraId="7658FC9D" w14:textId="77777777" w:rsidR="008B7004" w:rsidRPr="008D1873" w:rsidRDefault="005A4257">
            <w:pPr>
              <w:widowControl w:val="0"/>
              <w:jc w:val="center"/>
              <w:rPr>
                <w:rFonts w:cs="Arial"/>
                <w:b/>
                <w:bCs/>
                <w:szCs w:val="24"/>
                <w:lang w:val="es-ES"/>
              </w:rPr>
            </w:pPr>
            <w:r w:rsidRPr="008D1873">
              <w:rPr>
                <w:rFonts w:cs="Arial"/>
                <w:b/>
                <w:bCs/>
                <w:szCs w:val="24"/>
                <w:lang w:val="es-ES"/>
              </w:rPr>
              <w:t>Por la delegación de Paraguay</w:t>
            </w:r>
          </w:p>
          <w:p w14:paraId="4EE009A5" w14:textId="221432C6" w:rsidR="008B7004" w:rsidRPr="008D1873" w:rsidRDefault="008D1873">
            <w:pPr>
              <w:widowControl w:val="0"/>
              <w:jc w:val="center"/>
              <w:rPr>
                <w:rFonts w:cs="Arial"/>
                <w:b/>
                <w:bCs/>
                <w:szCs w:val="24"/>
                <w:lang w:val="es-ES"/>
              </w:rPr>
            </w:pPr>
            <w:r w:rsidRPr="008D1873">
              <w:rPr>
                <w:rFonts w:cs="Arial"/>
                <w:b/>
                <w:bCs/>
                <w:szCs w:val="24"/>
                <w:lang w:val="es-ES"/>
              </w:rPr>
              <w:t>Norman Ramírez</w:t>
            </w:r>
          </w:p>
        </w:tc>
        <w:tc>
          <w:tcPr>
            <w:tcW w:w="4936" w:type="dxa"/>
            <w:tcBorders>
              <w:top w:val="none" w:sz="0" w:space="0" w:color="000000"/>
              <w:left w:val="none" w:sz="0" w:space="0" w:color="000000"/>
              <w:bottom w:val="none" w:sz="0" w:space="0" w:color="000000"/>
              <w:right w:val="none" w:sz="0" w:space="0" w:color="000000"/>
            </w:tcBorders>
          </w:tcPr>
          <w:p w14:paraId="03DEED77" w14:textId="77777777" w:rsidR="008B7004" w:rsidRPr="008D1873" w:rsidRDefault="005A4257">
            <w:pPr>
              <w:widowControl w:val="0"/>
              <w:jc w:val="center"/>
              <w:rPr>
                <w:rFonts w:cs="Arial"/>
                <w:b/>
                <w:bCs/>
                <w:szCs w:val="24"/>
                <w:lang w:val="es-ES"/>
              </w:rPr>
            </w:pPr>
            <w:r w:rsidRPr="008D1873">
              <w:rPr>
                <w:rFonts w:cs="Arial"/>
                <w:b/>
                <w:bCs/>
                <w:szCs w:val="24"/>
                <w:lang w:val="es-ES"/>
              </w:rPr>
              <w:t>___________________________</w:t>
            </w:r>
          </w:p>
          <w:p w14:paraId="1A489EA3" w14:textId="77777777" w:rsidR="008B7004" w:rsidRPr="008D1873" w:rsidRDefault="005A4257">
            <w:pPr>
              <w:widowControl w:val="0"/>
              <w:jc w:val="center"/>
              <w:rPr>
                <w:rFonts w:cs="Arial"/>
                <w:b/>
                <w:bCs/>
                <w:szCs w:val="24"/>
                <w:lang w:val="es-ES"/>
              </w:rPr>
            </w:pPr>
            <w:r w:rsidRPr="008D1873">
              <w:rPr>
                <w:rFonts w:cs="Arial"/>
                <w:b/>
                <w:bCs/>
                <w:szCs w:val="24"/>
                <w:lang w:val="es-ES"/>
              </w:rPr>
              <w:t>Por la delegación de Uruguay</w:t>
            </w:r>
          </w:p>
          <w:p w14:paraId="6EFA93BA" w14:textId="76BB3D6D" w:rsidR="008B7004" w:rsidRPr="008D1873" w:rsidRDefault="008D1873">
            <w:pPr>
              <w:widowControl w:val="0"/>
              <w:jc w:val="center"/>
              <w:rPr>
                <w:rFonts w:cs="Arial"/>
                <w:b/>
                <w:bCs/>
                <w:szCs w:val="24"/>
                <w:lang w:val="es-ES"/>
              </w:rPr>
            </w:pPr>
            <w:r w:rsidRPr="008D1873">
              <w:rPr>
                <w:rFonts w:cs="Arial"/>
                <w:b/>
                <w:bCs/>
                <w:szCs w:val="24"/>
                <w:lang w:val="es-ES"/>
              </w:rPr>
              <w:t>Laura Lapitz</w:t>
            </w:r>
          </w:p>
        </w:tc>
      </w:tr>
    </w:tbl>
    <w:p w14:paraId="352B2BE6" w14:textId="77777777" w:rsidR="008B7004" w:rsidRDefault="008B7004">
      <w:pPr>
        <w:pStyle w:val="Textoindependiente2"/>
        <w:ind w:left="360"/>
        <w:rPr>
          <w:rFonts w:cs="Arial"/>
          <w:szCs w:val="24"/>
          <w:lang w:val="es-UY"/>
        </w:rPr>
      </w:pPr>
    </w:p>
    <w:p w14:paraId="543FEB73" w14:textId="77777777" w:rsidR="008B7004" w:rsidRDefault="008B7004">
      <w:pPr>
        <w:pStyle w:val="Textoindependiente2"/>
        <w:rPr>
          <w:rFonts w:cs="Arial"/>
          <w:szCs w:val="24"/>
        </w:rPr>
      </w:pPr>
    </w:p>
    <w:p w14:paraId="33386CE6" w14:textId="77777777" w:rsidR="008B7004" w:rsidRDefault="008B7004">
      <w:pPr>
        <w:pStyle w:val="Textoindependiente2"/>
        <w:rPr>
          <w:rFonts w:cs="Arial"/>
          <w:szCs w:val="24"/>
        </w:rPr>
      </w:pPr>
    </w:p>
    <w:p w14:paraId="32E43EF2" w14:textId="77777777" w:rsidR="008B7004" w:rsidRDefault="008B7004">
      <w:pPr>
        <w:widowControl w:val="0"/>
        <w:spacing w:line="1" w:lineRule="atLeast"/>
        <w:ind w:left="720"/>
        <w:jc w:val="center"/>
        <w:outlineLvl w:val="0"/>
        <w:rPr>
          <w:rFonts w:eastAsia="Arial" w:cs="Arial"/>
          <w:b/>
          <w:position w:val="-1"/>
          <w:szCs w:val="24"/>
          <w:lang w:val="es-UY" w:eastAsia="es-ES"/>
        </w:rPr>
      </w:pPr>
    </w:p>
    <w:sectPr w:rsidR="008B7004" w:rsidSect="00181E00">
      <w:pgSz w:w="11906" w:h="16838"/>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FA220" w14:textId="77777777" w:rsidR="00EA6575" w:rsidRDefault="00EA6575">
      <w:r>
        <w:separator/>
      </w:r>
    </w:p>
  </w:endnote>
  <w:endnote w:type="continuationSeparator" w:id="0">
    <w:p w14:paraId="656ED556" w14:textId="77777777" w:rsidR="00EA6575" w:rsidRDefault="00EA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BE7A" w14:textId="77777777" w:rsidR="00EA6575" w:rsidRDefault="00EA6575">
      <w:r>
        <w:separator/>
      </w:r>
    </w:p>
  </w:footnote>
  <w:footnote w:type="continuationSeparator" w:id="0">
    <w:p w14:paraId="53DF8E46" w14:textId="77777777" w:rsidR="00EA6575" w:rsidRDefault="00EA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448C"/>
    <w:multiLevelType w:val="hybridMultilevel"/>
    <w:tmpl w:val="D908C3B6"/>
    <w:lvl w:ilvl="0" w:tplc="B412C950">
      <w:start w:val="1"/>
      <w:numFmt w:val="decimal"/>
      <w:lvlText w:val="%1."/>
      <w:lvlJc w:val="left"/>
      <w:pPr>
        <w:tabs>
          <w:tab w:val="num" w:pos="720"/>
        </w:tabs>
        <w:ind w:left="720" w:hanging="360"/>
      </w:pPr>
    </w:lvl>
    <w:lvl w:ilvl="1" w:tplc="B64E4E9E">
      <w:start w:val="1"/>
      <w:numFmt w:val="lowerLetter"/>
      <w:lvlText w:val="%2."/>
      <w:lvlJc w:val="left"/>
      <w:pPr>
        <w:tabs>
          <w:tab w:val="num" w:pos="1440"/>
        </w:tabs>
        <w:ind w:left="1440" w:hanging="360"/>
      </w:pPr>
    </w:lvl>
    <w:lvl w:ilvl="2" w:tplc="74DA6B1C">
      <w:start w:val="1"/>
      <w:numFmt w:val="lowerRoman"/>
      <w:lvlText w:val="%3."/>
      <w:lvlJc w:val="right"/>
      <w:pPr>
        <w:tabs>
          <w:tab w:val="num" w:pos="2160"/>
        </w:tabs>
        <w:ind w:left="2160" w:hanging="180"/>
      </w:pPr>
    </w:lvl>
    <w:lvl w:ilvl="3" w:tplc="68BA1C24">
      <w:start w:val="1"/>
      <w:numFmt w:val="decimal"/>
      <w:lvlText w:val="%4."/>
      <w:lvlJc w:val="left"/>
      <w:pPr>
        <w:tabs>
          <w:tab w:val="num" w:pos="2880"/>
        </w:tabs>
        <w:ind w:left="2880" w:hanging="360"/>
      </w:pPr>
    </w:lvl>
    <w:lvl w:ilvl="4" w:tplc="0062F0A0">
      <w:start w:val="1"/>
      <w:numFmt w:val="lowerLetter"/>
      <w:lvlText w:val="%5."/>
      <w:lvlJc w:val="left"/>
      <w:pPr>
        <w:tabs>
          <w:tab w:val="num" w:pos="3600"/>
        </w:tabs>
        <w:ind w:left="3600" w:hanging="360"/>
      </w:pPr>
    </w:lvl>
    <w:lvl w:ilvl="5" w:tplc="DD385556">
      <w:start w:val="1"/>
      <w:numFmt w:val="lowerRoman"/>
      <w:lvlText w:val="%6."/>
      <w:lvlJc w:val="right"/>
      <w:pPr>
        <w:tabs>
          <w:tab w:val="num" w:pos="4320"/>
        </w:tabs>
        <w:ind w:left="4320" w:hanging="180"/>
      </w:pPr>
    </w:lvl>
    <w:lvl w:ilvl="6" w:tplc="2CD69D68">
      <w:start w:val="1"/>
      <w:numFmt w:val="decimal"/>
      <w:lvlText w:val="%7."/>
      <w:lvlJc w:val="left"/>
      <w:pPr>
        <w:tabs>
          <w:tab w:val="num" w:pos="5040"/>
        </w:tabs>
        <w:ind w:left="5040" w:hanging="360"/>
      </w:pPr>
    </w:lvl>
    <w:lvl w:ilvl="7" w:tplc="34089C90">
      <w:start w:val="1"/>
      <w:numFmt w:val="lowerLetter"/>
      <w:lvlText w:val="%8."/>
      <w:lvlJc w:val="left"/>
      <w:pPr>
        <w:tabs>
          <w:tab w:val="num" w:pos="5760"/>
        </w:tabs>
        <w:ind w:left="5760" w:hanging="360"/>
      </w:pPr>
    </w:lvl>
    <w:lvl w:ilvl="8" w:tplc="E3D295E0">
      <w:start w:val="1"/>
      <w:numFmt w:val="lowerRoman"/>
      <w:lvlText w:val="%9."/>
      <w:lvlJc w:val="right"/>
      <w:pPr>
        <w:tabs>
          <w:tab w:val="num" w:pos="6480"/>
        </w:tabs>
        <w:ind w:left="6480" w:hanging="180"/>
      </w:pPr>
    </w:lvl>
  </w:abstractNum>
  <w:abstractNum w:abstractNumId="1" w15:restartNumberingAfterBreak="0">
    <w:nsid w:val="53BC14F5"/>
    <w:multiLevelType w:val="multilevel"/>
    <w:tmpl w:val="CB7E5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E0"/>
    <w:rsid w:val="000240F2"/>
    <w:rsid w:val="00177B43"/>
    <w:rsid w:val="00181E00"/>
    <w:rsid w:val="002478E1"/>
    <w:rsid w:val="00317478"/>
    <w:rsid w:val="00333FEC"/>
    <w:rsid w:val="004C20DA"/>
    <w:rsid w:val="00514C46"/>
    <w:rsid w:val="005A4257"/>
    <w:rsid w:val="005F604B"/>
    <w:rsid w:val="006548DF"/>
    <w:rsid w:val="00674689"/>
    <w:rsid w:val="00736165"/>
    <w:rsid w:val="00780C46"/>
    <w:rsid w:val="007D1E93"/>
    <w:rsid w:val="007F62B9"/>
    <w:rsid w:val="00872FCE"/>
    <w:rsid w:val="0088461B"/>
    <w:rsid w:val="008A0905"/>
    <w:rsid w:val="008B7004"/>
    <w:rsid w:val="008D1873"/>
    <w:rsid w:val="009035E0"/>
    <w:rsid w:val="0090502A"/>
    <w:rsid w:val="009215CC"/>
    <w:rsid w:val="009C1642"/>
    <w:rsid w:val="00A3542F"/>
    <w:rsid w:val="00B02F3B"/>
    <w:rsid w:val="00B67917"/>
    <w:rsid w:val="00B94E07"/>
    <w:rsid w:val="00BF2852"/>
    <w:rsid w:val="00C01E76"/>
    <w:rsid w:val="00C06D49"/>
    <w:rsid w:val="00C15213"/>
    <w:rsid w:val="00DA6358"/>
    <w:rsid w:val="00E1026C"/>
    <w:rsid w:val="00E14B3C"/>
    <w:rsid w:val="00EA6575"/>
    <w:rsid w:val="00EF0298"/>
    <w:rsid w:val="00F95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211D"/>
  <w15:docId w15:val="{CEA64D50-72C4-4F43-BCFA-C9A483CE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PY" w:eastAsia="es-UY"/>
    </w:rPr>
  </w:style>
  <w:style w:type="paragraph" w:styleId="Ttulo1">
    <w:name w:val="heading 1"/>
    <w:basedOn w:val="Normal"/>
    <w:next w:val="Normal"/>
    <w:link w:val="Ttulo1Car"/>
    <w:qFormat/>
    <w:pPr>
      <w:keepNext/>
      <w:widowControl w:val="0"/>
      <w:tabs>
        <w:tab w:val="left" w:pos="5040"/>
      </w:tabs>
      <w:jc w:val="both"/>
      <w:outlineLvl w:val="0"/>
    </w:pPr>
    <w:rPr>
      <w:b/>
      <w:color w:val="000000"/>
      <w:lang w:val="es-ES"/>
    </w:rPr>
  </w:style>
  <w:style w:type="paragraph" w:styleId="Ttulo2">
    <w:name w:val="heading 2"/>
    <w:basedOn w:val="Normal"/>
    <w:next w:val="Normal"/>
    <w:link w:val="Ttulo2Car"/>
    <w:uiPriority w:val="9"/>
    <w:unhideWhenUsed/>
    <w:qFormat/>
    <w:pPr>
      <w:keepNext/>
      <w:keepLines/>
      <w:spacing w:before="360" w:after="200"/>
      <w:outlineLvl w:val="1"/>
    </w:pPr>
    <w:rPr>
      <w:rFonts w:eastAsia="Arial" w:cs="Arial"/>
      <w:sz w:val="34"/>
    </w:rPr>
  </w:style>
  <w:style w:type="paragraph" w:styleId="Ttulo3">
    <w:name w:val="heading 3"/>
    <w:basedOn w:val="Normal"/>
    <w:next w:val="Normal"/>
    <w:link w:val="Ttulo3Car"/>
    <w:uiPriority w:val="9"/>
    <w:unhideWhenUsed/>
    <w:qFormat/>
    <w:pPr>
      <w:keepNext/>
      <w:keepLines/>
      <w:spacing w:before="320" w:after="200"/>
      <w:outlineLvl w:val="2"/>
    </w:pPr>
    <w:rPr>
      <w:rFonts w:eastAsia="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eastAsia="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eastAsia="Arial" w:cs="Arial"/>
      <w:b/>
      <w:bCs/>
      <w:szCs w:val="24"/>
    </w:rPr>
  </w:style>
  <w:style w:type="paragraph" w:styleId="Ttulo6">
    <w:name w:val="heading 6"/>
    <w:basedOn w:val="Normal"/>
    <w:next w:val="Normal"/>
    <w:link w:val="Ttulo6Car"/>
    <w:uiPriority w:val="9"/>
    <w:unhideWhenUsed/>
    <w:qFormat/>
    <w:pPr>
      <w:keepNext/>
      <w:keepLines/>
      <w:spacing w:before="320" w:after="200"/>
      <w:outlineLvl w:val="5"/>
    </w:pPr>
    <w:rPr>
      <w:rFonts w:eastAsia="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eastAsia="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eastAsia="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eastAsia="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sz w:val="40"/>
      <w:szCs w:val="40"/>
    </w:rPr>
  </w:style>
  <w:style w:type="character" w:customStyle="1" w:styleId="Ttulo2Car">
    <w:name w:val="Título 2 Car"/>
    <w:link w:val="Ttulo2"/>
    <w:uiPriority w:val="9"/>
    <w:rPr>
      <w:rFonts w:ascii="Arial" w:eastAsia="Arial" w:hAnsi="Arial" w:cs="Arial"/>
      <w:sz w:val="34"/>
    </w:rPr>
  </w:style>
  <w:style w:type="character" w:customStyle="1" w:styleId="Ttulo3Car">
    <w:name w:val="Título 3 Car"/>
    <w:link w:val="Ttulo3"/>
    <w:uiPriority w:val="9"/>
    <w:rPr>
      <w:rFonts w:ascii="Arial" w:eastAsia="Arial" w:hAnsi="Arial" w:cs="Arial"/>
      <w:sz w:val="30"/>
      <w:szCs w:val="30"/>
    </w:rPr>
  </w:style>
  <w:style w:type="character" w:customStyle="1" w:styleId="Ttulo4Car">
    <w:name w:val="Título 4 Car"/>
    <w:link w:val="Ttulo4"/>
    <w:uiPriority w:val="9"/>
    <w:rPr>
      <w:rFonts w:ascii="Arial" w:eastAsia="Arial" w:hAnsi="Arial" w:cs="Arial"/>
      <w:b/>
      <w:bCs/>
      <w:sz w:val="26"/>
      <w:szCs w:val="26"/>
    </w:rPr>
  </w:style>
  <w:style w:type="character" w:customStyle="1" w:styleId="Ttulo5Car">
    <w:name w:val="Título 5 Car"/>
    <w:link w:val="Ttulo5"/>
    <w:uiPriority w:val="9"/>
    <w:rPr>
      <w:rFonts w:ascii="Arial" w:eastAsia="Arial" w:hAnsi="Arial" w:cs="Arial"/>
      <w:b/>
      <w:bCs/>
      <w:sz w:val="24"/>
      <w:szCs w:val="24"/>
    </w:rPr>
  </w:style>
  <w:style w:type="character" w:customStyle="1" w:styleId="Ttulo6Car">
    <w:name w:val="Título 6 Car"/>
    <w:link w:val="Ttulo6"/>
    <w:uiPriority w:val="9"/>
    <w:rPr>
      <w:rFonts w:ascii="Arial" w:eastAsia="Arial" w:hAnsi="Arial" w:cs="Arial"/>
      <w:b/>
      <w:bCs/>
      <w:sz w:val="22"/>
      <w:szCs w:val="22"/>
    </w:rPr>
  </w:style>
  <w:style w:type="character" w:customStyle="1" w:styleId="Ttulo7Car">
    <w:name w:val="Título 7 Car"/>
    <w:link w:val="Ttulo7"/>
    <w:uiPriority w:val="9"/>
    <w:rPr>
      <w:rFonts w:ascii="Arial" w:eastAsia="Arial" w:hAnsi="Arial" w:cs="Arial"/>
      <w:b/>
      <w:bCs/>
      <w:i/>
      <w:iCs/>
      <w:sz w:val="22"/>
      <w:szCs w:val="22"/>
    </w:rPr>
  </w:style>
  <w:style w:type="character" w:customStyle="1" w:styleId="Ttulo8Car">
    <w:name w:val="Título 8 Car"/>
    <w:link w:val="Ttulo8"/>
    <w:uiPriority w:val="9"/>
    <w:rPr>
      <w:rFonts w:ascii="Arial" w:eastAsia="Arial" w:hAnsi="Arial" w:cs="Arial"/>
      <w:i/>
      <w:iCs/>
      <w:sz w:val="22"/>
      <w:szCs w:val="22"/>
    </w:rPr>
  </w:style>
  <w:style w:type="character" w:customStyle="1" w:styleId="Ttulo9Car">
    <w:name w:val="Título 9 Ca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style>
  <w:style w:type="paragraph" w:styleId="Puesto">
    <w:name w:val="Title"/>
    <w:basedOn w:val="Normal"/>
    <w:next w:val="Normal"/>
    <w:link w:val="PuestoCar"/>
    <w:uiPriority w:val="10"/>
    <w:qFormat/>
    <w:pPr>
      <w:spacing w:before="300" w:after="200"/>
      <w:contextualSpacing/>
    </w:pPr>
    <w:rPr>
      <w:sz w:val="48"/>
      <w:szCs w:val="48"/>
    </w:rPr>
  </w:style>
  <w:style w:type="character" w:customStyle="1" w:styleId="PuestoCar">
    <w:name w:val="Puesto Car"/>
    <w:link w:val="Puesto"/>
    <w:uiPriority w:val="10"/>
    <w:rPr>
      <w:sz w:val="48"/>
      <w:szCs w:val="48"/>
    </w:rPr>
  </w:style>
  <w:style w:type="paragraph" w:styleId="Subttulo">
    <w:name w:val="Subtitle"/>
    <w:basedOn w:val="Normal"/>
    <w:next w:val="Normal"/>
    <w:link w:val="SubttuloCar"/>
    <w:uiPriority w:val="11"/>
    <w:qFormat/>
    <w:pPr>
      <w:spacing w:before="200" w:after="200"/>
    </w:pPr>
    <w:rPr>
      <w:szCs w:val="24"/>
    </w:rPr>
  </w:style>
  <w:style w:type="character" w:customStyle="1" w:styleId="SubttuloCar">
    <w:name w:val="Subtítulo Ca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paragraph" w:styleId="Encabezado">
    <w:name w:val="header"/>
    <w:basedOn w:val="Normal"/>
    <w:link w:val="EncabezadoCar"/>
    <w:uiPriority w:val="99"/>
    <w:unhideWhenUsed/>
    <w:pPr>
      <w:tabs>
        <w:tab w:val="center" w:pos="7143"/>
        <w:tab w:val="right" w:pos="14287"/>
      </w:tabs>
    </w:pPr>
  </w:style>
  <w:style w:type="character" w:customStyle="1" w:styleId="EncabezadoCar">
    <w:name w:val="Encabezado Car"/>
    <w:link w:val="Encabezado"/>
    <w:uiPriority w:val="99"/>
  </w:style>
  <w:style w:type="paragraph" w:styleId="Piedepgina">
    <w:name w:val="footer"/>
    <w:basedOn w:val="Normal"/>
    <w:link w:val="PiedepginaCar"/>
    <w:uiPriority w:val="99"/>
    <w:unhideWhenUsed/>
    <w:pPr>
      <w:tabs>
        <w:tab w:val="center" w:pos="7143"/>
        <w:tab w:val="right" w:pos="14287"/>
      </w:tabs>
    </w:pPr>
  </w:style>
  <w:style w:type="character" w:customStyle="1" w:styleId="FooterChar">
    <w:name w:val="Footer Char"/>
    <w:uiPriority w:val="99"/>
  </w:style>
  <w:style w:type="paragraph" w:styleId="Descripci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PiedepginaCar">
    <w:name w:val="Pie de página Car"/>
    <w:link w:val="Piedepgina"/>
    <w:uiPriority w:val="99"/>
  </w:style>
  <w:style w:type="table" w:styleId="Tablaconcuadrcula">
    <w:name w:val="Table Grid"/>
    <w:basedOn w:val="Tablanormal"/>
    <w:uiPriority w:val="39"/>
    <w:pPr>
      <w:widowControl w:val="0"/>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Tablanormal11">
    <w:name w:val="Tabla normal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anormal21">
    <w:name w:val="Tabla normal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anormal31">
    <w:name w:val="Tabla normal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anormal41">
    <w:name w:val="Tabla normal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anormal51">
    <w:name w:val="Tabla normal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adecuadrcula1clara1">
    <w:name w:val="Tabla de cuadrícula 1 clar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ladecuadrcula21">
    <w:name w:val="Tabla de cuadrícula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ladecuadrcula31">
    <w:name w:val="Tabla de cuadrícula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ladecuadrcula41">
    <w:name w:val="Tabla de cuadrícula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Tabladecuadrcula5oscura1">
    <w:name w:val="Tabla de cuadrícula 5 oscur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Tabladecuadrcula6concolores1">
    <w:name w:val="Tabla de cuadrícula 6 con colores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Tabladecuadrcula7concolores1">
    <w:name w:val="Tabla de cuadrícula 7 con colores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Tabladelista1clara1">
    <w:name w:val="Tabla de lista 1 clara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Tabladelista21">
    <w:name w:val="Tabla de lista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ladelista31">
    <w:name w:val="Tabla de lista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ladelista41">
    <w:name w:val="Tabla de lista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Tabladelista5oscura1">
    <w:name w:val="Tabla de lista 5 oscur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Tabladelista6concolores1">
    <w:name w:val="Tabla de lista 6 con colores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Tabladelista7concolores1">
    <w:name w:val="Tabla de lista 7 con colores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val="es-ES" w:eastAsia="es-ES"/>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val="es-ES" w:eastAsia="es-ES"/>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val="es-ES" w:eastAsia="es-ES"/>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val="es-ES" w:eastAsia="es-ES"/>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val="es-ES" w:eastAsia="es-ES"/>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val="es-ES" w:eastAsia="es-ES"/>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val="es-ES" w:eastAsia="es-ES"/>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val="es-ES" w:eastAsia="es-ES"/>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vnculo">
    <w:name w:val="Hyperlink"/>
    <w:uiPriority w:val="99"/>
    <w:unhideWhenUsed/>
    <w:rPr>
      <w:color w:val="0000FF"/>
      <w:u w:val="single"/>
    </w:r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semiHidden/>
    <w:unhideWhenUsed/>
    <w:rPr>
      <w:sz w:val="20"/>
    </w:rPr>
  </w:style>
  <w:style w:type="character" w:customStyle="1" w:styleId="TextonotaalfinalCar">
    <w:name w:val="Texto nota al final Car"/>
    <w:link w:val="Textonotaalfinal"/>
    <w:uiPriority w:val="99"/>
    <w:rPr>
      <w:sz w:val="20"/>
    </w:rPr>
  </w:style>
  <w:style w:type="character" w:styleId="Refdenotaalfinal">
    <w:name w:val="endnote reference"/>
    <w:uiPriority w:val="99"/>
    <w:semiHidden/>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deTDC">
    <w:name w:val="TOC Heading"/>
    <w:uiPriority w:val="39"/>
    <w:unhideWhenUsed/>
  </w:style>
  <w:style w:type="paragraph" w:styleId="Tabladeilustraciones">
    <w:name w:val="table of figures"/>
    <w:basedOn w:val="Normal"/>
    <w:next w:val="Normal"/>
    <w:uiPriority w:val="99"/>
    <w:unhideWhenUsed/>
  </w:style>
  <w:style w:type="paragraph" w:styleId="Sangradetextonormal">
    <w:name w:val="Body Text Indent"/>
    <w:basedOn w:val="Normal"/>
    <w:semiHidden/>
    <w:pPr>
      <w:ind w:left="540"/>
      <w:jc w:val="both"/>
    </w:pPr>
    <w:rPr>
      <w:rFonts w:ascii="Times New Roman" w:hAnsi="Times New Roman"/>
      <w:lang w:val="es-ES"/>
    </w:rPr>
  </w:style>
  <w:style w:type="paragraph" w:styleId="Textoindependiente2">
    <w:name w:val="Body Text 2"/>
    <w:basedOn w:val="Normal"/>
    <w:semiHidden/>
    <w:pPr>
      <w:jc w:val="both"/>
    </w:pPr>
    <w:rPr>
      <w:lang w:val="es-ES"/>
    </w:rPr>
  </w:style>
  <w:style w:type="paragraph" w:styleId="NormalWeb">
    <w:name w:val="Normal (Web)"/>
    <w:basedOn w:val="Normal"/>
    <w:uiPriority w:val="99"/>
    <w:unhideWhenUsed/>
    <w:pPr>
      <w:spacing w:before="100" w:beforeAutospacing="1" w:after="100" w:afterAutospacing="1"/>
    </w:pPr>
    <w:rPr>
      <w:rFonts w:ascii="Times New Roman" w:hAnsi="Times New Roman"/>
      <w:szCs w:val="24"/>
      <w:lang w:val="es-UY"/>
    </w:r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link w:val="Textocomentario"/>
    <w:uiPriority w:val="99"/>
    <w:rPr>
      <w:rFonts w:ascii="Arial" w:hAnsi="Arial"/>
      <w:lang w:val="es-PY" w:eastAsia="es-UY"/>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rFonts w:ascii="Arial" w:hAnsi="Arial"/>
      <w:b/>
      <w:bCs/>
      <w:lang w:val="es-PY" w:eastAsia="es-UY"/>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val="es-P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be.senasa.gob.ar/s/suGY5mcaAbS9De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SGT8-CSA_2023_ACTA01_ES_BORRADOR.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SGT8-CSA_2023_ACTA01_ES_BORRADOR</Template>
  <TotalTime>0</TotalTime>
  <Pages>5</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MERCOSUR/GMC/GRUPO Ad-Hoc Azúcar/ Acta No</vt:lpstr>
    </vt:vector>
  </TitlesOfParts>
  <Company>SAM</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MERCOSUR/GMC/GRUPO Ad-Hoc Azúcar/ Acta No</dc:title>
  <dc:creator>Marcos R. Rodríguez</dc:creator>
  <cp:lastModifiedBy>Mariano Gimenez</cp:lastModifiedBy>
  <cp:revision>2</cp:revision>
  <dcterms:created xsi:type="dcterms:W3CDTF">2023-07-10T14:37:00Z</dcterms:created>
  <dcterms:modified xsi:type="dcterms:W3CDTF">2023-07-10T14:37:00Z</dcterms:modified>
  <cp:version>917504</cp:version>
</cp:coreProperties>
</file>