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D732" w14:textId="6FE79E17" w:rsidR="004E32B0" w:rsidRPr="00D14782" w:rsidRDefault="009378EE">
      <w:pPr>
        <w:ind w:right="-229"/>
        <w:rPr>
          <w:rFonts w:cs="Arial"/>
          <w:b/>
          <w:bCs/>
          <w:szCs w:val="24"/>
          <w:lang w:val="pt-BR"/>
        </w:rPr>
      </w:pPr>
      <w:r w:rsidRPr="009378EE">
        <w:rPr>
          <w:noProof/>
          <w:lang w:val="pt-BR" w:eastAsia="es-UY"/>
        </w:rPr>
        <w:drawing>
          <wp:inline distT="0" distB="0" distL="0" distR="0" wp14:anchorId="7F2E1FA2" wp14:editId="7FC59942">
            <wp:extent cx="1231265" cy="914400"/>
            <wp:effectExtent l="0" t="0" r="6985" b="0"/>
            <wp:docPr id="9" name="Imagen 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r>
        <w:rPr>
          <w:noProof/>
          <w:lang w:val="pt-BR"/>
        </w:rPr>
        <w:t xml:space="preserve">                                                             </w:t>
      </w:r>
      <w:r>
        <w:rPr>
          <w:noProof/>
          <w:lang w:val="pt-BR"/>
        </w:rPr>
        <w:drawing>
          <wp:inline distT="0" distB="0" distL="0" distR="0" wp14:anchorId="2779351A" wp14:editId="283117B0">
            <wp:extent cx="1256030" cy="914400"/>
            <wp:effectExtent l="0" t="0" r="1270" b="0"/>
            <wp:docPr id="11" name="Imagen 1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Diagram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inline>
        </w:drawing>
      </w:r>
    </w:p>
    <w:p w14:paraId="1CCB5741" w14:textId="77777777" w:rsidR="009378EE" w:rsidRDefault="009378EE" w:rsidP="00144F79">
      <w:pPr>
        <w:ind w:right="-229"/>
        <w:jc w:val="center"/>
        <w:rPr>
          <w:rFonts w:cs="Arial"/>
          <w:b/>
          <w:bCs/>
          <w:szCs w:val="24"/>
          <w:lang w:val="pt-BR"/>
        </w:rPr>
      </w:pPr>
    </w:p>
    <w:p w14:paraId="6D1026CE" w14:textId="77777777" w:rsidR="009378EE" w:rsidRDefault="009378EE" w:rsidP="00144F79">
      <w:pPr>
        <w:ind w:right="-229"/>
        <w:jc w:val="center"/>
        <w:rPr>
          <w:rFonts w:cs="Arial"/>
          <w:b/>
          <w:bCs/>
          <w:szCs w:val="24"/>
          <w:lang w:val="pt-BR"/>
        </w:rPr>
      </w:pPr>
    </w:p>
    <w:p w14:paraId="4F6F84FC" w14:textId="3FDF1AB3" w:rsidR="004E32B0" w:rsidRPr="00D14782" w:rsidRDefault="004E32B0" w:rsidP="009378EE">
      <w:pPr>
        <w:ind w:right="-229"/>
        <w:rPr>
          <w:rFonts w:cs="Arial"/>
          <w:b/>
          <w:szCs w:val="24"/>
          <w:lang w:val="pt-BR"/>
        </w:rPr>
      </w:pPr>
      <w:r w:rsidRPr="00D14782">
        <w:rPr>
          <w:rFonts w:cs="Arial"/>
          <w:b/>
          <w:bCs/>
          <w:szCs w:val="24"/>
          <w:lang w:val="pt-BR"/>
        </w:rPr>
        <w:t>MERCOSUR/SGT Nº 4/SCPEC/ACTA Nº 0</w:t>
      </w:r>
      <w:r w:rsidR="00520CFF" w:rsidRPr="00D14782">
        <w:rPr>
          <w:rFonts w:cs="Arial"/>
          <w:b/>
          <w:bCs/>
          <w:szCs w:val="24"/>
          <w:lang w:val="pt-BR"/>
        </w:rPr>
        <w:t>2</w:t>
      </w:r>
      <w:r w:rsidRPr="00D14782">
        <w:rPr>
          <w:rFonts w:cs="Arial"/>
          <w:b/>
          <w:bCs/>
          <w:szCs w:val="24"/>
          <w:lang w:val="pt-BR"/>
        </w:rPr>
        <w:t>/</w:t>
      </w:r>
      <w:r w:rsidR="00520CFF" w:rsidRPr="00D14782">
        <w:rPr>
          <w:rFonts w:cs="Arial"/>
          <w:b/>
          <w:bCs/>
          <w:szCs w:val="24"/>
          <w:lang w:val="pt-BR"/>
        </w:rPr>
        <w:t>22</w:t>
      </w:r>
    </w:p>
    <w:p w14:paraId="3102BB4A" w14:textId="77777777" w:rsidR="004E32B0" w:rsidRPr="00D14782" w:rsidRDefault="004E32B0">
      <w:pPr>
        <w:jc w:val="center"/>
        <w:rPr>
          <w:rFonts w:cs="Arial"/>
          <w:b/>
          <w:szCs w:val="24"/>
          <w:lang w:val="pt-BR"/>
        </w:rPr>
      </w:pPr>
    </w:p>
    <w:p w14:paraId="50D7DD2C" w14:textId="738B4E94" w:rsidR="004E32B0" w:rsidRPr="00D14782" w:rsidRDefault="00520CFF">
      <w:pPr>
        <w:jc w:val="center"/>
        <w:rPr>
          <w:rFonts w:cs="Arial"/>
          <w:b/>
          <w:szCs w:val="24"/>
        </w:rPr>
      </w:pPr>
      <w:bookmarkStart w:id="0" w:name="_Hlk119419606"/>
      <w:r w:rsidRPr="00D14782">
        <w:rPr>
          <w:rFonts w:cs="Arial"/>
          <w:b/>
          <w:szCs w:val="24"/>
        </w:rPr>
        <w:t>LII</w:t>
      </w:r>
      <w:r w:rsidR="004E32B0" w:rsidRPr="00D14782">
        <w:rPr>
          <w:rFonts w:cs="Arial"/>
          <w:b/>
          <w:szCs w:val="24"/>
        </w:rPr>
        <w:t xml:space="preserve"> REUNIÓN ORDINARIA DEL </w:t>
      </w:r>
      <w:bookmarkStart w:id="1" w:name="_Hlk117260052"/>
      <w:r w:rsidR="004E32B0" w:rsidRPr="00D14782">
        <w:rPr>
          <w:rFonts w:cs="Arial"/>
          <w:b/>
          <w:szCs w:val="24"/>
        </w:rPr>
        <w:t>SUBGRUPO DE TRABAJO N° 4</w:t>
      </w:r>
    </w:p>
    <w:p w14:paraId="044CD248" w14:textId="77777777" w:rsidR="004E32B0" w:rsidRPr="00D14782" w:rsidRDefault="004E32B0">
      <w:pPr>
        <w:jc w:val="center"/>
        <w:rPr>
          <w:rFonts w:cs="Arial"/>
          <w:b/>
          <w:szCs w:val="24"/>
        </w:rPr>
      </w:pPr>
      <w:r w:rsidRPr="00D14782">
        <w:rPr>
          <w:rFonts w:cs="Arial"/>
          <w:b/>
          <w:szCs w:val="24"/>
        </w:rPr>
        <w:t xml:space="preserve"> “ASUNTOS FINANCIEROS”/SUBCOMISIÓN PRESENTACIÓN DE ESTADOS CONTABLES</w:t>
      </w:r>
    </w:p>
    <w:bookmarkEnd w:id="1"/>
    <w:bookmarkEnd w:id="0"/>
    <w:p w14:paraId="122BB9D9" w14:textId="77777777" w:rsidR="004E32B0" w:rsidRPr="00D14782" w:rsidRDefault="004E32B0">
      <w:pPr>
        <w:jc w:val="center"/>
        <w:rPr>
          <w:rFonts w:cs="Arial"/>
          <w:b/>
          <w:szCs w:val="24"/>
        </w:rPr>
      </w:pPr>
    </w:p>
    <w:p w14:paraId="45D8C930" w14:textId="5B7315E0" w:rsidR="004E32B0" w:rsidRPr="00D14782" w:rsidRDefault="009378EE">
      <w:pPr>
        <w:jc w:val="both"/>
        <w:rPr>
          <w:rFonts w:cs="Arial"/>
          <w:szCs w:val="24"/>
        </w:rPr>
      </w:pPr>
      <w:r>
        <w:rPr>
          <w:rFonts w:cs="Arial"/>
          <w:szCs w:val="24"/>
        </w:rPr>
        <w:t>Se realizó e</w:t>
      </w:r>
      <w:r w:rsidR="00C3343E" w:rsidRPr="00D14782">
        <w:rPr>
          <w:rFonts w:cs="Arial"/>
          <w:szCs w:val="24"/>
        </w:rPr>
        <w:t xml:space="preserve">ntre los días </w:t>
      </w:r>
      <w:r w:rsidR="00520CFF" w:rsidRPr="00D14782">
        <w:rPr>
          <w:rFonts w:cs="Arial"/>
          <w:szCs w:val="24"/>
        </w:rPr>
        <w:t>17</w:t>
      </w:r>
      <w:r w:rsidR="00C3343E" w:rsidRPr="00D14782">
        <w:rPr>
          <w:rFonts w:cs="Arial"/>
          <w:szCs w:val="24"/>
        </w:rPr>
        <w:t xml:space="preserve"> al </w:t>
      </w:r>
      <w:r w:rsidR="00520CFF" w:rsidRPr="00D14782">
        <w:rPr>
          <w:rFonts w:cs="Arial"/>
          <w:szCs w:val="24"/>
        </w:rPr>
        <w:t>19</w:t>
      </w:r>
      <w:r w:rsidR="00C3343E" w:rsidRPr="00D14782">
        <w:rPr>
          <w:rFonts w:cs="Arial"/>
          <w:szCs w:val="24"/>
        </w:rPr>
        <w:t xml:space="preserve"> de </w:t>
      </w:r>
      <w:r w:rsidR="00520CFF" w:rsidRPr="00D14782">
        <w:rPr>
          <w:rFonts w:cs="Arial"/>
          <w:szCs w:val="24"/>
        </w:rPr>
        <w:t>octubre</w:t>
      </w:r>
      <w:r w:rsidR="00C3343E" w:rsidRPr="00D14782">
        <w:rPr>
          <w:rFonts w:cs="Arial"/>
          <w:szCs w:val="24"/>
        </w:rPr>
        <w:t xml:space="preserve"> de 202</w:t>
      </w:r>
      <w:r w:rsidR="00520CFF" w:rsidRPr="00D14782">
        <w:rPr>
          <w:rFonts w:cs="Arial"/>
          <w:szCs w:val="24"/>
        </w:rPr>
        <w:t>2</w:t>
      </w:r>
      <w:r w:rsidR="00C3343E" w:rsidRPr="00D14782">
        <w:rPr>
          <w:rFonts w:cs="Arial"/>
          <w:szCs w:val="24"/>
        </w:rPr>
        <w:t xml:space="preserve">, </w:t>
      </w:r>
      <w:r>
        <w:rPr>
          <w:rFonts w:cs="Arial"/>
          <w:szCs w:val="24"/>
        </w:rPr>
        <w:t xml:space="preserve">en ejercicio de </w:t>
      </w:r>
      <w:r w:rsidR="00C3343E" w:rsidRPr="00D14782">
        <w:rPr>
          <w:rFonts w:cs="Arial"/>
          <w:szCs w:val="24"/>
        </w:rPr>
        <w:t xml:space="preserve">la Presidencia </w:t>
      </w:r>
      <w:r w:rsidR="00C3343E" w:rsidRPr="00D14782">
        <w:rPr>
          <w:rFonts w:cs="Arial"/>
          <w:i/>
          <w:szCs w:val="24"/>
        </w:rPr>
        <w:t>Pro Tempore</w:t>
      </w:r>
      <w:r w:rsidR="00C3343E" w:rsidRPr="00D14782">
        <w:rPr>
          <w:rFonts w:cs="Arial"/>
          <w:szCs w:val="24"/>
        </w:rPr>
        <w:t xml:space="preserve"> de Uruguay, la </w:t>
      </w:r>
      <w:r>
        <w:rPr>
          <w:rFonts w:cs="Arial"/>
          <w:szCs w:val="24"/>
        </w:rPr>
        <w:t xml:space="preserve">reunión ordinaria de la </w:t>
      </w:r>
      <w:r w:rsidR="00C3343E" w:rsidRPr="00D14782">
        <w:rPr>
          <w:rFonts w:cs="Arial"/>
          <w:szCs w:val="24"/>
        </w:rPr>
        <w:t xml:space="preserve">Subcomisión de Presentación de Estados Contables (SCPEC), en el marco de </w:t>
      </w:r>
      <w:r w:rsidR="004E32B0" w:rsidRPr="00D14782">
        <w:rPr>
          <w:rFonts w:cs="Arial"/>
          <w:szCs w:val="24"/>
        </w:rPr>
        <w:t xml:space="preserve">la </w:t>
      </w:r>
      <w:r w:rsidR="00520CFF" w:rsidRPr="00D14782">
        <w:rPr>
          <w:rFonts w:cs="Arial"/>
          <w:szCs w:val="24"/>
        </w:rPr>
        <w:t>LII</w:t>
      </w:r>
      <w:r w:rsidR="004E32B0" w:rsidRPr="00D14782">
        <w:rPr>
          <w:rFonts w:cs="Arial"/>
          <w:szCs w:val="24"/>
        </w:rPr>
        <w:t xml:space="preserve"> Reunión Ordinaria del Subgrupo de Trab</w:t>
      </w:r>
      <w:r w:rsidR="00C3343E" w:rsidRPr="00D14782">
        <w:rPr>
          <w:rFonts w:cs="Arial"/>
          <w:szCs w:val="24"/>
        </w:rPr>
        <w:t>ajo Nº 4 “Asuntos Financieros”</w:t>
      </w:r>
      <w:r w:rsidR="004E32B0" w:rsidRPr="00D14782">
        <w:rPr>
          <w:rFonts w:cs="Arial"/>
          <w:szCs w:val="24"/>
        </w:rPr>
        <w:t xml:space="preserve">, </w:t>
      </w:r>
      <w:r w:rsidR="00C3343E" w:rsidRPr="00D14782">
        <w:rPr>
          <w:rFonts w:cs="Arial"/>
          <w:szCs w:val="24"/>
        </w:rPr>
        <w:t xml:space="preserve">por el sistema de videoconferencia, de conformidad </w:t>
      </w:r>
      <w:r>
        <w:rPr>
          <w:rFonts w:cs="Arial"/>
          <w:szCs w:val="24"/>
        </w:rPr>
        <w:t>a lo dispuesto en</w:t>
      </w:r>
      <w:r w:rsidR="00C3343E" w:rsidRPr="00D14782">
        <w:rPr>
          <w:rFonts w:cs="Arial"/>
          <w:szCs w:val="24"/>
        </w:rPr>
        <w:t xml:space="preserve"> la Resolución GMC </w:t>
      </w:r>
      <w:proofErr w:type="spellStart"/>
      <w:r w:rsidR="00C3343E" w:rsidRPr="00D14782">
        <w:rPr>
          <w:rFonts w:cs="Arial"/>
          <w:szCs w:val="24"/>
        </w:rPr>
        <w:t>N°</w:t>
      </w:r>
      <w:proofErr w:type="spellEnd"/>
      <w:r w:rsidR="00C3343E" w:rsidRPr="00D14782">
        <w:rPr>
          <w:rFonts w:cs="Arial"/>
          <w:szCs w:val="24"/>
        </w:rPr>
        <w:t xml:space="preserve"> 19/12, </w:t>
      </w:r>
      <w:r w:rsidR="00520CFF" w:rsidRPr="00D14782">
        <w:rPr>
          <w:rFonts w:cs="Arial"/>
          <w:szCs w:val="24"/>
        </w:rPr>
        <w:t>con la participación de las d</w:t>
      </w:r>
      <w:r w:rsidR="004E32B0" w:rsidRPr="00D14782">
        <w:rPr>
          <w:rFonts w:cs="Arial"/>
          <w:szCs w:val="24"/>
        </w:rPr>
        <w:t xml:space="preserve">elegaciones de Argentina, </w:t>
      </w:r>
      <w:r w:rsidR="00520CFF" w:rsidRPr="00D14782">
        <w:rPr>
          <w:rFonts w:cs="Arial"/>
          <w:szCs w:val="24"/>
        </w:rPr>
        <w:t xml:space="preserve">Brasil, </w:t>
      </w:r>
      <w:r w:rsidR="004E32B0" w:rsidRPr="00D14782">
        <w:rPr>
          <w:rFonts w:cs="Arial"/>
          <w:szCs w:val="24"/>
        </w:rPr>
        <w:t>Paraguay y Uruguay.</w:t>
      </w:r>
    </w:p>
    <w:p w14:paraId="28AB0C75" w14:textId="77777777" w:rsidR="004E32B0" w:rsidRPr="00D14782" w:rsidRDefault="004E32B0">
      <w:pPr>
        <w:jc w:val="both"/>
        <w:rPr>
          <w:rFonts w:eastAsia="Calibri" w:cs="Arial"/>
          <w:szCs w:val="24"/>
        </w:rPr>
      </w:pPr>
    </w:p>
    <w:p w14:paraId="4509AC0F" w14:textId="7D385181" w:rsidR="004E32B0" w:rsidRPr="00D14782" w:rsidRDefault="00520CFF">
      <w:pPr>
        <w:jc w:val="both"/>
        <w:rPr>
          <w:rFonts w:cs="Arial"/>
          <w:szCs w:val="24"/>
        </w:rPr>
      </w:pPr>
      <w:r w:rsidRPr="00D14782">
        <w:rPr>
          <w:rFonts w:cs="Arial"/>
          <w:szCs w:val="24"/>
        </w:rPr>
        <w:t>La</w:t>
      </w:r>
      <w:r w:rsidR="004E32B0" w:rsidRPr="00D14782">
        <w:rPr>
          <w:rFonts w:cs="Arial"/>
          <w:szCs w:val="24"/>
        </w:rPr>
        <w:t xml:space="preserve"> </w:t>
      </w:r>
      <w:r w:rsidRPr="00D14782">
        <w:rPr>
          <w:rFonts w:cs="Arial"/>
          <w:szCs w:val="24"/>
        </w:rPr>
        <w:t>d</w:t>
      </w:r>
      <w:r w:rsidR="00925A37" w:rsidRPr="00D14782">
        <w:rPr>
          <w:rFonts w:cs="Arial"/>
          <w:szCs w:val="24"/>
        </w:rPr>
        <w:t>elegación</w:t>
      </w:r>
      <w:r w:rsidR="004E32B0" w:rsidRPr="00D14782">
        <w:rPr>
          <w:rFonts w:cs="Arial"/>
          <w:szCs w:val="24"/>
        </w:rPr>
        <w:t xml:space="preserve"> de </w:t>
      </w:r>
      <w:r w:rsidRPr="00D14782">
        <w:rPr>
          <w:rFonts w:cs="Arial"/>
          <w:szCs w:val="24"/>
        </w:rPr>
        <w:t xml:space="preserve">Bolivia participó de acuerdo a lo establecido </w:t>
      </w:r>
      <w:r w:rsidR="004E32B0" w:rsidRPr="00D14782">
        <w:rPr>
          <w:rFonts w:cs="Arial"/>
          <w:szCs w:val="24"/>
        </w:rPr>
        <w:t xml:space="preserve">en la Decisión CMC N° </w:t>
      </w:r>
      <w:r w:rsidRPr="00D14782">
        <w:rPr>
          <w:rFonts w:cs="Arial"/>
          <w:szCs w:val="24"/>
        </w:rPr>
        <w:t>13</w:t>
      </w:r>
      <w:r w:rsidR="004E32B0" w:rsidRPr="00D14782">
        <w:rPr>
          <w:rFonts w:cs="Arial"/>
          <w:szCs w:val="24"/>
        </w:rPr>
        <w:t>/15.</w:t>
      </w:r>
    </w:p>
    <w:p w14:paraId="1F1AA733" w14:textId="77777777" w:rsidR="004E32B0" w:rsidRPr="00D14782" w:rsidRDefault="004E32B0">
      <w:pPr>
        <w:pStyle w:val="Textoindependiente"/>
        <w:rPr>
          <w:rFonts w:cs="Arial"/>
          <w:szCs w:val="24"/>
        </w:rPr>
      </w:pPr>
    </w:p>
    <w:p w14:paraId="5C8D0AA5" w14:textId="229DE7AD" w:rsidR="004E32B0" w:rsidRPr="00D14782" w:rsidRDefault="00F14894">
      <w:pPr>
        <w:pStyle w:val="Sangradetextonormal"/>
        <w:spacing w:after="0"/>
        <w:ind w:left="0"/>
        <w:rPr>
          <w:rFonts w:cs="Arial"/>
          <w:b/>
          <w:szCs w:val="24"/>
        </w:rPr>
      </w:pPr>
      <w:r w:rsidRPr="00D14782">
        <w:rPr>
          <w:rFonts w:cs="Arial"/>
          <w:szCs w:val="24"/>
        </w:rPr>
        <w:t>La Lista de Partic</w:t>
      </w:r>
      <w:r w:rsidR="00310F48" w:rsidRPr="00D14782">
        <w:rPr>
          <w:rFonts w:cs="Arial"/>
          <w:szCs w:val="24"/>
        </w:rPr>
        <w:t>i</w:t>
      </w:r>
      <w:r w:rsidRPr="00D14782">
        <w:rPr>
          <w:rFonts w:cs="Arial"/>
          <w:szCs w:val="24"/>
        </w:rPr>
        <w:t>pantes consta como</w:t>
      </w:r>
      <w:r w:rsidRPr="00D14782">
        <w:rPr>
          <w:rFonts w:cs="Arial"/>
          <w:b/>
          <w:szCs w:val="24"/>
        </w:rPr>
        <w:t xml:space="preserve"> Anexo I.</w:t>
      </w:r>
    </w:p>
    <w:p w14:paraId="6B6F92C1" w14:textId="77777777" w:rsidR="00DE1670" w:rsidRPr="00D14782" w:rsidRDefault="00DE1670">
      <w:pPr>
        <w:pStyle w:val="Sangradetextonormal"/>
        <w:spacing w:after="0"/>
        <w:ind w:left="0"/>
        <w:rPr>
          <w:rFonts w:cs="Arial"/>
          <w:b/>
          <w:szCs w:val="24"/>
        </w:rPr>
      </w:pPr>
    </w:p>
    <w:p w14:paraId="6995228C" w14:textId="4C254F32" w:rsidR="00F14894" w:rsidRPr="00D14782" w:rsidRDefault="00F14894">
      <w:pPr>
        <w:pStyle w:val="Sangradetextonormal"/>
        <w:spacing w:after="0"/>
        <w:ind w:left="0"/>
        <w:rPr>
          <w:rFonts w:cs="Arial"/>
          <w:b/>
          <w:szCs w:val="24"/>
        </w:rPr>
      </w:pPr>
      <w:r w:rsidRPr="00D14782">
        <w:rPr>
          <w:rFonts w:cs="Arial"/>
          <w:szCs w:val="24"/>
        </w:rPr>
        <w:t>La Agenda consta como</w:t>
      </w:r>
      <w:r w:rsidRPr="00D14782">
        <w:rPr>
          <w:rFonts w:cs="Arial"/>
          <w:b/>
          <w:szCs w:val="24"/>
        </w:rPr>
        <w:t xml:space="preserve"> Anexo II.</w:t>
      </w:r>
    </w:p>
    <w:p w14:paraId="325DF3FE" w14:textId="77777777" w:rsidR="00DE1670" w:rsidRPr="00D14782" w:rsidRDefault="00DE1670">
      <w:pPr>
        <w:pStyle w:val="Sangradetextonormal"/>
        <w:spacing w:after="0"/>
        <w:ind w:left="0"/>
        <w:rPr>
          <w:rFonts w:cs="Arial"/>
          <w:b/>
          <w:szCs w:val="24"/>
        </w:rPr>
      </w:pPr>
    </w:p>
    <w:p w14:paraId="5E5709F1" w14:textId="3E4C9DF2" w:rsidR="00F14894" w:rsidRPr="00D14782" w:rsidRDefault="00F14894">
      <w:pPr>
        <w:pStyle w:val="Sangradetextonormal"/>
        <w:spacing w:after="0"/>
        <w:ind w:left="0"/>
        <w:rPr>
          <w:rFonts w:cs="Arial"/>
          <w:b/>
          <w:szCs w:val="24"/>
        </w:rPr>
      </w:pPr>
      <w:r w:rsidRPr="00D14782">
        <w:rPr>
          <w:rFonts w:cs="Arial"/>
          <w:szCs w:val="24"/>
        </w:rPr>
        <w:t>El Resumen del Acta consta como</w:t>
      </w:r>
      <w:r w:rsidRPr="00D14782">
        <w:rPr>
          <w:rFonts w:cs="Arial"/>
          <w:b/>
          <w:szCs w:val="24"/>
        </w:rPr>
        <w:t xml:space="preserve"> Anexo III.</w:t>
      </w:r>
    </w:p>
    <w:p w14:paraId="4E5C198A" w14:textId="77777777" w:rsidR="00F14894" w:rsidRPr="00D14782" w:rsidRDefault="00F14894">
      <w:pPr>
        <w:pStyle w:val="Sangradetextonormal"/>
        <w:spacing w:after="0"/>
        <w:ind w:left="0"/>
        <w:rPr>
          <w:rFonts w:cs="Arial"/>
          <w:b/>
          <w:szCs w:val="24"/>
        </w:rPr>
      </w:pPr>
    </w:p>
    <w:p w14:paraId="29DE41D8" w14:textId="77777777" w:rsidR="004E32B0" w:rsidRPr="00D14782" w:rsidRDefault="004E32B0">
      <w:pPr>
        <w:pStyle w:val="Sangradetextonormal"/>
        <w:spacing w:after="0"/>
        <w:ind w:left="0"/>
        <w:rPr>
          <w:rFonts w:eastAsia="Calibri" w:cs="Arial"/>
          <w:b/>
          <w:bCs/>
          <w:szCs w:val="24"/>
          <w:lang w:val="es-PY"/>
        </w:rPr>
      </w:pPr>
      <w:r w:rsidRPr="00D14782">
        <w:rPr>
          <w:rFonts w:cs="Arial"/>
          <w:szCs w:val="24"/>
        </w:rPr>
        <w:t xml:space="preserve">En la Reunión fueron tratados los siguientes temas: </w:t>
      </w:r>
    </w:p>
    <w:p w14:paraId="4E90D682" w14:textId="12D376D8" w:rsidR="004E32B0" w:rsidRPr="00D14782" w:rsidRDefault="004E32B0">
      <w:pPr>
        <w:numPr>
          <w:ilvl w:val="0"/>
          <w:numId w:val="2"/>
        </w:numPr>
        <w:spacing w:before="240"/>
        <w:jc w:val="both"/>
        <w:rPr>
          <w:rFonts w:eastAsia="Calibri" w:cs="Arial"/>
          <w:szCs w:val="24"/>
          <w:lang w:val="es-PY"/>
        </w:rPr>
      </w:pPr>
      <w:r w:rsidRPr="00D14782">
        <w:rPr>
          <w:rFonts w:eastAsia="Calibri" w:cs="Arial"/>
          <w:b/>
          <w:bCs/>
          <w:szCs w:val="24"/>
          <w:lang w:val="es-PY"/>
        </w:rPr>
        <w:t>NOVEDADES Y AVANCES REGISTRADOS EN LA ADOPCIÓN DE LAS NORMAS INTERNACIONALES DE INFORMACIÓN FINANCIERA</w:t>
      </w:r>
      <w:r w:rsidR="001F356D" w:rsidRPr="00D14782">
        <w:rPr>
          <w:rFonts w:eastAsia="Calibri" w:cs="Arial"/>
          <w:b/>
          <w:bCs/>
          <w:szCs w:val="24"/>
          <w:lang w:val="es-PY"/>
        </w:rPr>
        <w:t xml:space="preserve"> (NIIF)</w:t>
      </w:r>
      <w:r w:rsidRPr="00D14782">
        <w:rPr>
          <w:rFonts w:eastAsia="Calibri" w:cs="Arial"/>
          <w:b/>
          <w:bCs/>
          <w:szCs w:val="24"/>
          <w:lang w:val="es-PY"/>
        </w:rPr>
        <w:t xml:space="preserve"> </w:t>
      </w:r>
    </w:p>
    <w:p w14:paraId="2582074E" w14:textId="77777777" w:rsidR="004E32B0" w:rsidRPr="00D14782" w:rsidRDefault="004E32B0">
      <w:pPr>
        <w:rPr>
          <w:rFonts w:eastAsia="Calibri" w:cs="Arial"/>
          <w:szCs w:val="24"/>
          <w:lang w:val="es-PY"/>
        </w:rPr>
      </w:pPr>
    </w:p>
    <w:p w14:paraId="0E57C271" w14:textId="0042010F" w:rsidR="00474CD0" w:rsidRPr="00D14782" w:rsidRDefault="00474CD0"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rsidRPr="00D14782">
        <w:t>La delegación de Arge</w:t>
      </w:r>
      <w:r w:rsidR="001F356D" w:rsidRPr="00D14782">
        <w:t>ntina inform</w:t>
      </w:r>
      <w:r w:rsidR="009378EE">
        <w:t>ó</w:t>
      </w:r>
      <w:r w:rsidRPr="00D14782">
        <w:t xml:space="preserve"> que las modificaciones a las NIIF incluidas en la última Circular de Adopción Nº 18 de la Federación Argentina de Consejos Profesionales de Ciencias Económicas (FACPCE), cuyas principales características fueron comentadas en la reunión de mayo de 2022, se encuentran aún en proceso de aprobación formal por parte de las autoridades. Cabe recordar que la mencionada Circular incluía adecuaciones menores, principalmente en las siguientes normas internacionales: NIC 1, NIC 8, </w:t>
      </w:r>
      <w:r w:rsidR="001F356D" w:rsidRPr="00D14782">
        <w:t xml:space="preserve">NIC 12 </w:t>
      </w:r>
      <w:r w:rsidRPr="00D14782">
        <w:t>y</w:t>
      </w:r>
      <w:r w:rsidR="001F356D" w:rsidRPr="00D14782">
        <w:t xml:space="preserve"> NIIF 16</w:t>
      </w:r>
      <w:r w:rsidRPr="00D14782">
        <w:t>.</w:t>
      </w:r>
    </w:p>
    <w:p w14:paraId="293FB41E" w14:textId="77777777" w:rsidR="00474CD0" w:rsidRPr="00D14782" w:rsidRDefault="00474CD0"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p w14:paraId="043B727F" w14:textId="65108796" w:rsidR="00310CA1" w:rsidRPr="00D14782" w:rsidRDefault="00310CA1" w:rsidP="0031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r w:rsidRPr="00D14782">
        <w:rPr>
          <w:rFonts w:cs="Arial"/>
          <w:lang w:val="es-ES" w:eastAsia="es-BO"/>
        </w:rPr>
        <w:t>La delegación de Bolivia inform</w:t>
      </w:r>
      <w:r w:rsidR="009378EE">
        <w:rPr>
          <w:rFonts w:cs="Arial"/>
          <w:lang w:val="es-ES" w:eastAsia="es-BO"/>
        </w:rPr>
        <w:t>ó</w:t>
      </w:r>
      <w:r w:rsidRPr="00D14782">
        <w:rPr>
          <w:rFonts w:cs="Arial"/>
          <w:lang w:val="es-ES" w:eastAsia="es-BO"/>
        </w:rPr>
        <w:t xml:space="preserve"> no tener novedades sobre este punto.</w:t>
      </w:r>
    </w:p>
    <w:p w14:paraId="77A43425" w14:textId="77777777" w:rsidR="00310CA1" w:rsidRPr="00D14782" w:rsidRDefault="00310CA1"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p>
    <w:p w14:paraId="441AD817" w14:textId="5367FC4C" w:rsidR="00D63B79" w:rsidRPr="00D14782" w:rsidRDefault="00D63B79"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r w:rsidRPr="00D14782">
        <w:rPr>
          <w:rFonts w:cs="Arial"/>
          <w:lang w:val="es-ES" w:eastAsia="es-BO"/>
        </w:rPr>
        <w:t>La d</w:t>
      </w:r>
      <w:r w:rsidR="001F356D" w:rsidRPr="00D14782">
        <w:rPr>
          <w:rFonts w:cs="Arial"/>
          <w:lang w:val="es-ES" w:eastAsia="es-BO"/>
        </w:rPr>
        <w:t>elegación de Brasil inform</w:t>
      </w:r>
      <w:r w:rsidR="009378EE">
        <w:rPr>
          <w:rFonts w:cs="Arial"/>
          <w:lang w:val="es-ES" w:eastAsia="es-BO"/>
        </w:rPr>
        <w:t>ó</w:t>
      </w:r>
      <w:r w:rsidRPr="00D14782">
        <w:rPr>
          <w:rFonts w:cs="Arial"/>
          <w:lang w:val="es-ES" w:eastAsia="es-BO"/>
        </w:rPr>
        <w:t xml:space="preserve"> a la Subcomisión sobre los avances en relación a la convergencia de las normas contables aplicables a las instituciones </w:t>
      </w:r>
      <w:r w:rsidRPr="00D14782">
        <w:rPr>
          <w:rFonts w:cs="Arial"/>
          <w:lang w:val="es-ES" w:eastAsia="es-BO"/>
        </w:rPr>
        <w:lastRenderedPageBreak/>
        <w:t xml:space="preserve">financieras a las </w:t>
      </w:r>
      <w:r w:rsidR="001F356D" w:rsidRPr="00D14782">
        <w:rPr>
          <w:rFonts w:cs="Arial"/>
          <w:lang w:val="es-ES" w:eastAsia="es-BO"/>
        </w:rPr>
        <w:t>NIIF</w:t>
      </w:r>
      <w:r w:rsidRPr="00D14782">
        <w:rPr>
          <w:rFonts w:cs="Arial"/>
          <w:lang w:val="es-ES" w:eastAsia="es-BO"/>
        </w:rPr>
        <w:t xml:space="preserve">. Desde la última reunión de la Subcomisión, Brasil avanzó en el proceso de convergencia a las </w:t>
      </w:r>
      <w:r w:rsidR="001F356D" w:rsidRPr="00D14782">
        <w:rPr>
          <w:rFonts w:cs="Arial"/>
          <w:lang w:val="es-ES" w:eastAsia="es-BO"/>
        </w:rPr>
        <w:t>NIIF</w:t>
      </w:r>
      <w:r w:rsidRPr="00D14782">
        <w:rPr>
          <w:rFonts w:cs="Arial"/>
          <w:lang w:val="es-ES" w:eastAsia="es-BO"/>
        </w:rPr>
        <w:t>, emitiendo cuatro Resoluciones sobre el tema.</w:t>
      </w:r>
    </w:p>
    <w:p w14:paraId="414CA956" w14:textId="77777777" w:rsidR="00D63B79" w:rsidRPr="00D14782" w:rsidRDefault="00D63B79"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p>
    <w:p w14:paraId="35091F29" w14:textId="55096BA7" w:rsidR="00D63B79" w:rsidRPr="00D14782" w:rsidRDefault="00A95C1E"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r w:rsidRPr="00D14782">
        <w:rPr>
          <w:rFonts w:cs="Arial"/>
          <w:lang w:val="es-ES" w:eastAsia="es-BO"/>
        </w:rPr>
        <w:t>La primera de ellas es la Resolución CMN N° 4.966, que mediante norma propia aprobó los conceptos y criterios contables aplicables a los instrumentos financieros, así como para la designación y reconocimiento de relaciones de cobertura previstos en las NIIF 9. La dele</w:t>
      </w:r>
      <w:r w:rsidR="001F356D" w:rsidRPr="00D14782">
        <w:rPr>
          <w:rFonts w:cs="Arial"/>
          <w:lang w:val="es-ES" w:eastAsia="es-BO"/>
        </w:rPr>
        <w:t>gación de Brasil también explic</w:t>
      </w:r>
      <w:r w:rsidR="009378EE">
        <w:rPr>
          <w:rFonts w:cs="Arial"/>
          <w:lang w:val="es-ES" w:eastAsia="es-BO"/>
        </w:rPr>
        <w:t>ó</w:t>
      </w:r>
      <w:r w:rsidRPr="00D14782">
        <w:rPr>
          <w:rFonts w:cs="Arial"/>
          <w:lang w:val="es-ES" w:eastAsia="es-BO"/>
        </w:rPr>
        <w:t xml:space="preserve"> las adecuaciones que, por razones prudenciales, se hicieron al estándar internacional, como la prohibición de opción de valor razonable para pasivos financieros y el establecimiento de pisos de provisión para activos problemáticos.</w:t>
      </w:r>
    </w:p>
    <w:p w14:paraId="32ADA6C4" w14:textId="77777777" w:rsidR="00A95C1E" w:rsidRPr="00D14782" w:rsidRDefault="00A95C1E"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p>
    <w:p w14:paraId="4AE37775" w14:textId="2327FFAE" w:rsidR="00A95C1E" w:rsidRPr="00D14782" w:rsidRDefault="00A95C1E"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r w:rsidRPr="00D14782">
        <w:rPr>
          <w:rFonts w:cs="Arial"/>
          <w:lang w:val="es-ES" w:eastAsia="es-BO"/>
        </w:rPr>
        <w:t xml:space="preserve">También se emitió la Resolución CMN N° 4.975, que aprobó en su totalidad la NIIF 16. </w:t>
      </w:r>
      <w:r w:rsidR="001F356D" w:rsidRPr="00D14782">
        <w:rPr>
          <w:rFonts w:cs="Arial"/>
          <w:lang w:val="es-ES" w:eastAsia="es-BO"/>
        </w:rPr>
        <w:t>La delegación de Brasil explic</w:t>
      </w:r>
      <w:r w:rsidR="009378EE">
        <w:rPr>
          <w:rFonts w:cs="Arial"/>
          <w:lang w:val="es-ES" w:eastAsia="es-BO"/>
        </w:rPr>
        <w:t>ó</w:t>
      </w:r>
      <w:r w:rsidRPr="00D14782">
        <w:rPr>
          <w:rFonts w:cs="Arial"/>
          <w:lang w:val="es-ES" w:eastAsia="es-BO"/>
        </w:rPr>
        <w:t xml:space="preserve"> que, de acuerdo al modelo actual, que difiere significativamente de la </w:t>
      </w:r>
      <w:r w:rsidR="001F356D" w:rsidRPr="00D14782">
        <w:rPr>
          <w:rFonts w:cs="Arial"/>
          <w:lang w:val="es-ES" w:eastAsia="es-BO"/>
        </w:rPr>
        <w:t>norma internacional, se prohibió</w:t>
      </w:r>
      <w:r w:rsidRPr="00D14782">
        <w:rPr>
          <w:rFonts w:cs="Arial"/>
          <w:lang w:val="es-ES" w:eastAsia="es-BO"/>
        </w:rPr>
        <w:t xml:space="preserve"> la adopción de algunos criterios de transición previstos en la norma internacional, lo que permitía que la adopción fuera prospectiva. Por </w:t>
      </w:r>
      <w:r w:rsidR="001F356D" w:rsidRPr="00D14782">
        <w:rPr>
          <w:rFonts w:cs="Arial"/>
          <w:lang w:val="es-ES" w:eastAsia="es-BO"/>
        </w:rPr>
        <w:t xml:space="preserve">lo </w:t>
      </w:r>
      <w:r w:rsidRPr="00D14782">
        <w:rPr>
          <w:rFonts w:cs="Arial"/>
          <w:lang w:val="es-ES" w:eastAsia="es-BO"/>
        </w:rPr>
        <w:t>tanto, a partir de 2025, fecha de entrada en vigencia de la nueva norma, se deberá aplicar la NIIF 16 a todos los contratos existentes.</w:t>
      </w:r>
    </w:p>
    <w:p w14:paraId="3EF4D99C" w14:textId="77777777" w:rsidR="00A95C1E" w:rsidRPr="00D14782" w:rsidRDefault="00A95C1E"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p>
    <w:p w14:paraId="524D1308" w14:textId="37ED3E82" w:rsidR="00A95C1E" w:rsidRPr="00D14782" w:rsidRDefault="00924F74"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r w:rsidRPr="00D14782">
        <w:rPr>
          <w:rFonts w:cs="Arial"/>
          <w:lang w:val="es-ES" w:eastAsia="es-BO"/>
        </w:rPr>
        <w:t>También se emitió la Resolución CMN N° 4.924, la cual adoptó en su totalidad la NI</w:t>
      </w:r>
      <w:r w:rsidR="00E517E4">
        <w:rPr>
          <w:rFonts w:cs="Arial"/>
          <w:lang w:val="es-ES" w:eastAsia="es-BO"/>
        </w:rPr>
        <w:t>I</w:t>
      </w:r>
      <w:r w:rsidRPr="00D14782">
        <w:rPr>
          <w:rFonts w:cs="Arial"/>
          <w:lang w:val="es-ES" w:eastAsia="es-BO"/>
        </w:rPr>
        <w:t>F 15, a partir de 1</w:t>
      </w:r>
      <w:r w:rsidR="001F356D" w:rsidRPr="00D14782">
        <w:rPr>
          <w:rFonts w:cs="Arial"/>
          <w:lang w:val="es-ES" w:eastAsia="es-BO"/>
        </w:rPr>
        <w:t>°</w:t>
      </w:r>
      <w:r w:rsidRPr="00D14782">
        <w:rPr>
          <w:rFonts w:cs="Arial"/>
          <w:lang w:val="es-ES" w:eastAsia="es-BO"/>
        </w:rPr>
        <w:t xml:space="preserve"> de enero de 2022. En la adopción de la NIIF 15, sin embargo, se prohibió el uso del párrafo B46, que permite a una entidad reconocer un ingreso por el incumplimiento de un pasivo contractual cuando la probabilidad de que el cliente ejerza sus derechos se vuelva remota. Con esta prohibición, la institución sólo puede reconocer ingresos cuando efe</w:t>
      </w:r>
      <w:r w:rsidR="00AB3D30" w:rsidRPr="00D14782">
        <w:rPr>
          <w:rFonts w:cs="Arial"/>
          <w:lang w:val="es-ES" w:eastAsia="es-BO"/>
        </w:rPr>
        <w:t>c</w:t>
      </w:r>
      <w:r w:rsidRPr="00D14782">
        <w:rPr>
          <w:rFonts w:cs="Arial"/>
          <w:lang w:val="es-ES" w:eastAsia="es-BO"/>
        </w:rPr>
        <w:t>tivamente se extinga la obligación.</w:t>
      </w:r>
    </w:p>
    <w:p w14:paraId="52D8A7D4" w14:textId="77777777" w:rsidR="00924F74" w:rsidRPr="00D14782" w:rsidRDefault="00924F74"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p>
    <w:p w14:paraId="5CAB45BB" w14:textId="1CD55067" w:rsidR="00924F74" w:rsidRPr="00D14782" w:rsidRDefault="00924F74"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r w:rsidRPr="00D14782">
        <w:rPr>
          <w:rFonts w:cs="Arial"/>
          <w:lang w:val="es-ES" w:eastAsia="es-BO"/>
        </w:rPr>
        <w:t>Finalmente, se emitió la Resolución CMN N° 4.967, que aprobó en su totalidad la NIC 40.</w:t>
      </w:r>
      <w:r w:rsidR="001F356D" w:rsidRPr="00D14782">
        <w:rPr>
          <w:rFonts w:cs="Arial"/>
          <w:lang w:val="es-ES" w:eastAsia="es-BO"/>
        </w:rPr>
        <w:t xml:space="preserve"> La delegación de Brasil explic</w:t>
      </w:r>
      <w:r w:rsidR="009378EE">
        <w:rPr>
          <w:rFonts w:cs="Arial"/>
          <w:lang w:val="es-ES" w:eastAsia="es-BO"/>
        </w:rPr>
        <w:t>ó</w:t>
      </w:r>
      <w:r w:rsidRPr="00D14782">
        <w:rPr>
          <w:rFonts w:cs="Arial"/>
          <w:lang w:val="es-ES" w:eastAsia="es-BO"/>
        </w:rPr>
        <w:t xml:space="preserve"> que, a pesar de que las instituciones no pueden mantener inversiones inmobiliarias, la adopción de dicha norma era </w:t>
      </w:r>
      <w:r w:rsidR="001F356D" w:rsidRPr="00D14782">
        <w:rPr>
          <w:rFonts w:cs="Arial"/>
          <w:lang w:val="es-ES" w:eastAsia="es-BO"/>
        </w:rPr>
        <w:t>oportuna</w:t>
      </w:r>
      <w:r w:rsidRPr="00D14782">
        <w:rPr>
          <w:rFonts w:cs="Arial"/>
          <w:lang w:val="es-ES" w:eastAsia="es-BO"/>
        </w:rPr>
        <w:t xml:space="preserve"> debido a la necesidad de consolidar </w:t>
      </w:r>
      <w:r w:rsidR="001F356D" w:rsidRPr="00D14782">
        <w:rPr>
          <w:rFonts w:cs="Arial"/>
          <w:lang w:val="es-ES" w:eastAsia="es-BO"/>
        </w:rPr>
        <w:t xml:space="preserve">con </w:t>
      </w:r>
      <w:r w:rsidRPr="00D14782">
        <w:rPr>
          <w:rFonts w:cs="Arial"/>
          <w:lang w:val="es-ES" w:eastAsia="es-BO"/>
        </w:rPr>
        <w:t xml:space="preserve">otras entidades que puedan tener este tipo de inversión. La misma Resolución también definió el criterio de medición para los activos no financieros adquiridos con fines de enajenación futura y generación de utilidades con base en variaciones en sus precios de mercado, los cuales siguen el mismo método de medición previsto en la NIC 2 para </w:t>
      </w:r>
      <w:proofErr w:type="spellStart"/>
      <w:r w:rsidRPr="00D14782">
        <w:rPr>
          <w:rFonts w:cs="Arial"/>
          <w:lang w:val="es-ES" w:eastAsia="es-BO"/>
        </w:rPr>
        <w:t>commoditi</w:t>
      </w:r>
      <w:r w:rsidR="00AB3D30" w:rsidRPr="00D14782">
        <w:rPr>
          <w:rFonts w:cs="Arial"/>
          <w:lang w:val="es-ES" w:eastAsia="es-BO"/>
        </w:rPr>
        <w:t>es</w:t>
      </w:r>
      <w:proofErr w:type="spellEnd"/>
      <w:r w:rsidR="00AB3D30" w:rsidRPr="00D14782">
        <w:rPr>
          <w:rFonts w:cs="Arial"/>
          <w:lang w:val="es-ES" w:eastAsia="es-BO"/>
        </w:rPr>
        <w:t>, esto es, valor razonable con</w:t>
      </w:r>
      <w:r w:rsidRPr="00D14782">
        <w:rPr>
          <w:rFonts w:cs="Arial"/>
          <w:lang w:val="es-ES" w:eastAsia="es-BO"/>
        </w:rPr>
        <w:t xml:space="preserve"> cambio en resultados.</w:t>
      </w:r>
    </w:p>
    <w:p w14:paraId="572C1B75" w14:textId="77777777" w:rsidR="00924F74" w:rsidRPr="00D14782" w:rsidRDefault="00924F74"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p>
    <w:p w14:paraId="704C3A01" w14:textId="75C7D5C4" w:rsidR="002B1556" w:rsidRPr="00D14782" w:rsidRDefault="007A5166" w:rsidP="002B1556">
      <w:pPr>
        <w:pStyle w:val="Default"/>
        <w:jc w:val="both"/>
        <w:rPr>
          <w:rFonts w:eastAsia="Times New Roman"/>
          <w:color w:val="auto"/>
          <w:szCs w:val="20"/>
          <w:lang w:val="es-ES" w:eastAsia="es-BO"/>
        </w:rPr>
      </w:pPr>
      <w:r w:rsidRPr="00D14782">
        <w:rPr>
          <w:rFonts w:eastAsia="Times New Roman"/>
          <w:color w:val="auto"/>
          <w:szCs w:val="20"/>
          <w:lang w:val="es-ES" w:eastAsia="es-BO"/>
        </w:rPr>
        <w:t>La delegación de Brasil inform</w:t>
      </w:r>
      <w:r w:rsidR="009378EE">
        <w:rPr>
          <w:rFonts w:eastAsia="Times New Roman"/>
          <w:color w:val="auto"/>
          <w:szCs w:val="20"/>
          <w:lang w:val="es-ES" w:eastAsia="es-BO"/>
        </w:rPr>
        <w:t>ó</w:t>
      </w:r>
      <w:r w:rsidR="002B1556" w:rsidRPr="00D14782">
        <w:rPr>
          <w:rFonts w:eastAsia="Times New Roman"/>
          <w:color w:val="auto"/>
          <w:szCs w:val="20"/>
          <w:lang w:val="es-ES" w:eastAsia="es-BO"/>
        </w:rPr>
        <w:t xml:space="preserve"> que con la emisión de este conjunto normativo, se concluye el proceso de reducción de asimetrías entre el </w:t>
      </w:r>
      <w:r w:rsidRPr="00D14782">
        <w:rPr>
          <w:rFonts w:eastAsia="Times New Roman"/>
          <w:color w:val="auto"/>
          <w:szCs w:val="20"/>
          <w:lang w:val="es-ES" w:eastAsia="es-BO"/>
        </w:rPr>
        <w:t>Plan Contable Aplicable a las Instituciones Reguladas por el Banco Central do Brasil (COSIF)</w:t>
      </w:r>
      <w:r w:rsidR="002B1556" w:rsidRPr="00D14782">
        <w:rPr>
          <w:rFonts w:eastAsia="Times New Roman"/>
          <w:color w:val="auto"/>
          <w:szCs w:val="20"/>
          <w:lang w:val="es-ES" w:eastAsia="es-BO"/>
        </w:rPr>
        <w:t xml:space="preserve"> y las normas internacionales emitidas por el IASB.</w:t>
      </w:r>
    </w:p>
    <w:p w14:paraId="364372B1" w14:textId="77777777" w:rsidR="002B1556" w:rsidRPr="00D14782" w:rsidRDefault="002B1556" w:rsidP="00CB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Arial"/>
          <w:lang w:val="es-ES" w:eastAsia="es-BO"/>
        </w:rPr>
      </w:pPr>
    </w:p>
    <w:p w14:paraId="23A53536" w14:textId="320F9887" w:rsidR="004E32B0" w:rsidRPr="00D14782" w:rsidRDefault="008B55A4" w:rsidP="00CB6BFB">
      <w:pPr>
        <w:jc w:val="both"/>
        <w:rPr>
          <w:rFonts w:cs="Arial"/>
          <w:lang w:val="es-ES" w:eastAsia="es-BO"/>
        </w:rPr>
      </w:pPr>
      <w:r w:rsidRPr="00D14782">
        <w:rPr>
          <w:rFonts w:cs="Arial"/>
          <w:lang w:val="es-ES" w:eastAsia="es-BO"/>
        </w:rPr>
        <w:lastRenderedPageBreak/>
        <w:t>La delegación de Paraguay inform</w:t>
      </w:r>
      <w:r w:rsidR="009378EE">
        <w:rPr>
          <w:rFonts w:cs="Arial"/>
          <w:lang w:val="es-ES" w:eastAsia="es-BO"/>
        </w:rPr>
        <w:t>ó</w:t>
      </w:r>
      <w:r w:rsidRPr="00D14782">
        <w:rPr>
          <w:rFonts w:cs="Arial"/>
          <w:lang w:val="es-ES" w:eastAsia="es-BO"/>
        </w:rPr>
        <w:t xml:space="preserve"> que en el marco del Conversatorio denominado “Camino a los 80 años del Guaraní” llevado a cabo el 5 de octubre pasado, </w:t>
      </w:r>
      <w:proofErr w:type="gramStart"/>
      <w:r w:rsidRPr="00D14782">
        <w:rPr>
          <w:rFonts w:cs="Arial"/>
          <w:lang w:val="es-ES" w:eastAsia="es-BO"/>
        </w:rPr>
        <w:t>el  Directorio</w:t>
      </w:r>
      <w:proofErr w:type="gramEnd"/>
      <w:r w:rsidRPr="00D14782">
        <w:rPr>
          <w:rFonts w:cs="Arial"/>
          <w:lang w:val="es-ES" w:eastAsia="es-BO"/>
        </w:rPr>
        <w:t xml:space="preserve"> del Banco Central del Paraguay comunicó que dentro de la Planificación Estratégica de la institución para el año 2023, se encuentra previsto dar inicio al proceso de adopción de estándares IFRS para la elaboración y reporte de estados contables de las entidades del sistema financiero, que se encuentran bajo su regulación.</w:t>
      </w:r>
    </w:p>
    <w:p w14:paraId="0B7DB2C3" w14:textId="77777777" w:rsidR="008B55A4" w:rsidRPr="00D14782" w:rsidRDefault="008B55A4" w:rsidP="00CB6BFB">
      <w:pPr>
        <w:jc w:val="both"/>
        <w:rPr>
          <w:rFonts w:eastAsia="Calibri" w:cs="Arial"/>
          <w:szCs w:val="24"/>
          <w:lang w:val="es-PY"/>
        </w:rPr>
      </w:pPr>
    </w:p>
    <w:p w14:paraId="3D4EF20D" w14:textId="4FE9229C" w:rsidR="00474CD0" w:rsidRDefault="007A5166" w:rsidP="00CB6BFB">
      <w:pPr>
        <w:jc w:val="both"/>
        <w:rPr>
          <w:rFonts w:eastAsia="Calibri" w:cs="Arial"/>
          <w:szCs w:val="24"/>
          <w:lang w:val="es-PY"/>
        </w:rPr>
      </w:pPr>
      <w:r w:rsidRPr="00D14782">
        <w:rPr>
          <w:rFonts w:eastAsia="Calibri" w:cs="Arial"/>
          <w:szCs w:val="24"/>
          <w:lang w:val="es-PY"/>
        </w:rPr>
        <w:t>La delegación de Uruguay inform</w:t>
      </w:r>
      <w:r w:rsidR="009378EE">
        <w:rPr>
          <w:rFonts w:eastAsia="Calibri" w:cs="Arial"/>
          <w:szCs w:val="24"/>
          <w:lang w:val="es-PY"/>
        </w:rPr>
        <w:t>ó</w:t>
      </w:r>
      <w:r w:rsidR="007D1A5F" w:rsidRPr="00D14782">
        <w:rPr>
          <w:rFonts w:eastAsia="Calibri" w:cs="Arial"/>
          <w:szCs w:val="24"/>
          <w:lang w:val="es-PY"/>
        </w:rPr>
        <w:t xml:space="preserve"> los avances en el proceso de adopción de la norma de deterioro de la NIIF 9, así como los futuros pasos a dar de acuerdo a la hoja de ruta definida.</w:t>
      </w:r>
    </w:p>
    <w:p w14:paraId="3DE19DCD" w14:textId="77777777" w:rsidR="009378EE" w:rsidRPr="00D14782" w:rsidRDefault="009378EE" w:rsidP="00CB6BFB">
      <w:pPr>
        <w:jc w:val="both"/>
        <w:rPr>
          <w:rFonts w:eastAsia="Calibri" w:cs="Arial"/>
          <w:b/>
          <w:bCs/>
          <w:szCs w:val="24"/>
          <w:lang w:val="es-PY"/>
        </w:rPr>
      </w:pPr>
    </w:p>
    <w:p w14:paraId="45F8A5EE" w14:textId="0256EC90" w:rsidR="004E32B0" w:rsidRPr="00D14782" w:rsidRDefault="00474CD0" w:rsidP="00474CD0">
      <w:pPr>
        <w:numPr>
          <w:ilvl w:val="0"/>
          <w:numId w:val="2"/>
        </w:numPr>
        <w:spacing w:before="240"/>
        <w:jc w:val="both"/>
        <w:rPr>
          <w:rFonts w:eastAsia="Calibri" w:cs="Arial"/>
          <w:b/>
          <w:bCs/>
          <w:szCs w:val="24"/>
          <w:lang w:val="es-PY"/>
        </w:rPr>
      </w:pPr>
      <w:r w:rsidRPr="00D14782">
        <w:rPr>
          <w:rFonts w:eastAsia="Calibri" w:cs="Arial"/>
          <w:b/>
          <w:bCs/>
          <w:szCs w:val="24"/>
          <w:lang w:val="es-PY"/>
        </w:rPr>
        <w:t xml:space="preserve">CONSULTAS NORMATIVAS VINCULADAS A LA TEMÁTICA DE LAS </w:t>
      </w:r>
      <w:r w:rsidR="007A5166" w:rsidRPr="00D14782">
        <w:rPr>
          <w:rFonts w:eastAsia="Calibri" w:cs="Arial"/>
          <w:b/>
          <w:bCs/>
          <w:szCs w:val="24"/>
          <w:lang w:val="es-PY"/>
        </w:rPr>
        <w:t>NIIF</w:t>
      </w:r>
    </w:p>
    <w:p w14:paraId="218ABA4A" w14:textId="77777777" w:rsidR="00474CD0" w:rsidRPr="00D14782" w:rsidRDefault="00474CD0">
      <w:pPr>
        <w:rPr>
          <w:rFonts w:eastAsia="Calibri" w:cs="Arial"/>
          <w:szCs w:val="24"/>
          <w:lang w:val="es-PY"/>
        </w:rPr>
      </w:pPr>
    </w:p>
    <w:p w14:paraId="78FB4158" w14:textId="3D6F292C" w:rsidR="00474CD0" w:rsidRPr="00D14782" w:rsidRDefault="00474CD0" w:rsidP="00CB6BFB">
      <w:pPr>
        <w:jc w:val="both"/>
        <w:rPr>
          <w:rFonts w:eastAsia="Calibri" w:cs="Arial"/>
          <w:szCs w:val="24"/>
          <w:lang w:val="es-PY"/>
        </w:rPr>
      </w:pPr>
      <w:r w:rsidRPr="00D14782">
        <w:rPr>
          <w:rFonts w:eastAsia="Calibri" w:cs="Arial"/>
          <w:szCs w:val="24"/>
          <w:lang w:val="es-PY"/>
        </w:rPr>
        <w:t>La delegación de Argentina coment</w:t>
      </w:r>
      <w:r w:rsidR="009378EE">
        <w:rPr>
          <w:rFonts w:eastAsia="Calibri" w:cs="Arial"/>
          <w:szCs w:val="24"/>
          <w:lang w:val="es-PY"/>
        </w:rPr>
        <w:t>ó</w:t>
      </w:r>
      <w:r w:rsidRPr="00D14782">
        <w:rPr>
          <w:rFonts w:eastAsia="Calibri" w:cs="Arial"/>
          <w:szCs w:val="24"/>
          <w:lang w:val="es-PY"/>
        </w:rPr>
        <w:t xml:space="preserve"> que no </w:t>
      </w:r>
      <w:r w:rsidR="007A5166" w:rsidRPr="00D14782">
        <w:rPr>
          <w:rFonts w:eastAsia="Calibri" w:cs="Arial"/>
          <w:szCs w:val="24"/>
          <w:lang w:val="es-PY"/>
        </w:rPr>
        <w:t>se han generado</w:t>
      </w:r>
      <w:r w:rsidRPr="00D14782">
        <w:rPr>
          <w:rFonts w:eastAsia="Calibri" w:cs="Arial"/>
          <w:szCs w:val="24"/>
          <w:lang w:val="es-PY"/>
        </w:rPr>
        <w:t>, desde la última reunión de la Subcomisión, consultas que impliquen algún aspecto de novedad conceptual para compartir respecto de la aplicación de las NIIF.</w:t>
      </w:r>
    </w:p>
    <w:p w14:paraId="6063131A" w14:textId="77777777" w:rsidR="00474CD0" w:rsidRPr="00D14782" w:rsidRDefault="00474CD0" w:rsidP="00CB6BFB">
      <w:pPr>
        <w:jc w:val="both"/>
        <w:rPr>
          <w:rFonts w:eastAsia="Calibri" w:cs="Arial"/>
          <w:szCs w:val="24"/>
          <w:lang w:val="es-PY"/>
        </w:rPr>
      </w:pPr>
    </w:p>
    <w:p w14:paraId="27FA3CEF" w14:textId="38079467" w:rsidR="00310CA1" w:rsidRPr="00D14782" w:rsidRDefault="00310CA1" w:rsidP="00310CA1">
      <w:pPr>
        <w:jc w:val="both"/>
        <w:rPr>
          <w:rFonts w:eastAsia="Calibri" w:cs="Arial"/>
          <w:szCs w:val="24"/>
          <w:lang w:val="es-PY"/>
        </w:rPr>
      </w:pPr>
      <w:r w:rsidRPr="00D14782">
        <w:rPr>
          <w:rFonts w:eastAsia="Calibri" w:cs="Arial"/>
          <w:szCs w:val="24"/>
          <w:lang w:val="es-PY"/>
        </w:rPr>
        <w:t>La delegación de Bolivia no realiz</w:t>
      </w:r>
      <w:r w:rsidR="009378EE">
        <w:rPr>
          <w:rFonts w:eastAsia="Calibri" w:cs="Arial"/>
          <w:szCs w:val="24"/>
          <w:lang w:val="es-PY"/>
        </w:rPr>
        <w:t>ó</w:t>
      </w:r>
      <w:r w:rsidRPr="00D14782">
        <w:rPr>
          <w:rFonts w:eastAsia="Calibri" w:cs="Arial"/>
          <w:szCs w:val="24"/>
          <w:lang w:val="es-PY"/>
        </w:rPr>
        <w:t xml:space="preserve"> presentaciones sobre este punto.</w:t>
      </w:r>
    </w:p>
    <w:p w14:paraId="46006714" w14:textId="77777777" w:rsidR="00310CA1" w:rsidRPr="00D14782" w:rsidRDefault="00310CA1" w:rsidP="00CB6BFB">
      <w:pPr>
        <w:jc w:val="both"/>
        <w:rPr>
          <w:rFonts w:eastAsia="Calibri" w:cs="Arial"/>
          <w:szCs w:val="24"/>
          <w:lang w:val="es-PY"/>
        </w:rPr>
      </w:pPr>
    </w:p>
    <w:p w14:paraId="3F7AF520" w14:textId="0152D6A8" w:rsidR="002B1556" w:rsidRPr="00D14782" w:rsidRDefault="002B1556" w:rsidP="00CB6BFB">
      <w:pPr>
        <w:jc w:val="both"/>
        <w:rPr>
          <w:rFonts w:eastAsia="Calibri" w:cs="Arial"/>
          <w:szCs w:val="24"/>
          <w:lang w:val="es-PY"/>
        </w:rPr>
      </w:pPr>
      <w:r w:rsidRPr="00D14782">
        <w:rPr>
          <w:rFonts w:eastAsia="Calibri" w:cs="Arial"/>
          <w:szCs w:val="24"/>
          <w:lang w:val="es-PY"/>
        </w:rPr>
        <w:t>L</w:t>
      </w:r>
      <w:r w:rsidR="007A5166" w:rsidRPr="00D14782">
        <w:rPr>
          <w:rFonts w:eastAsia="Calibri" w:cs="Arial"/>
          <w:szCs w:val="24"/>
          <w:lang w:val="es-PY"/>
        </w:rPr>
        <w:t xml:space="preserve">a delegación de Brasil </w:t>
      </w:r>
      <w:proofErr w:type="spellStart"/>
      <w:r w:rsidR="007A5166" w:rsidRPr="00D14782">
        <w:rPr>
          <w:rFonts w:eastAsia="Calibri" w:cs="Arial"/>
          <w:szCs w:val="24"/>
          <w:lang w:val="es-PY"/>
        </w:rPr>
        <w:t>compart</w:t>
      </w:r>
      <w:r w:rsidR="009378EE">
        <w:rPr>
          <w:rFonts w:eastAsia="Calibri" w:cs="Arial"/>
          <w:szCs w:val="24"/>
          <w:lang w:val="es-PY"/>
        </w:rPr>
        <w:t>ío</w:t>
      </w:r>
      <w:proofErr w:type="spellEnd"/>
      <w:r w:rsidRPr="00D14782">
        <w:rPr>
          <w:rFonts w:eastAsia="Calibri" w:cs="Arial"/>
          <w:szCs w:val="24"/>
          <w:lang w:val="es-PY"/>
        </w:rPr>
        <w:t xml:space="preserve"> con el resto de la Subcomisión una discusión interna que tuvo lugar en el marco de la adopción de la N</w:t>
      </w:r>
      <w:r w:rsidR="00E517E4">
        <w:rPr>
          <w:rFonts w:eastAsia="Calibri" w:cs="Arial"/>
          <w:szCs w:val="24"/>
          <w:lang w:val="es-PY"/>
        </w:rPr>
        <w:t>I</w:t>
      </w:r>
      <w:r w:rsidRPr="00D14782">
        <w:rPr>
          <w:rFonts w:eastAsia="Calibri" w:cs="Arial"/>
          <w:szCs w:val="24"/>
          <w:lang w:val="es-PY"/>
        </w:rPr>
        <w:t>IF 16. La discusión involucr</w:t>
      </w:r>
      <w:r w:rsidR="009378EE">
        <w:rPr>
          <w:rFonts w:eastAsia="Calibri" w:cs="Arial"/>
          <w:szCs w:val="24"/>
          <w:lang w:val="es-PY"/>
        </w:rPr>
        <w:t>ó</w:t>
      </w:r>
      <w:r w:rsidRPr="00D14782">
        <w:rPr>
          <w:rFonts w:eastAsia="Calibri" w:cs="Arial"/>
          <w:szCs w:val="24"/>
          <w:lang w:val="es-PY"/>
        </w:rPr>
        <w:t xml:space="preserve"> el valor residual no garantizado en los contratos de arrendamiento de tipo financiero. Bajo estándares internacionales, este monto forma parte de la inversión neta en el arrendamiento, la cual está sujeta a deterioro bajo NIIF 9. Sin embargo, este monto, al no ser un monto por cobrar al cliente, no cumple con la definición de activo financiero, por lo tanto, parece inadecuado establecer una provisión por riesgo de crédito para esta porción del monto del arrendamiento. A pesar de la discusión teórica sobre el tema</w:t>
      </w:r>
      <w:r w:rsidR="007A5166" w:rsidRPr="00D14782">
        <w:rPr>
          <w:rFonts w:eastAsia="Calibri" w:cs="Arial"/>
          <w:szCs w:val="24"/>
          <w:lang w:val="es-PY"/>
        </w:rPr>
        <w:t>, la delegación de Brasil aclar</w:t>
      </w:r>
      <w:r w:rsidR="009378EE">
        <w:rPr>
          <w:rFonts w:eastAsia="Calibri" w:cs="Arial"/>
          <w:szCs w:val="24"/>
          <w:lang w:val="es-PY"/>
        </w:rPr>
        <w:t>ó</w:t>
      </w:r>
      <w:r w:rsidRPr="00D14782">
        <w:rPr>
          <w:rFonts w:eastAsia="Calibri" w:cs="Arial"/>
          <w:szCs w:val="24"/>
          <w:lang w:val="es-PY"/>
        </w:rPr>
        <w:t xml:space="preserve"> que, por mandato normativo expreso, se requerirá la constitución de una provisión para riesgo de crédito sobre la totalidad del monto del arrendamiento, incluida la parte del valor residual no garantizado.</w:t>
      </w:r>
    </w:p>
    <w:p w14:paraId="54196AB2" w14:textId="77777777" w:rsidR="008B55A4" w:rsidRPr="00D14782" w:rsidRDefault="008B55A4" w:rsidP="00CB6BFB">
      <w:pPr>
        <w:jc w:val="both"/>
        <w:rPr>
          <w:rFonts w:eastAsia="Calibri" w:cs="Arial"/>
          <w:szCs w:val="24"/>
          <w:lang w:val="es-PY"/>
        </w:rPr>
      </w:pPr>
    </w:p>
    <w:p w14:paraId="4A9B35EB" w14:textId="50AEE3E2" w:rsidR="008B55A4" w:rsidRPr="00D14782" w:rsidRDefault="008B55A4" w:rsidP="00CB6BFB">
      <w:pPr>
        <w:jc w:val="both"/>
        <w:rPr>
          <w:rFonts w:eastAsia="Calibri" w:cs="Arial"/>
          <w:szCs w:val="24"/>
          <w:lang w:val="es-PY"/>
        </w:rPr>
      </w:pPr>
      <w:r w:rsidRPr="00D14782">
        <w:rPr>
          <w:rFonts w:eastAsia="Calibri" w:cs="Arial"/>
          <w:szCs w:val="24"/>
          <w:lang w:val="es-PY"/>
        </w:rPr>
        <w:t>La delegación de Paraguay consult</w:t>
      </w:r>
      <w:r w:rsidR="0011467E">
        <w:rPr>
          <w:rFonts w:eastAsia="Calibri" w:cs="Arial"/>
          <w:szCs w:val="24"/>
          <w:lang w:val="es-PY"/>
        </w:rPr>
        <w:t>ó</w:t>
      </w:r>
      <w:r w:rsidRPr="00D14782">
        <w:rPr>
          <w:rFonts w:eastAsia="Calibri" w:cs="Arial"/>
          <w:szCs w:val="24"/>
          <w:lang w:val="es-PY"/>
        </w:rPr>
        <w:t xml:space="preserve"> a las demás delegaciones acerca del tratamiento contable y el mecanismo de reporte a efectos de la central de deudore</w:t>
      </w:r>
      <w:r w:rsidR="007A5166" w:rsidRPr="00D14782">
        <w:rPr>
          <w:rFonts w:eastAsia="Calibri" w:cs="Arial"/>
          <w:szCs w:val="24"/>
          <w:lang w:val="es-PY"/>
        </w:rPr>
        <w:t>s de las operaciones de leasing. L</w:t>
      </w:r>
      <w:r w:rsidRPr="00D14782">
        <w:rPr>
          <w:rFonts w:eastAsia="Calibri" w:cs="Arial"/>
          <w:szCs w:val="24"/>
          <w:lang w:val="es-PY"/>
        </w:rPr>
        <w:t>as delegaciones de Argentina, Brasil y Uruguay responden a la consulta exponiendo acerca de la operativa aplicada a las operaciones referidas en cada una de sus jurisdicciones.</w:t>
      </w:r>
    </w:p>
    <w:p w14:paraId="0B8CC9EC" w14:textId="77777777" w:rsidR="002B1556" w:rsidRPr="00D14782" w:rsidRDefault="002B1556" w:rsidP="00CB6BFB">
      <w:pPr>
        <w:jc w:val="both"/>
        <w:rPr>
          <w:rFonts w:eastAsia="Calibri" w:cs="Arial"/>
          <w:szCs w:val="24"/>
          <w:lang w:val="es-PY"/>
        </w:rPr>
      </w:pPr>
    </w:p>
    <w:p w14:paraId="2443DC06" w14:textId="307C5425" w:rsidR="00D25C07" w:rsidRDefault="005212DC" w:rsidP="00E517E4">
      <w:pPr>
        <w:jc w:val="both"/>
        <w:rPr>
          <w:rFonts w:eastAsia="Calibri" w:cs="Arial"/>
          <w:szCs w:val="24"/>
          <w:lang w:val="es-PY"/>
        </w:rPr>
      </w:pPr>
      <w:r w:rsidRPr="00D14782">
        <w:rPr>
          <w:rFonts w:eastAsia="Calibri" w:cs="Arial"/>
          <w:szCs w:val="24"/>
          <w:lang w:val="es-PY"/>
        </w:rPr>
        <w:t>La delegación de Uruguay coment</w:t>
      </w:r>
      <w:r w:rsidR="0011467E">
        <w:rPr>
          <w:rFonts w:eastAsia="Calibri" w:cs="Arial"/>
          <w:szCs w:val="24"/>
          <w:lang w:val="es-PY"/>
        </w:rPr>
        <w:t>ó</w:t>
      </w:r>
      <w:r w:rsidR="007D1A5F" w:rsidRPr="00D14782">
        <w:rPr>
          <w:rFonts w:eastAsia="Calibri" w:cs="Arial"/>
          <w:szCs w:val="24"/>
          <w:lang w:val="es-PY"/>
        </w:rPr>
        <w:t xml:space="preserve"> la posición contable adoptada frente al caso de entrega en custodia de dinero en efectivo.</w:t>
      </w:r>
    </w:p>
    <w:p w14:paraId="6B442640" w14:textId="28158090" w:rsidR="0011467E" w:rsidRDefault="0011467E" w:rsidP="00E517E4">
      <w:pPr>
        <w:jc w:val="both"/>
        <w:rPr>
          <w:rFonts w:eastAsia="Calibri" w:cs="Arial"/>
          <w:szCs w:val="24"/>
          <w:lang w:val="es-PY"/>
        </w:rPr>
      </w:pPr>
    </w:p>
    <w:p w14:paraId="5BF1EAB4" w14:textId="6AC5E5C9" w:rsidR="00BF4BE4" w:rsidRDefault="00BF4BE4" w:rsidP="00E517E4">
      <w:pPr>
        <w:jc w:val="both"/>
        <w:rPr>
          <w:rFonts w:eastAsia="Calibri" w:cs="Arial"/>
          <w:szCs w:val="24"/>
          <w:lang w:val="es-PY"/>
        </w:rPr>
      </w:pPr>
    </w:p>
    <w:p w14:paraId="450D4D86" w14:textId="2A63F11C" w:rsidR="00BF4BE4" w:rsidRDefault="00BF4BE4" w:rsidP="00E517E4">
      <w:pPr>
        <w:jc w:val="both"/>
        <w:rPr>
          <w:rFonts w:eastAsia="Calibri" w:cs="Arial"/>
          <w:szCs w:val="24"/>
          <w:lang w:val="es-PY"/>
        </w:rPr>
      </w:pPr>
    </w:p>
    <w:p w14:paraId="57259A6F" w14:textId="77777777" w:rsidR="00BF4BE4" w:rsidRPr="00D14782" w:rsidRDefault="00BF4BE4" w:rsidP="00E517E4">
      <w:pPr>
        <w:jc w:val="both"/>
        <w:rPr>
          <w:rFonts w:eastAsia="Calibri" w:cs="Arial"/>
          <w:szCs w:val="24"/>
          <w:lang w:val="es-PY"/>
        </w:rPr>
      </w:pPr>
    </w:p>
    <w:p w14:paraId="6F026FAE" w14:textId="77777777" w:rsidR="004E32B0" w:rsidRPr="00D14782" w:rsidRDefault="004E32B0">
      <w:pPr>
        <w:numPr>
          <w:ilvl w:val="0"/>
          <w:numId w:val="2"/>
        </w:numPr>
        <w:spacing w:before="240"/>
        <w:jc w:val="both"/>
        <w:rPr>
          <w:rFonts w:eastAsia="Calibri" w:cs="Arial"/>
          <w:szCs w:val="24"/>
          <w:lang w:val="es-PY"/>
        </w:rPr>
      </w:pPr>
      <w:r w:rsidRPr="00D14782">
        <w:rPr>
          <w:rFonts w:eastAsia="Calibri" w:cs="Arial"/>
          <w:b/>
          <w:bCs/>
          <w:szCs w:val="24"/>
          <w:lang w:val="es-PY"/>
        </w:rPr>
        <w:t xml:space="preserve">MODELOS DE ESTADOS FINANCIEROS BASADOS EN LAS NIIF </w:t>
      </w:r>
    </w:p>
    <w:p w14:paraId="4B834658" w14:textId="77777777" w:rsidR="004E32B0" w:rsidRPr="00D14782" w:rsidRDefault="004E32B0">
      <w:pPr>
        <w:ind w:firstLine="60"/>
        <w:rPr>
          <w:rFonts w:eastAsia="Calibri" w:cs="Arial"/>
          <w:szCs w:val="24"/>
          <w:lang w:val="es-PY"/>
        </w:rPr>
      </w:pPr>
    </w:p>
    <w:p w14:paraId="701A50A4" w14:textId="32694C36" w:rsidR="00474CD0" w:rsidRPr="00D14782" w:rsidRDefault="00474CD0" w:rsidP="00CB6BFB">
      <w:pPr>
        <w:jc w:val="both"/>
        <w:rPr>
          <w:rFonts w:eastAsia="Calibri" w:cs="Arial"/>
          <w:szCs w:val="24"/>
          <w:lang w:val="es-PY"/>
        </w:rPr>
      </w:pPr>
      <w:r w:rsidRPr="00D14782">
        <w:rPr>
          <w:rFonts w:eastAsia="Calibri" w:cs="Arial"/>
          <w:szCs w:val="24"/>
          <w:lang w:val="es-PY"/>
        </w:rPr>
        <w:lastRenderedPageBreak/>
        <w:t>La delegación de Argentina inform</w:t>
      </w:r>
      <w:r w:rsidR="0011467E">
        <w:rPr>
          <w:rFonts w:eastAsia="Calibri" w:cs="Arial"/>
          <w:szCs w:val="24"/>
          <w:lang w:val="es-PY"/>
        </w:rPr>
        <w:t>ó</w:t>
      </w:r>
      <w:r w:rsidRPr="00D14782">
        <w:rPr>
          <w:rFonts w:eastAsia="Calibri" w:cs="Arial"/>
          <w:szCs w:val="24"/>
          <w:lang w:val="es-PY"/>
        </w:rPr>
        <w:t xml:space="preserve"> que no se produjeron novedades sobre el presente punto desde la última reunión de la Subcomisión.</w:t>
      </w:r>
    </w:p>
    <w:p w14:paraId="042884E3" w14:textId="77777777" w:rsidR="00474CD0" w:rsidRPr="00D14782" w:rsidRDefault="00474CD0" w:rsidP="00CB6BFB">
      <w:pPr>
        <w:jc w:val="both"/>
        <w:rPr>
          <w:rFonts w:eastAsia="Calibri" w:cs="Arial"/>
          <w:szCs w:val="24"/>
          <w:lang w:val="es-PY"/>
        </w:rPr>
      </w:pPr>
    </w:p>
    <w:p w14:paraId="656D3117" w14:textId="1012782B" w:rsidR="00310CA1" w:rsidRPr="00D14782" w:rsidRDefault="00310CA1" w:rsidP="00310CA1">
      <w:pPr>
        <w:jc w:val="both"/>
        <w:rPr>
          <w:rFonts w:eastAsia="Calibri" w:cs="Arial"/>
          <w:szCs w:val="24"/>
          <w:lang w:val="es-PY"/>
        </w:rPr>
      </w:pPr>
      <w:r w:rsidRPr="00D14782">
        <w:rPr>
          <w:rFonts w:eastAsia="Calibri" w:cs="Arial"/>
          <w:szCs w:val="24"/>
          <w:lang w:val="es-PY"/>
        </w:rPr>
        <w:t>La delegación de Bolivia inform</w:t>
      </w:r>
      <w:r w:rsidR="0011467E">
        <w:rPr>
          <w:rFonts w:eastAsia="Calibri" w:cs="Arial"/>
          <w:szCs w:val="24"/>
          <w:lang w:val="es-PY"/>
        </w:rPr>
        <w:t>ó</w:t>
      </w:r>
      <w:r w:rsidRPr="00D14782">
        <w:rPr>
          <w:rFonts w:eastAsia="Calibri" w:cs="Arial"/>
          <w:szCs w:val="24"/>
          <w:lang w:val="es-PY"/>
        </w:rPr>
        <w:t xml:space="preserve"> no tener novedades sobre este punto.</w:t>
      </w:r>
    </w:p>
    <w:p w14:paraId="290132BF" w14:textId="77777777" w:rsidR="00310CA1" w:rsidRPr="00D14782" w:rsidRDefault="00310CA1" w:rsidP="00CB6BFB">
      <w:pPr>
        <w:jc w:val="both"/>
        <w:rPr>
          <w:rFonts w:eastAsia="Calibri" w:cs="Arial"/>
          <w:szCs w:val="24"/>
          <w:lang w:val="es-PY"/>
        </w:rPr>
      </w:pPr>
    </w:p>
    <w:p w14:paraId="6D488F76" w14:textId="0FF1CCE6" w:rsidR="008B55A4" w:rsidRPr="00D14782" w:rsidRDefault="005212DC" w:rsidP="00CB6BFB">
      <w:pPr>
        <w:jc w:val="both"/>
        <w:rPr>
          <w:rFonts w:eastAsia="Calibri" w:cs="Arial"/>
          <w:szCs w:val="24"/>
          <w:lang w:val="es-PY"/>
        </w:rPr>
      </w:pPr>
      <w:r w:rsidRPr="00D14782">
        <w:rPr>
          <w:rFonts w:eastAsia="Calibri" w:cs="Arial"/>
          <w:szCs w:val="24"/>
          <w:lang w:val="es-PY"/>
        </w:rPr>
        <w:t>La delegación de Brasil resalt</w:t>
      </w:r>
      <w:r w:rsidR="0011467E">
        <w:rPr>
          <w:rFonts w:eastAsia="Calibri" w:cs="Arial"/>
          <w:szCs w:val="24"/>
          <w:lang w:val="es-PY"/>
        </w:rPr>
        <w:t>ó</w:t>
      </w:r>
      <w:r w:rsidR="00AB3D30" w:rsidRPr="00D14782">
        <w:rPr>
          <w:rFonts w:eastAsia="Calibri" w:cs="Arial"/>
          <w:szCs w:val="24"/>
          <w:lang w:val="es-PY"/>
        </w:rPr>
        <w:t xml:space="preserve"> que, en relación a los estados financieros para publicación, el Banco Central do Brasil (BCB) no establece modelos de estados financieros. En cuanto a los estados financieros que son enviados al BCB, esos  siguen con el Plan de Cuentas establecido por el BCB. En este año  se inició un proceso de sustitución del actual plan de cuentas, que deberá ser completado el próximo año, entrando en vigencia en 2025. Esta sustitución es necesaria dada la conclusión del proceso de convergencia con las </w:t>
      </w:r>
      <w:r w:rsidRPr="00D14782">
        <w:rPr>
          <w:rFonts w:eastAsia="Calibri" w:cs="Arial"/>
          <w:szCs w:val="24"/>
          <w:lang w:val="es-PY"/>
        </w:rPr>
        <w:t>NIIF</w:t>
      </w:r>
      <w:r w:rsidR="00AB3D30" w:rsidRPr="00D14782">
        <w:rPr>
          <w:rFonts w:eastAsia="Calibri" w:cs="Arial"/>
          <w:szCs w:val="24"/>
          <w:lang w:val="es-PY"/>
        </w:rPr>
        <w:t xml:space="preserve"> y los consiguientes cambios en los criterios contables aplicables a los instrumentos financieros, que son incompatibles con el marco vigente actualmente</w:t>
      </w:r>
      <w:r w:rsidR="008A69F2" w:rsidRPr="00D14782">
        <w:rPr>
          <w:rFonts w:eastAsia="Calibri" w:cs="Arial"/>
          <w:szCs w:val="24"/>
          <w:lang w:val="es-PY"/>
        </w:rPr>
        <w:t>.</w:t>
      </w:r>
    </w:p>
    <w:p w14:paraId="12DEAD95" w14:textId="77777777" w:rsidR="00166CA9" w:rsidRPr="00D14782" w:rsidRDefault="00166CA9" w:rsidP="00CB6BFB">
      <w:pPr>
        <w:jc w:val="both"/>
        <w:rPr>
          <w:rFonts w:eastAsia="Calibri" w:cs="Arial"/>
          <w:szCs w:val="24"/>
          <w:lang w:val="es-PY"/>
        </w:rPr>
      </w:pPr>
    </w:p>
    <w:p w14:paraId="054C201B" w14:textId="59F02054" w:rsidR="008B55A4" w:rsidRPr="00D14782" w:rsidRDefault="008B55A4" w:rsidP="00CB6BFB">
      <w:pPr>
        <w:jc w:val="both"/>
        <w:rPr>
          <w:rFonts w:eastAsia="Calibri" w:cs="Arial"/>
          <w:szCs w:val="24"/>
          <w:lang w:val="es-PY"/>
        </w:rPr>
      </w:pPr>
      <w:r w:rsidRPr="00D14782">
        <w:rPr>
          <w:rFonts w:eastAsia="Calibri" w:cs="Arial"/>
          <w:szCs w:val="24"/>
          <w:lang w:val="es-PY"/>
        </w:rPr>
        <w:t>La delegación de Paraguay manif</w:t>
      </w:r>
      <w:r w:rsidR="0011467E">
        <w:rPr>
          <w:rFonts w:eastAsia="Calibri" w:cs="Arial"/>
          <w:szCs w:val="24"/>
          <w:lang w:val="es-PY"/>
        </w:rPr>
        <w:t>estó</w:t>
      </w:r>
      <w:r w:rsidRPr="00D14782">
        <w:rPr>
          <w:rFonts w:eastAsia="Calibri" w:cs="Arial"/>
          <w:szCs w:val="24"/>
          <w:lang w:val="es-PY"/>
        </w:rPr>
        <w:t xml:space="preserve"> no contar con novedades regulatorias en lo referente a la elaboración y publicación de estados financieros por parte de las instituciones reguladas.</w:t>
      </w:r>
    </w:p>
    <w:p w14:paraId="166E1CB3" w14:textId="77777777" w:rsidR="002B1556" w:rsidRPr="00D14782" w:rsidRDefault="002B1556" w:rsidP="00CB6BFB">
      <w:pPr>
        <w:jc w:val="both"/>
        <w:rPr>
          <w:rFonts w:eastAsia="Calibri" w:cs="Arial"/>
          <w:szCs w:val="24"/>
          <w:lang w:val="es-PY"/>
        </w:rPr>
      </w:pPr>
    </w:p>
    <w:p w14:paraId="46554F79" w14:textId="3795E396" w:rsidR="00144F79" w:rsidRDefault="005212DC" w:rsidP="00CB6BFB">
      <w:pPr>
        <w:spacing w:before="120" w:after="120"/>
        <w:jc w:val="both"/>
        <w:rPr>
          <w:rFonts w:eastAsia="Calibri" w:cs="Arial"/>
          <w:szCs w:val="24"/>
          <w:lang w:val="es-PY"/>
        </w:rPr>
      </w:pPr>
      <w:r w:rsidRPr="00D14782">
        <w:rPr>
          <w:rFonts w:eastAsia="Calibri" w:cs="Arial"/>
          <w:szCs w:val="24"/>
          <w:lang w:val="es-PY"/>
        </w:rPr>
        <w:t>La delegación de Uruguay inform</w:t>
      </w:r>
      <w:r w:rsidR="0011467E">
        <w:rPr>
          <w:rFonts w:eastAsia="Calibri" w:cs="Arial"/>
          <w:szCs w:val="24"/>
          <w:lang w:val="es-PY"/>
        </w:rPr>
        <w:t>ó</w:t>
      </w:r>
      <w:r w:rsidRPr="00D14782">
        <w:rPr>
          <w:rFonts w:eastAsia="Calibri" w:cs="Arial"/>
          <w:szCs w:val="24"/>
          <w:lang w:val="es-PY"/>
        </w:rPr>
        <w:t xml:space="preserve"> </w:t>
      </w:r>
      <w:r w:rsidR="007D1A5F" w:rsidRPr="00D14782">
        <w:rPr>
          <w:rFonts w:eastAsia="Calibri" w:cs="Arial"/>
          <w:szCs w:val="24"/>
          <w:lang w:val="es-PY"/>
        </w:rPr>
        <w:t>no tener novedades respecto a este punto.</w:t>
      </w:r>
    </w:p>
    <w:p w14:paraId="0C48CA36" w14:textId="77777777" w:rsidR="0011467E" w:rsidRPr="00D14782" w:rsidRDefault="0011467E" w:rsidP="00CB6BFB">
      <w:pPr>
        <w:spacing w:before="120" w:after="120"/>
        <w:jc w:val="both"/>
        <w:rPr>
          <w:rFonts w:cs="Arial"/>
          <w:lang w:val="es-ES"/>
        </w:rPr>
      </w:pPr>
    </w:p>
    <w:p w14:paraId="64CFD9D4" w14:textId="5008D0EA" w:rsidR="00474CD0" w:rsidRPr="00D14782" w:rsidRDefault="00474CD0" w:rsidP="00474CD0">
      <w:pPr>
        <w:numPr>
          <w:ilvl w:val="0"/>
          <w:numId w:val="2"/>
        </w:numPr>
        <w:spacing w:before="240"/>
        <w:jc w:val="both"/>
        <w:rPr>
          <w:rFonts w:eastAsia="Calibri" w:cs="Arial"/>
          <w:b/>
          <w:bCs/>
          <w:szCs w:val="24"/>
          <w:lang w:val="es-PY"/>
        </w:rPr>
      </w:pPr>
      <w:r w:rsidRPr="00D14782">
        <w:rPr>
          <w:rFonts w:eastAsia="Calibri" w:cs="Arial"/>
          <w:b/>
          <w:bCs/>
          <w:szCs w:val="24"/>
          <w:lang w:val="es-PY"/>
        </w:rPr>
        <w:t>TRANSPARENCIA, INCLUSIÓN E INNOVACIÓN FINANCIERA Y CONSUMIDOR BANCARIO</w:t>
      </w:r>
    </w:p>
    <w:p w14:paraId="7DA52964" w14:textId="77777777" w:rsidR="004E32B0" w:rsidRPr="00D14782" w:rsidRDefault="004E32B0">
      <w:pPr>
        <w:rPr>
          <w:rFonts w:eastAsia="Calibri" w:cs="Arial"/>
          <w:szCs w:val="24"/>
          <w:lang w:val="es-PY"/>
        </w:rPr>
      </w:pPr>
    </w:p>
    <w:p w14:paraId="17C79FF2" w14:textId="1B44E38F" w:rsidR="00474CD0" w:rsidRPr="00D14782" w:rsidRDefault="008A69F2" w:rsidP="00A64152">
      <w:pPr>
        <w:jc w:val="both"/>
        <w:rPr>
          <w:rFonts w:eastAsia="Calibri" w:cs="Arial"/>
          <w:szCs w:val="24"/>
          <w:lang w:val="es-PY"/>
        </w:rPr>
      </w:pPr>
      <w:r w:rsidRPr="00D14782">
        <w:rPr>
          <w:rFonts w:eastAsia="Calibri" w:cs="Arial"/>
          <w:szCs w:val="24"/>
          <w:lang w:val="es-PY"/>
        </w:rPr>
        <w:t>La delegación de Argentina señal</w:t>
      </w:r>
      <w:r w:rsidR="0011467E">
        <w:rPr>
          <w:rFonts w:eastAsia="Calibri" w:cs="Arial"/>
          <w:szCs w:val="24"/>
          <w:lang w:val="es-PY"/>
        </w:rPr>
        <w:t>ó</w:t>
      </w:r>
      <w:r w:rsidRPr="00D14782">
        <w:rPr>
          <w:rFonts w:eastAsia="Calibri" w:cs="Arial"/>
          <w:szCs w:val="24"/>
          <w:lang w:val="es-PY"/>
        </w:rPr>
        <w:t xml:space="preserve"> que hacia fines de mayo pasado el Banco Central de la República Argentina (BCRA) habilitó operativamente el nuevo Registro de Proveedores de Servicios de Pago (PSP), así como el Registro de Billeteras Interoperables (abarca tanto a PSP como a entidades financieras que presten el servicio de billetera digital). Dicha delegación agreg</w:t>
      </w:r>
      <w:r w:rsidR="0011467E">
        <w:rPr>
          <w:rFonts w:eastAsia="Calibri" w:cs="Arial"/>
          <w:szCs w:val="24"/>
          <w:lang w:val="es-PY"/>
        </w:rPr>
        <w:t>ó</w:t>
      </w:r>
      <w:r w:rsidRPr="00D14782">
        <w:rPr>
          <w:rFonts w:eastAsia="Calibri" w:cs="Arial"/>
          <w:szCs w:val="24"/>
          <w:lang w:val="es-PY"/>
        </w:rPr>
        <w:t xml:space="preserve"> que, mediante Comunicación “A” 7593 del 1/9/22, se dispuso normativamente incorporar tanto a los Proveedores de servicios de pago que ofrecen cuentas de pago (PSPOCP) como a los Proveedores de servicios de pago que cumplen la función de iniciación (PSI) en las normas del BCRA sobre “Protección de los usuarios de servicios financieros” con vigencia desde marzo de 2023, encontrándose bajo análisis los eventuales requerimientos informativos relacionados a implementar.</w:t>
      </w:r>
    </w:p>
    <w:p w14:paraId="0A759B7A" w14:textId="77777777" w:rsidR="008A69F2" w:rsidRPr="00D14782" w:rsidRDefault="008A69F2" w:rsidP="00A64152">
      <w:pPr>
        <w:jc w:val="both"/>
        <w:rPr>
          <w:rFonts w:eastAsia="Calibri" w:cs="Arial"/>
          <w:szCs w:val="24"/>
          <w:lang w:val="es-PY"/>
        </w:rPr>
      </w:pPr>
    </w:p>
    <w:p w14:paraId="0FE3F0A6" w14:textId="2D15B13B" w:rsidR="00310CA1" w:rsidRPr="00D14782" w:rsidRDefault="00310CA1" w:rsidP="00310CA1">
      <w:pPr>
        <w:jc w:val="both"/>
        <w:rPr>
          <w:rFonts w:eastAsia="Calibri" w:cs="Arial"/>
          <w:szCs w:val="24"/>
          <w:lang w:val="es-PY"/>
        </w:rPr>
      </w:pPr>
      <w:r w:rsidRPr="00D14782">
        <w:rPr>
          <w:rFonts w:eastAsia="Calibri" w:cs="Arial"/>
          <w:szCs w:val="24"/>
          <w:lang w:val="es-PY"/>
        </w:rPr>
        <w:t>La delegación de Bolivia inform</w:t>
      </w:r>
      <w:r w:rsidR="0011467E">
        <w:rPr>
          <w:rFonts w:eastAsia="Calibri" w:cs="Arial"/>
          <w:szCs w:val="24"/>
          <w:lang w:val="es-PY"/>
        </w:rPr>
        <w:t>ó</w:t>
      </w:r>
      <w:r w:rsidRPr="00D14782">
        <w:rPr>
          <w:rFonts w:eastAsia="Calibri" w:cs="Arial"/>
          <w:szCs w:val="24"/>
          <w:lang w:val="es-PY"/>
        </w:rPr>
        <w:t xml:space="preserve"> que no hay novedades sobre el tema.</w:t>
      </w:r>
    </w:p>
    <w:p w14:paraId="3693CE0C" w14:textId="77777777" w:rsidR="00310CA1" w:rsidRPr="00D14782" w:rsidRDefault="00310CA1" w:rsidP="00A64152">
      <w:pPr>
        <w:jc w:val="both"/>
        <w:rPr>
          <w:rFonts w:eastAsia="Calibri" w:cs="Arial"/>
          <w:szCs w:val="24"/>
          <w:lang w:val="es-PY"/>
        </w:rPr>
      </w:pPr>
    </w:p>
    <w:p w14:paraId="6FC8399F" w14:textId="217DE5EB" w:rsidR="006D7B5A" w:rsidRPr="00D14782" w:rsidRDefault="005212DC" w:rsidP="00A64152">
      <w:pPr>
        <w:jc w:val="both"/>
        <w:rPr>
          <w:rFonts w:eastAsia="Calibri" w:cs="Arial"/>
          <w:szCs w:val="24"/>
          <w:lang w:val="es-PY"/>
        </w:rPr>
      </w:pPr>
      <w:r w:rsidRPr="00D14782">
        <w:rPr>
          <w:rFonts w:eastAsia="Calibri" w:cs="Arial"/>
          <w:szCs w:val="24"/>
          <w:lang w:val="es-PY"/>
        </w:rPr>
        <w:t>La delegación de Brasil inform</w:t>
      </w:r>
      <w:r w:rsidR="0011467E">
        <w:rPr>
          <w:rFonts w:eastAsia="Calibri" w:cs="Arial"/>
          <w:szCs w:val="24"/>
          <w:lang w:val="es-PY"/>
        </w:rPr>
        <w:t>ó</w:t>
      </w:r>
      <w:r w:rsidR="006D7B5A" w:rsidRPr="00D14782">
        <w:rPr>
          <w:rFonts w:eastAsia="Calibri" w:cs="Arial"/>
          <w:szCs w:val="24"/>
          <w:lang w:val="es-PY"/>
        </w:rPr>
        <w:t xml:space="preserve"> que no hay novedades sobre el tema.</w:t>
      </w:r>
    </w:p>
    <w:p w14:paraId="449D2FF4" w14:textId="77777777" w:rsidR="009E7964" w:rsidRPr="00D14782" w:rsidRDefault="009E7964" w:rsidP="00A64152">
      <w:pPr>
        <w:jc w:val="both"/>
        <w:rPr>
          <w:rFonts w:eastAsia="Calibri" w:cs="Arial"/>
          <w:szCs w:val="24"/>
          <w:lang w:val="es-PY"/>
        </w:rPr>
      </w:pPr>
    </w:p>
    <w:p w14:paraId="0462E06B" w14:textId="30F6289C" w:rsidR="009E7964" w:rsidRPr="00D14782" w:rsidRDefault="009E7964" w:rsidP="00A64152">
      <w:pPr>
        <w:jc w:val="both"/>
        <w:rPr>
          <w:rFonts w:eastAsia="Calibri" w:cs="Arial"/>
          <w:szCs w:val="24"/>
          <w:lang w:val="es-PY"/>
        </w:rPr>
      </w:pPr>
      <w:r w:rsidRPr="00D14782">
        <w:rPr>
          <w:rFonts w:eastAsia="Calibri" w:cs="Arial"/>
          <w:szCs w:val="24"/>
          <w:lang w:val="es-PY"/>
        </w:rPr>
        <w:t>La delegación de Paraguay expres</w:t>
      </w:r>
      <w:r w:rsidR="0011467E">
        <w:rPr>
          <w:rFonts w:eastAsia="Calibri" w:cs="Arial"/>
          <w:szCs w:val="24"/>
          <w:lang w:val="es-PY"/>
        </w:rPr>
        <w:t>ó</w:t>
      </w:r>
      <w:r w:rsidRPr="00D14782">
        <w:rPr>
          <w:rFonts w:eastAsia="Calibri" w:cs="Arial"/>
          <w:szCs w:val="24"/>
          <w:lang w:val="es-PY"/>
        </w:rPr>
        <w:t xml:space="preserve"> que, en el marco de inclusión financiera, se ha llevado a cabo una evaluación por técnicos del Banco Mundial, quienes han emitido una serie de recomendaciones orientadas a promover el “acceso al financiamiento”, en especial para las MIPYMES.</w:t>
      </w:r>
    </w:p>
    <w:p w14:paraId="33C79B8F" w14:textId="77777777" w:rsidR="009E7964" w:rsidRPr="00D14782" w:rsidRDefault="009E7964" w:rsidP="00A64152">
      <w:pPr>
        <w:jc w:val="both"/>
        <w:rPr>
          <w:rFonts w:eastAsia="Calibri" w:cs="Arial"/>
          <w:szCs w:val="24"/>
          <w:lang w:val="es-PY"/>
        </w:rPr>
      </w:pPr>
    </w:p>
    <w:p w14:paraId="0BA795F8" w14:textId="6AE84060" w:rsidR="009E7964" w:rsidRPr="00D14782" w:rsidRDefault="009E7964" w:rsidP="00A64152">
      <w:pPr>
        <w:jc w:val="both"/>
        <w:rPr>
          <w:rFonts w:eastAsia="Calibri" w:cs="Arial"/>
          <w:szCs w:val="24"/>
          <w:lang w:val="es-PY"/>
        </w:rPr>
      </w:pPr>
      <w:r w:rsidRPr="00D14782">
        <w:rPr>
          <w:rFonts w:eastAsia="Calibri" w:cs="Arial"/>
          <w:szCs w:val="24"/>
          <w:lang w:val="es-PY"/>
        </w:rPr>
        <w:t xml:space="preserve">A dicho efecto se ha conformado un equipo de trabajo -al interior del Banco Central del Paraguay- para analizar las recomendaciones y determinar las </w:t>
      </w:r>
      <w:r w:rsidRPr="00D14782">
        <w:rPr>
          <w:rFonts w:eastAsia="Calibri" w:cs="Arial"/>
          <w:szCs w:val="24"/>
          <w:lang w:val="es-PY"/>
        </w:rPr>
        <w:lastRenderedPageBreak/>
        <w:t>acciones que sean necesarias para su realización, entre las cuales fundamentalmente se encuentran modificaciones a ser aplicadas a la regulación existente, así como la emisión de nuevas regulaciones, todas ellas orientadas a la inclusión financiera.</w:t>
      </w:r>
    </w:p>
    <w:p w14:paraId="4859782A" w14:textId="77777777" w:rsidR="006D7B5A" w:rsidRPr="00D14782" w:rsidRDefault="006D7B5A" w:rsidP="00A64152">
      <w:pPr>
        <w:jc w:val="both"/>
        <w:rPr>
          <w:rFonts w:eastAsia="Calibri" w:cs="Arial"/>
          <w:szCs w:val="24"/>
          <w:lang w:val="es-PY"/>
        </w:rPr>
      </w:pPr>
    </w:p>
    <w:p w14:paraId="30BF6D8C" w14:textId="12C1FCF0" w:rsidR="006E5462" w:rsidRDefault="007D1A5F" w:rsidP="006E5462">
      <w:pPr>
        <w:spacing w:before="120" w:after="120"/>
        <w:jc w:val="both"/>
        <w:rPr>
          <w:rFonts w:eastAsia="Calibri" w:cs="Arial"/>
          <w:szCs w:val="24"/>
          <w:lang w:val="es-PY"/>
        </w:rPr>
      </w:pPr>
      <w:r w:rsidRPr="00D14782">
        <w:rPr>
          <w:rFonts w:eastAsia="Calibri" w:cs="Arial"/>
          <w:szCs w:val="24"/>
          <w:lang w:val="es-PY"/>
        </w:rPr>
        <w:t>La delegación de Urugua</w:t>
      </w:r>
      <w:r w:rsidR="005212DC" w:rsidRPr="00D14782">
        <w:rPr>
          <w:rFonts w:eastAsia="Calibri" w:cs="Arial"/>
          <w:szCs w:val="24"/>
          <w:lang w:val="es-PY"/>
        </w:rPr>
        <w:t>y inform</w:t>
      </w:r>
      <w:r w:rsidR="0011467E">
        <w:rPr>
          <w:rFonts w:eastAsia="Calibri" w:cs="Arial"/>
          <w:szCs w:val="24"/>
          <w:lang w:val="es-PY"/>
        </w:rPr>
        <w:t>ó</w:t>
      </w:r>
      <w:r w:rsidRPr="00D14782">
        <w:rPr>
          <w:rFonts w:eastAsia="Calibri" w:cs="Arial"/>
          <w:szCs w:val="24"/>
          <w:lang w:val="es-PY"/>
        </w:rPr>
        <w:t xml:space="preserve"> sobre el documento publicado por el Banco Central del Uruguay “Marco conceptual para el tratamiento regulatorio de los activos virtuales en Uruguay”, el Proyecto de Ley sobre Activos Virtuales remitido por el Directorio del referido Banco Central y los desafíos contables</w:t>
      </w:r>
      <w:r w:rsidR="005212DC" w:rsidRPr="00D14782">
        <w:rPr>
          <w:rFonts w:eastAsia="Calibri" w:cs="Arial"/>
          <w:szCs w:val="24"/>
          <w:lang w:val="es-PY"/>
        </w:rPr>
        <w:t xml:space="preserve"> a los que se enfrentará el regulador,</w:t>
      </w:r>
      <w:r w:rsidRPr="00D14782">
        <w:rPr>
          <w:rFonts w:eastAsia="Calibri" w:cs="Arial"/>
          <w:szCs w:val="24"/>
          <w:lang w:val="es-PY"/>
        </w:rPr>
        <w:t xml:space="preserve"> si las instituciones supervisadas comenzaran a operar con este tipo de activos.</w:t>
      </w:r>
    </w:p>
    <w:p w14:paraId="3711334B" w14:textId="77777777" w:rsidR="0011467E" w:rsidRPr="00D14782" w:rsidRDefault="0011467E" w:rsidP="006E5462">
      <w:pPr>
        <w:spacing w:before="120" w:after="120"/>
        <w:jc w:val="both"/>
        <w:rPr>
          <w:rFonts w:eastAsia="Calibri" w:cs="Arial"/>
          <w:b/>
          <w:bCs/>
          <w:szCs w:val="24"/>
          <w:lang w:val="es-PY"/>
        </w:rPr>
      </w:pPr>
    </w:p>
    <w:p w14:paraId="14ABB990" w14:textId="05F3FA82" w:rsidR="003370D4" w:rsidRPr="00D14782" w:rsidRDefault="003370D4" w:rsidP="003370D4">
      <w:pPr>
        <w:numPr>
          <w:ilvl w:val="0"/>
          <w:numId w:val="2"/>
        </w:numPr>
        <w:spacing w:before="240"/>
        <w:jc w:val="both"/>
        <w:rPr>
          <w:rFonts w:eastAsia="Calibri" w:cs="Arial"/>
          <w:b/>
          <w:bCs/>
          <w:szCs w:val="24"/>
          <w:lang w:val="es-PY"/>
        </w:rPr>
      </w:pPr>
      <w:r w:rsidRPr="00D14782">
        <w:rPr>
          <w:rFonts w:eastAsia="Calibri" w:cs="Arial"/>
          <w:b/>
          <w:bCs/>
          <w:szCs w:val="24"/>
          <w:lang w:val="es-PY"/>
        </w:rPr>
        <w:t>ADECUACIONES CONTABLES PRODUCTO DE REGULACIÓN DEL COMITÉ DE BASILEA</w:t>
      </w:r>
    </w:p>
    <w:p w14:paraId="5F912726" w14:textId="77777777" w:rsidR="00D25C07" w:rsidRPr="00D14782" w:rsidRDefault="00D25C07" w:rsidP="00A32BC6">
      <w:pPr>
        <w:jc w:val="both"/>
      </w:pPr>
    </w:p>
    <w:p w14:paraId="4DDA7867" w14:textId="00295D46" w:rsidR="004E32B0" w:rsidRPr="00D14782" w:rsidRDefault="003370D4" w:rsidP="00CB6BFB">
      <w:pPr>
        <w:jc w:val="both"/>
      </w:pPr>
      <w:r w:rsidRPr="00D14782">
        <w:t>La delegación de Argentina inform</w:t>
      </w:r>
      <w:r w:rsidR="0011467E">
        <w:t>ó</w:t>
      </w:r>
      <w:r w:rsidRPr="00D14782">
        <w:t xml:space="preserve"> que se realizaron incorporaciones y modificaciones en materia de revelación en el Texto Ordenado </w:t>
      </w:r>
      <w:r w:rsidR="005212DC" w:rsidRPr="00D14782">
        <w:t>“</w:t>
      </w:r>
      <w:r w:rsidRPr="00D14782">
        <w:t>Disciplina de Mercado – Requisitos mínimos de divulgación</w:t>
      </w:r>
      <w:r w:rsidR="005212DC" w:rsidRPr="00D14782">
        <w:t>”</w:t>
      </w:r>
      <w:r w:rsidRPr="00D14782">
        <w:t xml:space="preserve"> que se corresponden con las actualizaciones realizadas al Pilar III del Comité de Basilea. En ese sentido, esta delegación expone que mediante la emisión de la Comunicación “A” 7591 se solicita la divulgación por parte de las entidades financieras, de un cuadro nuevo con un detalle de activos gravados y activos no gravados, entendiéndose como activos gravados según definición de Basilea a los activos que el banco está restringido o impedido de liquidar, vender, transferir o ceder debido a limitaciones legales, reglamentarias, contractuales o de otro tipo. Esta definición difiere de la considerada para el ratio de cobertura de liquidez (LCR), ya que excluye el aspecto de la monetización del activo. Asimismo, se incorpora una adecuación dentro de la Sección de Riesgo de Crédito en el cuadro “Calidad crediticia de los activos”, la cual se corresponde con una apertura de las exposiciones a las cuales se les aplica la metodología de pérdida crediticia esperada, en previsiones globales y previsiones específicas.</w:t>
      </w:r>
    </w:p>
    <w:p w14:paraId="48804305" w14:textId="77777777" w:rsidR="003370D4" w:rsidRPr="00D14782" w:rsidRDefault="003370D4" w:rsidP="00CB6BFB">
      <w:pPr>
        <w:jc w:val="both"/>
        <w:rPr>
          <w:rFonts w:eastAsia="Calibri" w:cs="Arial"/>
          <w:szCs w:val="24"/>
          <w:lang w:val="es-PY"/>
        </w:rPr>
      </w:pPr>
    </w:p>
    <w:p w14:paraId="73D1BBD3" w14:textId="725A79E1" w:rsidR="00310CA1" w:rsidRPr="00D14782" w:rsidRDefault="00310CA1" w:rsidP="00310CA1">
      <w:pPr>
        <w:jc w:val="both"/>
        <w:rPr>
          <w:rFonts w:eastAsia="Calibri" w:cs="Arial"/>
          <w:szCs w:val="24"/>
          <w:lang w:val="es-PY"/>
        </w:rPr>
      </w:pPr>
      <w:r w:rsidRPr="00D14782">
        <w:rPr>
          <w:rFonts w:eastAsia="Calibri" w:cs="Arial"/>
          <w:szCs w:val="24"/>
          <w:lang w:val="es-PY"/>
        </w:rPr>
        <w:t>La delegación de Bolivia inform</w:t>
      </w:r>
      <w:r w:rsidR="0011467E">
        <w:rPr>
          <w:rFonts w:eastAsia="Calibri" w:cs="Arial"/>
          <w:szCs w:val="24"/>
          <w:lang w:val="es-PY"/>
        </w:rPr>
        <w:t>ó</w:t>
      </w:r>
      <w:r w:rsidRPr="00D14782">
        <w:rPr>
          <w:rFonts w:eastAsia="Calibri" w:cs="Arial"/>
          <w:szCs w:val="24"/>
          <w:lang w:val="es-PY"/>
        </w:rPr>
        <w:t xml:space="preserve"> no tener novedades sobre este punto.</w:t>
      </w:r>
    </w:p>
    <w:p w14:paraId="501F7EB8" w14:textId="77777777" w:rsidR="00310CA1" w:rsidRPr="00D14782" w:rsidRDefault="00310CA1" w:rsidP="00CB6BFB">
      <w:pPr>
        <w:jc w:val="both"/>
        <w:rPr>
          <w:rFonts w:eastAsia="Calibri" w:cs="Arial"/>
          <w:szCs w:val="24"/>
          <w:lang w:val="es-PY"/>
        </w:rPr>
      </w:pPr>
    </w:p>
    <w:p w14:paraId="11023774" w14:textId="58A2774E" w:rsidR="009E7964" w:rsidRPr="00D14782" w:rsidRDefault="006D7B5A" w:rsidP="00CB6BFB">
      <w:pPr>
        <w:jc w:val="both"/>
        <w:rPr>
          <w:rFonts w:eastAsia="Calibri" w:cs="Arial"/>
          <w:szCs w:val="24"/>
          <w:lang w:val="es-PY"/>
        </w:rPr>
      </w:pPr>
      <w:r w:rsidRPr="00D14782">
        <w:rPr>
          <w:rFonts w:eastAsia="Calibri" w:cs="Arial"/>
          <w:szCs w:val="24"/>
          <w:lang w:val="es-PY"/>
        </w:rPr>
        <w:t>L</w:t>
      </w:r>
      <w:r w:rsidR="005212DC" w:rsidRPr="00D14782">
        <w:rPr>
          <w:rFonts w:eastAsia="Calibri" w:cs="Arial"/>
          <w:szCs w:val="24"/>
          <w:lang w:val="es-PY"/>
        </w:rPr>
        <w:t>a delegación de Brasil compart</w:t>
      </w:r>
      <w:r w:rsidR="0011467E">
        <w:rPr>
          <w:rFonts w:eastAsia="Calibri" w:cs="Arial"/>
          <w:szCs w:val="24"/>
          <w:lang w:val="es-PY"/>
        </w:rPr>
        <w:t>ió</w:t>
      </w:r>
      <w:r w:rsidRPr="00D14782">
        <w:rPr>
          <w:rFonts w:eastAsia="Calibri" w:cs="Arial"/>
          <w:szCs w:val="24"/>
          <w:lang w:val="es-PY"/>
        </w:rPr>
        <w:t xml:space="preserve"> la discusión que está teniendo lugar en el ámbito de las reglas prudenciales relacionadas con la adopción de la NIIF 9. La discusión se refiere al tratamiento que debe darse a la porción de los costos de transacción que se incorporan al valor co</w:t>
      </w:r>
      <w:r w:rsidR="005212DC" w:rsidRPr="00D14782">
        <w:rPr>
          <w:rFonts w:eastAsia="Calibri" w:cs="Arial"/>
          <w:szCs w:val="24"/>
          <w:lang w:val="es-PY"/>
        </w:rPr>
        <w:t>ntable del activo. Según explic</w:t>
      </w:r>
      <w:r w:rsidR="0011467E">
        <w:rPr>
          <w:rFonts w:eastAsia="Calibri" w:cs="Arial"/>
          <w:szCs w:val="24"/>
          <w:lang w:val="es-PY"/>
        </w:rPr>
        <w:t>ó</w:t>
      </w:r>
      <w:r w:rsidRPr="00D14782">
        <w:rPr>
          <w:rFonts w:eastAsia="Calibri" w:cs="Arial"/>
          <w:szCs w:val="24"/>
          <w:lang w:val="es-PY"/>
        </w:rPr>
        <w:t xml:space="preserve"> la delegación, estos costos actualmente se reconocen en resultados y, por lo tanto, se deducen del patrimonio regulatorio de la institución. A partir del 1</w:t>
      </w:r>
      <w:r w:rsidR="005212DC" w:rsidRPr="00D14782">
        <w:rPr>
          <w:rFonts w:eastAsia="Calibri" w:cs="Arial"/>
          <w:szCs w:val="24"/>
          <w:lang w:val="es-PY"/>
        </w:rPr>
        <w:t>°</w:t>
      </w:r>
      <w:r w:rsidRPr="00D14782">
        <w:rPr>
          <w:rFonts w:eastAsia="Calibri" w:cs="Arial"/>
          <w:szCs w:val="24"/>
          <w:lang w:val="es-PY"/>
        </w:rPr>
        <w:t xml:space="preserve"> de enero de 2025, estos costos pasarán a formar parte del valor en libros del activo, sin efecto sobre el patrimonio regulatorio. La discusión que se está llevando a cabo en el ámbito del BCB es dar a estos costes el mismo tratamiento que se da a los activos intangibles, es decir, deducción total del patrimonio regulatorio. Por </w:t>
      </w:r>
      <w:r w:rsidR="005212DC" w:rsidRPr="00D14782">
        <w:rPr>
          <w:rFonts w:eastAsia="Calibri" w:cs="Arial"/>
          <w:szCs w:val="24"/>
          <w:lang w:val="es-PY"/>
        </w:rPr>
        <w:t xml:space="preserve">lo </w:t>
      </w:r>
      <w:r w:rsidRPr="00D14782">
        <w:rPr>
          <w:rFonts w:eastAsia="Calibri" w:cs="Arial"/>
          <w:szCs w:val="24"/>
          <w:lang w:val="es-PY"/>
        </w:rPr>
        <w:t>tanto, el reconocimiento de los costes de transacción en el activo no tendría efecto sobre el patrimonio regulatorio.</w:t>
      </w:r>
    </w:p>
    <w:p w14:paraId="0B7304E8" w14:textId="15BB8ACC" w:rsidR="009E7964" w:rsidRPr="00D14782" w:rsidRDefault="009E7964" w:rsidP="009E7964">
      <w:pPr>
        <w:jc w:val="both"/>
        <w:rPr>
          <w:rFonts w:eastAsia="Calibri" w:cs="Arial"/>
          <w:szCs w:val="24"/>
          <w:lang w:val="es-PY"/>
        </w:rPr>
      </w:pPr>
      <w:r w:rsidRPr="00D14782">
        <w:rPr>
          <w:rFonts w:eastAsia="Calibri" w:cs="Arial"/>
          <w:szCs w:val="24"/>
          <w:lang w:val="es-PY"/>
        </w:rPr>
        <w:lastRenderedPageBreak/>
        <w:t>La delegación de Paraguay manif</w:t>
      </w:r>
      <w:r w:rsidR="0011467E">
        <w:rPr>
          <w:rFonts w:eastAsia="Calibri" w:cs="Arial"/>
          <w:szCs w:val="24"/>
          <w:lang w:val="es-PY"/>
        </w:rPr>
        <w:t>estó</w:t>
      </w:r>
      <w:r w:rsidRPr="00D14782">
        <w:rPr>
          <w:rFonts w:eastAsia="Calibri" w:cs="Arial"/>
          <w:szCs w:val="24"/>
          <w:lang w:val="es-PY"/>
        </w:rPr>
        <w:t xml:space="preserve"> que actualmente se encuentran recibiendo una asistencia técnica orientada a adecuar el marco normativo a los estándares de Basilea III y la Valoración de Inversiones. </w:t>
      </w:r>
    </w:p>
    <w:p w14:paraId="568FFECA" w14:textId="77777777" w:rsidR="009E7964" w:rsidRPr="00D14782" w:rsidRDefault="009E7964" w:rsidP="009E7964">
      <w:pPr>
        <w:jc w:val="both"/>
        <w:rPr>
          <w:rFonts w:eastAsia="Calibri" w:cs="Arial"/>
          <w:szCs w:val="24"/>
          <w:lang w:val="es-PY"/>
        </w:rPr>
      </w:pPr>
    </w:p>
    <w:p w14:paraId="6518B8F0" w14:textId="75547BBB" w:rsidR="009E7964" w:rsidRPr="00D14782" w:rsidRDefault="009E7964" w:rsidP="009E7964">
      <w:pPr>
        <w:jc w:val="both"/>
        <w:rPr>
          <w:rFonts w:eastAsia="Calibri" w:cs="Arial"/>
          <w:szCs w:val="24"/>
          <w:lang w:val="es-PY"/>
        </w:rPr>
      </w:pPr>
      <w:r w:rsidRPr="00D14782">
        <w:rPr>
          <w:rFonts w:eastAsia="Calibri" w:cs="Arial"/>
          <w:szCs w:val="24"/>
          <w:lang w:val="es-PY"/>
        </w:rPr>
        <w:t>El Banco Central del Paraguay dirigirá sus esfuerzos en establecer un marco regulatorio consolidado, sensible al riesgo, así como en el desarrollo de un plan efectivo de adecuación a los estándares internacionales. El proceso de fortalecimiento daría inicio con la conversión de la actual base normativa en exigencias prudenciales a ser implementadas progresiva y proporcionalmente.</w:t>
      </w:r>
    </w:p>
    <w:p w14:paraId="7927F1CF" w14:textId="77777777" w:rsidR="006D7B5A" w:rsidRPr="00D14782" w:rsidRDefault="006D7B5A" w:rsidP="00CB6BFB">
      <w:pPr>
        <w:jc w:val="both"/>
        <w:rPr>
          <w:rFonts w:eastAsia="Calibri" w:cs="Arial"/>
          <w:szCs w:val="24"/>
          <w:lang w:val="es-PY"/>
        </w:rPr>
      </w:pPr>
    </w:p>
    <w:p w14:paraId="35B7BD67" w14:textId="6B971530" w:rsidR="007D1A5F" w:rsidRDefault="005212DC" w:rsidP="00CB6BFB">
      <w:pPr>
        <w:spacing w:before="120" w:after="120"/>
        <w:jc w:val="both"/>
        <w:rPr>
          <w:rFonts w:eastAsia="Calibri" w:cs="Arial"/>
          <w:szCs w:val="24"/>
          <w:lang w:val="es-PY"/>
        </w:rPr>
      </w:pPr>
      <w:r w:rsidRPr="00D14782">
        <w:rPr>
          <w:rFonts w:eastAsia="Calibri" w:cs="Arial"/>
          <w:szCs w:val="24"/>
          <w:lang w:val="es-PY"/>
        </w:rPr>
        <w:t>La delegación de Uruguay plante</w:t>
      </w:r>
      <w:r w:rsidR="0011467E">
        <w:rPr>
          <w:rFonts w:eastAsia="Calibri" w:cs="Arial"/>
          <w:szCs w:val="24"/>
          <w:lang w:val="es-PY"/>
        </w:rPr>
        <w:t>ó</w:t>
      </w:r>
      <w:r w:rsidR="007D1A5F" w:rsidRPr="00D14782">
        <w:rPr>
          <w:rFonts w:eastAsia="Calibri" w:cs="Arial"/>
          <w:szCs w:val="24"/>
          <w:lang w:val="es-PY"/>
        </w:rPr>
        <w:t>, desde el punto de vista teórico, los diversos tratamientos que se le pueden dar a los activos pertenecientes a la cartera de valor razonable con cambios en otro resultado integral al momento de calcular el requerimiento de capital por riesgo tipo de cambio.</w:t>
      </w:r>
    </w:p>
    <w:p w14:paraId="1E14D38B" w14:textId="77777777" w:rsidR="0011467E" w:rsidRPr="00D14782" w:rsidRDefault="0011467E" w:rsidP="00CB6BFB">
      <w:pPr>
        <w:spacing w:before="120" w:after="120"/>
        <w:jc w:val="both"/>
        <w:rPr>
          <w:rFonts w:cs="Arial"/>
          <w:lang w:val="es-ES"/>
        </w:rPr>
      </w:pPr>
    </w:p>
    <w:p w14:paraId="1D9DACC2" w14:textId="77777777" w:rsidR="004E32B0" w:rsidRPr="00D14782" w:rsidRDefault="004E32B0">
      <w:pPr>
        <w:numPr>
          <w:ilvl w:val="0"/>
          <w:numId w:val="2"/>
        </w:numPr>
        <w:spacing w:before="240"/>
        <w:jc w:val="both"/>
        <w:rPr>
          <w:rFonts w:eastAsia="Calibri" w:cs="Arial"/>
          <w:szCs w:val="24"/>
          <w:lang w:val="pt-BR"/>
        </w:rPr>
      </w:pPr>
      <w:r w:rsidRPr="00D14782">
        <w:rPr>
          <w:rFonts w:eastAsia="Calibri" w:cs="Arial"/>
          <w:b/>
          <w:bCs/>
          <w:szCs w:val="24"/>
          <w:lang w:val="pt-BR"/>
        </w:rPr>
        <w:t>NORMAS RELATIVAS A AUDITORES EXTERNOS</w:t>
      </w:r>
    </w:p>
    <w:p w14:paraId="44F955A9" w14:textId="77777777" w:rsidR="004E32B0" w:rsidRPr="00D14782" w:rsidRDefault="004E32B0">
      <w:pPr>
        <w:rPr>
          <w:rFonts w:eastAsia="Calibri" w:cs="Arial"/>
          <w:szCs w:val="24"/>
          <w:lang w:val="pt-BR"/>
        </w:rPr>
      </w:pPr>
    </w:p>
    <w:p w14:paraId="70362E94" w14:textId="714C100F" w:rsidR="003370D4" w:rsidRPr="00D14782" w:rsidRDefault="003370D4" w:rsidP="00CB6BFB">
      <w:pPr>
        <w:spacing w:before="120" w:after="120"/>
        <w:jc w:val="both"/>
        <w:rPr>
          <w:szCs w:val="24"/>
        </w:rPr>
      </w:pPr>
      <w:r w:rsidRPr="00D14782">
        <w:rPr>
          <w:szCs w:val="24"/>
        </w:rPr>
        <w:t>La delegación de Argentina exp</w:t>
      </w:r>
      <w:r w:rsidR="0011467E">
        <w:rPr>
          <w:szCs w:val="24"/>
        </w:rPr>
        <w:t>uso</w:t>
      </w:r>
      <w:r w:rsidRPr="00D14782">
        <w:rPr>
          <w:szCs w:val="24"/>
        </w:rPr>
        <w:t xml:space="preserve"> que mediante la Comunicación “A” 7367 se realizaron adecuaciones a las normas sobre “Sistema Nacional de Pagos – Transferencias – normas complementarias”. Al respecto, la normativa establece -entre otras cosas- que los administradores de esquemas de transferencia electrónica deberán remitir a la Superintendencia de Entidades Financieras y Cambiarias, con periodicidad anual, un informe especial de cumplimiento de profesional independiente acerca </w:t>
      </w:r>
      <w:r w:rsidR="00C0517A" w:rsidRPr="00D14782">
        <w:rPr>
          <w:szCs w:val="24"/>
        </w:rPr>
        <w:t>de lo establecido</w:t>
      </w:r>
      <w:r w:rsidRPr="00D14782">
        <w:rPr>
          <w:szCs w:val="24"/>
        </w:rPr>
        <w:t xml:space="preserve"> en los puntos 1.2.4. y 1.5.5.2. de las normas mencionadas, que deberá contener una conclusión acerca de si existe (o no) un trato discriminatorio –comercial, operativo o de otra índole– hacia los otros participantes (o sus clientes) del esquema de transferencias que cumplen funciones también asumidas (directa o indirectamente) por el administrador (</w:t>
      </w:r>
      <w:proofErr w:type="spellStart"/>
      <w:r w:rsidRPr="00D14782">
        <w:rPr>
          <w:szCs w:val="24"/>
        </w:rPr>
        <w:t>Pto</w:t>
      </w:r>
      <w:proofErr w:type="spellEnd"/>
      <w:r w:rsidRPr="00D14782">
        <w:rPr>
          <w:szCs w:val="24"/>
        </w:rPr>
        <w:t>. 5. - Com. “A” 7367). En ese orden, la delegación de Argentina inform</w:t>
      </w:r>
      <w:r w:rsidR="0011467E">
        <w:rPr>
          <w:szCs w:val="24"/>
        </w:rPr>
        <w:t>ó</w:t>
      </w:r>
      <w:r w:rsidRPr="00D14782">
        <w:rPr>
          <w:szCs w:val="24"/>
        </w:rPr>
        <w:t xml:space="preserve"> que a partir de lo mencionado se emitió la Comunicación “A” 7604, mediante la cual se divulgó el respectivo modelo de informe a ser elaborado por profesionales o asociaciones de profesionales matriculados y con la pertinente certificación del Consejo Profesional de Ciencias Económicas en el que se encuentren matriculados, aunque no estén inscriptos en el Registro de Auditores de Entidades Financieras que lleva el BCRA.</w:t>
      </w:r>
    </w:p>
    <w:p w14:paraId="7C04BF7C" w14:textId="77777777" w:rsidR="008B6F17" w:rsidRPr="00D14782" w:rsidRDefault="008B6F17" w:rsidP="00CB6BFB">
      <w:pPr>
        <w:spacing w:before="120" w:after="120"/>
        <w:jc w:val="both"/>
        <w:rPr>
          <w:szCs w:val="24"/>
        </w:rPr>
      </w:pPr>
    </w:p>
    <w:p w14:paraId="75C9905A" w14:textId="3EC354BA" w:rsidR="00310CA1" w:rsidRPr="00D14782" w:rsidRDefault="00310CA1" w:rsidP="00310CA1">
      <w:pPr>
        <w:jc w:val="both"/>
        <w:rPr>
          <w:rFonts w:eastAsia="Calibri" w:cs="Arial"/>
          <w:szCs w:val="24"/>
          <w:lang w:val="es-PY"/>
        </w:rPr>
      </w:pPr>
      <w:r w:rsidRPr="00D14782">
        <w:rPr>
          <w:rFonts w:eastAsia="Calibri" w:cs="Arial"/>
          <w:szCs w:val="24"/>
          <w:lang w:val="es-PY"/>
        </w:rPr>
        <w:t>La delegación de Bolivia inform</w:t>
      </w:r>
      <w:r w:rsidR="0011467E">
        <w:rPr>
          <w:rFonts w:eastAsia="Calibri" w:cs="Arial"/>
          <w:szCs w:val="24"/>
          <w:lang w:val="es-PY"/>
        </w:rPr>
        <w:t>ó</w:t>
      </w:r>
      <w:r w:rsidRPr="00D14782">
        <w:rPr>
          <w:rFonts w:eastAsia="Calibri" w:cs="Arial"/>
          <w:szCs w:val="24"/>
          <w:lang w:val="es-PY"/>
        </w:rPr>
        <w:t xml:space="preserve"> no tener novedades sobre este punto.</w:t>
      </w:r>
    </w:p>
    <w:p w14:paraId="50B3C3C1" w14:textId="77777777" w:rsidR="00310CA1" w:rsidRPr="00D14782" w:rsidRDefault="00310CA1" w:rsidP="00CB6BFB">
      <w:pPr>
        <w:spacing w:before="120" w:after="120"/>
        <w:jc w:val="both"/>
        <w:rPr>
          <w:szCs w:val="24"/>
        </w:rPr>
      </w:pPr>
    </w:p>
    <w:p w14:paraId="1B69B515" w14:textId="3921FE73" w:rsidR="00310CA1" w:rsidRPr="00D14782" w:rsidRDefault="00C0517A" w:rsidP="00CB6BFB">
      <w:pPr>
        <w:spacing w:before="120" w:after="120"/>
        <w:jc w:val="both"/>
        <w:rPr>
          <w:szCs w:val="24"/>
        </w:rPr>
      </w:pPr>
      <w:r w:rsidRPr="00D14782">
        <w:rPr>
          <w:szCs w:val="24"/>
        </w:rPr>
        <w:t>La delegación de Brasil inform</w:t>
      </w:r>
      <w:r w:rsidR="0011467E">
        <w:rPr>
          <w:szCs w:val="24"/>
        </w:rPr>
        <w:t>ó</w:t>
      </w:r>
      <w:r w:rsidR="008A69F2" w:rsidRPr="00D14782">
        <w:rPr>
          <w:szCs w:val="24"/>
        </w:rPr>
        <w:t xml:space="preserve"> que se ha emitido la Resolución CMN N° 4.910, cuyo contenido</w:t>
      </w:r>
      <w:r w:rsidRPr="00D14782">
        <w:rPr>
          <w:szCs w:val="24"/>
        </w:rPr>
        <w:t xml:space="preserve"> </w:t>
      </w:r>
      <w:r w:rsidR="008A69F2" w:rsidRPr="00D14782">
        <w:rPr>
          <w:szCs w:val="24"/>
        </w:rPr>
        <w:t xml:space="preserve">estaba siendo discutido en la última reunión de la Subcomisión en la que participó Brasil. Esta Resolución alineó la normativa aplicable a las instituciones financieras a las recomendaciones del Comité de Basilea, contenidas en el documento Principios de Gobierno Corporativo para </w:t>
      </w:r>
      <w:r w:rsidR="008A69F2" w:rsidRPr="00D14782">
        <w:rPr>
          <w:szCs w:val="24"/>
        </w:rPr>
        <w:lastRenderedPageBreak/>
        <w:t>Bancos de 2015. Especialmente en el tema de la independencia de los integrantes del Comité de Auditoría.</w:t>
      </w:r>
    </w:p>
    <w:p w14:paraId="623E4FE1" w14:textId="77777777" w:rsidR="0011467E" w:rsidRDefault="0011467E" w:rsidP="00CB6BFB">
      <w:pPr>
        <w:spacing w:before="120" w:after="120"/>
        <w:jc w:val="both"/>
        <w:rPr>
          <w:szCs w:val="24"/>
        </w:rPr>
      </w:pPr>
    </w:p>
    <w:p w14:paraId="49B4958A" w14:textId="682B5A91" w:rsidR="008A69F2" w:rsidRPr="0011467E" w:rsidRDefault="008A69F2" w:rsidP="00CB6BFB">
      <w:pPr>
        <w:spacing w:before="120" w:after="120"/>
        <w:jc w:val="both"/>
        <w:rPr>
          <w:szCs w:val="24"/>
        </w:rPr>
      </w:pPr>
      <w:r w:rsidRPr="00D14782">
        <w:rPr>
          <w:szCs w:val="24"/>
        </w:rPr>
        <w:t>La delegación de Paraguay manifest</w:t>
      </w:r>
      <w:r w:rsidR="0011467E">
        <w:rPr>
          <w:szCs w:val="24"/>
        </w:rPr>
        <w:t>ó</w:t>
      </w:r>
      <w:r w:rsidRPr="00D14782">
        <w:rPr>
          <w:szCs w:val="24"/>
        </w:rPr>
        <w:t xml:space="preserve"> no contar con novedades respecto a este punto.</w:t>
      </w:r>
    </w:p>
    <w:p w14:paraId="7BA712D8" w14:textId="77777777" w:rsidR="0011467E" w:rsidRDefault="0011467E" w:rsidP="00CB6BFB">
      <w:pPr>
        <w:spacing w:before="120" w:after="120"/>
        <w:jc w:val="both"/>
        <w:rPr>
          <w:rFonts w:eastAsia="Calibri" w:cs="Arial"/>
          <w:szCs w:val="24"/>
        </w:rPr>
      </w:pPr>
    </w:p>
    <w:p w14:paraId="22E1CDAF" w14:textId="0B8B5776" w:rsidR="00144F79" w:rsidRDefault="00C0517A" w:rsidP="00CB6BFB">
      <w:pPr>
        <w:spacing w:before="120" w:after="120"/>
        <w:jc w:val="both"/>
        <w:rPr>
          <w:rFonts w:eastAsia="Calibri" w:cs="Arial"/>
          <w:szCs w:val="24"/>
        </w:rPr>
      </w:pPr>
      <w:r w:rsidRPr="00D14782">
        <w:rPr>
          <w:rFonts w:eastAsia="Calibri" w:cs="Arial"/>
          <w:szCs w:val="24"/>
        </w:rPr>
        <w:t>La delegación de Uruguay inform</w:t>
      </w:r>
      <w:r w:rsidR="0011467E">
        <w:rPr>
          <w:rFonts w:eastAsia="Calibri" w:cs="Arial"/>
          <w:szCs w:val="24"/>
        </w:rPr>
        <w:t>ó</w:t>
      </w:r>
      <w:r w:rsidR="007D1A5F" w:rsidRPr="00D14782">
        <w:rPr>
          <w:rFonts w:eastAsia="Calibri" w:cs="Arial"/>
          <w:szCs w:val="24"/>
        </w:rPr>
        <w:t xml:space="preserve"> no tener novedades respecto a este punto.</w:t>
      </w:r>
    </w:p>
    <w:p w14:paraId="1D10FF5E" w14:textId="302185A7" w:rsidR="0011467E" w:rsidRDefault="0011467E" w:rsidP="00CB6BFB">
      <w:pPr>
        <w:spacing w:before="120" w:after="120"/>
        <w:jc w:val="both"/>
        <w:rPr>
          <w:rFonts w:eastAsia="Calibri" w:cs="Arial"/>
          <w:szCs w:val="24"/>
        </w:rPr>
      </w:pPr>
    </w:p>
    <w:p w14:paraId="11111C9B" w14:textId="77777777" w:rsidR="0011467E" w:rsidRPr="00D14782" w:rsidRDefault="0011467E" w:rsidP="00CB6BFB">
      <w:pPr>
        <w:spacing w:before="120" w:after="120"/>
        <w:jc w:val="both"/>
        <w:rPr>
          <w:rFonts w:eastAsia="Calibri" w:cs="Arial"/>
          <w:b/>
          <w:bCs/>
          <w:szCs w:val="24"/>
          <w:lang w:val="es-PY"/>
        </w:rPr>
      </w:pPr>
    </w:p>
    <w:p w14:paraId="1FB733B5" w14:textId="6B954FA9" w:rsidR="004E32B0" w:rsidRPr="00D14782" w:rsidRDefault="004E32B0" w:rsidP="00C84C81">
      <w:pPr>
        <w:numPr>
          <w:ilvl w:val="0"/>
          <w:numId w:val="2"/>
        </w:numPr>
        <w:spacing w:before="240"/>
        <w:jc w:val="both"/>
        <w:rPr>
          <w:rFonts w:eastAsia="Calibri" w:cs="Arial"/>
          <w:b/>
          <w:szCs w:val="24"/>
          <w:lang w:val="es-PY"/>
        </w:rPr>
      </w:pPr>
      <w:r w:rsidRPr="00D14782">
        <w:rPr>
          <w:rFonts w:eastAsia="Calibri" w:cs="Arial"/>
          <w:b/>
          <w:bCs/>
          <w:szCs w:val="24"/>
          <w:lang w:val="es-PY"/>
        </w:rPr>
        <w:t>PRESENTACIÓN DE UN TEMA ESPECÍFICO</w:t>
      </w:r>
      <w:r w:rsidR="00C84C81" w:rsidRPr="00D14782">
        <w:rPr>
          <w:rFonts w:eastAsia="Calibri" w:cs="Arial"/>
          <w:b/>
          <w:bCs/>
          <w:szCs w:val="24"/>
          <w:lang w:val="es-PY"/>
        </w:rPr>
        <w:t xml:space="preserve"> </w:t>
      </w:r>
    </w:p>
    <w:p w14:paraId="524779D9" w14:textId="77777777" w:rsidR="004E32B0" w:rsidRPr="00D14782" w:rsidRDefault="004E32B0">
      <w:pPr>
        <w:rPr>
          <w:rFonts w:eastAsia="Calibri" w:cs="Arial"/>
          <w:b/>
          <w:szCs w:val="24"/>
          <w:lang w:val="es-PY"/>
        </w:rPr>
      </w:pPr>
    </w:p>
    <w:p w14:paraId="4B9C6E71" w14:textId="129425AA" w:rsidR="00144F79" w:rsidRPr="00D14782" w:rsidRDefault="007D1A5F" w:rsidP="00CB6BFB">
      <w:pPr>
        <w:jc w:val="both"/>
        <w:rPr>
          <w:rFonts w:eastAsia="Calibri" w:cs="Arial"/>
          <w:szCs w:val="24"/>
          <w:lang w:val="es-PY"/>
        </w:rPr>
      </w:pPr>
      <w:r w:rsidRPr="00D14782">
        <w:rPr>
          <w:rFonts w:eastAsia="Calibri" w:cs="Arial"/>
          <w:szCs w:val="24"/>
          <w:lang w:val="es-PY"/>
        </w:rPr>
        <w:t xml:space="preserve">La delegación de Uruguay </w:t>
      </w:r>
      <w:r w:rsidR="00C0517A" w:rsidRPr="00D14782">
        <w:rPr>
          <w:rFonts w:eastAsia="Calibri" w:cs="Arial"/>
          <w:szCs w:val="24"/>
          <w:lang w:val="es-PY"/>
        </w:rPr>
        <w:t>realiz</w:t>
      </w:r>
      <w:r w:rsidR="0011467E">
        <w:rPr>
          <w:rFonts w:eastAsia="Calibri" w:cs="Arial"/>
          <w:szCs w:val="24"/>
          <w:lang w:val="es-PY"/>
        </w:rPr>
        <w:t>ó</w:t>
      </w:r>
      <w:r w:rsidRPr="00D14782">
        <w:rPr>
          <w:rFonts w:eastAsia="Calibri" w:cs="Arial"/>
          <w:szCs w:val="24"/>
          <w:lang w:val="es-PY"/>
        </w:rPr>
        <w:t xml:space="preserve"> una presentación sobre los </w:t>
      </w:r>
      <w:r w:rsidR="00200092">
        <w:rPr>
          <w:rFonts w:eastAsia="Calibri" w:cs="Arial"/>
          <w:szCs w:val="24"/>
          <w:lang w:val="es-PY"/>
        </w:rPr>
        <w:t xml:space="preserve">posibles </w:t>
      </w:r>
      <w:r w:rsidRPr="00D14782">
        <w:rPr>
          <w:rFonts w:eastAsia="Calibri" w:cs="Arial"/>
          <w:szCs w:val="24"/>
          <w:lang w:val="es-PY"/>
        </w:rPr>
        <w:t>criterios a utilizar, en base a la calificación de riesgo de los clientes, para ubicar operaciones crediticias en los distintos escenarios de acuerdo a la normativa de deterioro de la NIIF 9.</w:t>
      </w:r>
    </w:p>
    <w:p w14:paraId="653387E2" w14:textId="6BC7C326" w:rsidR="00EF1FA4" w:rsidRDefault="00EF1FA4" w:rsidP="00CB6BFB">
      <w:pPr>
        <w:jc w:val="both"/>
        <w:rPr>
          <w:rFonts w:eastAsia="Calibri" w:cs="Arial"/>
          <w:szCs w:val="24"/>
          <w:lang w:val="es-PY"/>
        </w:rPr>
      </w:pPr>
    </w:p>
    <w:p w14:paraId="69968482" w14:textId="77777777" w:rsidR="00BF4BE4" w:rsidRPr="00D14782" w:rsidRDefault="00BF4BE4" w:rsidP="00CB6BFB">
      <w:pPr>
        <w:jc w:val="both"/>
        <w:rPr>
          <w:rFonts w:eastAsia="Calibri" w:cs="Arial"/>
          <w:szCs w:val="24"/>
          <w:lang w:val="es-PY"/>
        </w:rPr>
      </w:pPr>
    </w:p>
    <w:p w14:paraId="271C7F10" w14:textId="74A7F2AE" w:rsidR="00EF1FA4" w:rsidRPr="00D14782" w:rsidRDefault="00C0517A" w:rsidP="00EF1FA4">
      <w:pPr>
        <w:numPr>
          <w:ilvl w:val="0"/>
          <w:numId w:val="2"/>
        </w:numPr>
        <w:spacing w:before="240"/>
        <w:jc w:val="both"/>
        <w:rPr>
          <w:rFonts w:eastAsia="Calibri" w:cs="Arial"/>
          <w:b/>
          <w:szCs w:val="24"/>
          <w:lang w:val="es-PY"/>
        </w:rPr>
      </w:pPr>
      <w:r w:rsidRPr="00D14782">
        <w:rPr>
          <w:rFonts w:eastAsia="Calibri" w:cs="Arial"/>
          <w:b/>
          <w:bCs/>
          <w:szCs w:val="24"/>
          <w:lang w:val="es-PY"/>
        </w:rPr>
        <w:t>REPORTE ANUAL COMPARATIVO</w:t>
      </w:r>
    </w:p>
    <w:p w14:paraId="04F0DB5F" w14:textId="77777777" w:rsidR="00EF1FA4" w:rsidRPr="00D14782" w:rsidRDefault="00EF1FA4" w:rsidP="00CB6BFB">
      <w:pPr>
        <w:jc w:val="both"/>
        <w:rPr>
          <w:rFonts w:eastAsia="Calibri" w:cs="Arial"/>
          <w:szCs w:val="24"/>
          <w:lang w:val="es-PY"/>
        </w:rPr>
      </w:pPr>
    </w:p>
    <w:p w14:paraId="6A15E1B0" w14:textId="372F6856" w:rsidR="00C0517A" w:rsidRPr="00D14782" w:rsidRDefault="00C0517A" w:rsidP="00CB6BFB">
      <w:pPr>
        <w:jc w:val="both"/>
        <w:rPr>
          <w:rFonts w:eastAsia="Calibri" w:cs="Arial"/>
          <w:szCs w:val="24"/>
          <w:lang w:val="es-PY"/>
        </w:rPr>
      </w:pPr>
      <w:r w:rsidRPr="00D14782">
        <w:rPr>
          <w:rFonts w:eastAsia="Calibri" w:cs="Arial"/>
          <w:szCs w:val="24"/>
          <w:lang w:val="es-PY"/>
        </w:rPr>
        <w:t xml:space="preserve">Se elaboró un informe comparativo, el cual se incluye en esta acta como </w:t>
      </w:r>
      <w:r w:rsidRPr="0011467E">
        <w:rPr>
          <w:rFonts w:eastAsia="Calibri" w:cs="Arial"/>
          <w:b/>
          <w:bCs/>
          <w:szCs w:val="24"/>
          <w:lang w:val="es-PY"/>
        </w:rPr>
        <w:t>Anexo IV</w:t>
      </w:r>
      <w:r w:rsidRPr="00D14782">
        <w:rPr>
          <w:rFonts w:eastAsia="Calibri" w:cs="Arial"/>
          <w:szCs w:val="24"/>
          <w:lang w:val="es-PY"/>
        </w:rPr>
        <w:t>, sobre el tema definido en la última reunión, esto es, presentación del Estado de Resultados, conforme a los lineamientos de la NIC 1.</w:t>
      </w:r>
    </w:p>
    <w:p w14:paraId="46260133" w14:textId="4E666B3B" w:rsidR="00C0517A" w:rsidRDefault="00C0517A" w:rsidP="00CB6BFB">
      <w:pPr>
        <w:jc w:val="both"/>
        <w:rPr>
          <w:rFonts w:eastAsia="Calibri" w:cs="Arial"/>
          <w:szCs w:val="24"/>
          <w:lang w:val="es-PY"/>
        </w:rPr>
      </w:pPr>
    </w:p>
    <w:p w14:paraId="4A2CA7E0" w14:textId="77777777" w:rsidR="00BF4BE4" w:rsidRPr="00D14782" w:rsidRDefault="00BF4BE4" w:rsidP="00CB6BFB">
      <w:pPr>
        <w:jc w:val="both"/>
        <w:rPr>
          <w:rFonts w:eastAsia="Calibri" w:cs="Arial"/>
          <w:szCs w:val="24"/>
          <w:lang w:val="es-PY"/>
        </w:rPr>
      </w:pPr>
    </w:p>
    <w:p w14:paraId="5BE5BB95" w14:textId="77777777" w:rsidR="004E32B0" w:rsidRPr="00D14782" w:rsidRDefault="004E32B0">
      <w:pPr>
        <w:numPr>
          <w:ilvl w:val="0"/>
          <w:numId w:val="2"/>
        </w:numPr>
        <w:spacing w:before="240"/>
        <w:jc w:val="both"/>
        <w:rPr>
          <w:rFonts w:eastAsia="Calibri" w:cs="Arial"/>
          <w:b/>
          <w:sz w:val="23"/>
          <w:szCs w:val="23"/>
          <w:lang w:val="es-PY"/>
        </w:rPr>
      </w:pPr>
      <w:r w:rsidRPr="00D14782">
        <w:rPr>
          <w:rFonts w:eastAsia="Calibri" w:cs="Arial"/>
          <w:b/>
          <w:bCs/>
          <w:szCs w:val="24"/>
          <w:lang w:val="es-PY"/>
        </w:rPr>
        <w:t>OTROS ASUNTOS</w:t>
      </w:r>
    </w:p>
    <w:p w14:paraId="04AA3BEE" w14:textId="2D4D172E" w:rsidR="004E32B0" w:rsidRPr="00D14782" w:rsidRDefault="0011467E">
      <w:pPr>
        <w:numPr>
          <w:ilvl w:val="1"/>
          <w:numId w:val="2"/>
        </w:numPr>
        <w:spacing w:before="240"/>
        <w:jc w:val="both"/>
        <w:rPr>
          <w:rFonts w:eastAsia="Calibri" w:cs="Arial"/>
          <w:b/>
          <w:szCs w:val="24"/>
          <w:lang w:val="es-PY"/>
        </w:rPr>
      </w:pPr>
      <w:bookmarkStart w:id="2" w:name="_Hlk117259922"/>
      <w:r>
        <w:rPr>
          <w:rFonts w:eastAsia="Calibri" w:cs="Arial"/>
          <w:b/>
          <w:szCs w:val="24"/>
          <w:lang w:val="es-PY"/>
        </w:rPr>
        <w:t>INFORME</w:t>
      </w:r>
      <w:r w:rsidR="004E32B0" w:rsidRPr="00D14782">
        <w:rPr>
          <w:rFonts w:eastAsia="Calibri" w:cs="Arial"/>
          <w:b/>
          <w:szCs w:val="24"/>
          <w:lang w:val="es-PY"/>
        </w:rPr>
        <w:t xml:space="preserve"> DE CUMPLIMIENTO DEL PROGRAMA DE TRABAJO </w:t>
      </w:r>
      <w:r w:rsidR="00D45469" w:rsidRPr="00D14782">
        <w:rPr>
          <w:rFonts w:eastAsia="Calibri" w:cs="Arial"/>
          <w:b/>
          <w:szCs w:val="24"/>
          <w:lang w:val="es-PY"/>
        </w:rPr>
        <w:t>2021</w:t>
      </w:r>
      <w:r w:rsidR="004E32B0" w:rsidRPr="00D14782">
        <w:rPr>
          <w:rFonts w:eastAsia="Calibri" w:cs="Arial"/>
          <w:b/>
          <w:szCs w:val="24"/>
          <w:lang w:val="es-PY"/>
        </w:rPr>
        <w:t xml:space="preserve"> – </w:t>
      </w:r>
      <w:r w:rsidR="00D45469" w:rsidRPr="00D14782">
        <w:rPr>
          <w:rFonts w:eastAsia="Calibri" w:cs="Arial"/>
          <w:b/>
          <w:szCs w:val="24"/>
          <w:lang w:val="es-PY"/>
        </w:rPr>
        <w:t>2022</w:t>
      </w:r>
      <w:r w:rsidR="004E32B0" w:rsidRPr="00D14782">
        <w:rPr>
          <w:rFonts w:eastAsia="Calibri" w:cs="Arial"/>
          <w:b/>
          <w:szCs w:val="24"/>
          <w:lang w:val="es-PY"/>
        </w:rPr>
        <w:t xml:space="preserve"> </w:t>
      </w:r>
    </w:p>
    <w:bookmarkEnd w:id="2"/>
    <w:p w14:paraId="31118ACB" w14:textId="77777777" w:rsidR="00C84C81" w:rsidRPr="00D14782" w:rsidRDefault="00C84C81">
      <w:pPr>
        <w:rPr>
          <w:rFonts w:eastAsia="Calibri" w:cs="Arial"/>
          <w:b/>
          <w:szCs w:val="24"/>
          <w:lang w:val="es-PY"/>
        </w:rPr>
      </w:pPr>
    </w:p>
    <w:p w14:paraId="1BAC1DA6" w14:textId="34BFEEF8" w:rsidR="0084110C" w:rsidRPr="0011467E" w:rsidRDefault="0011467E" w:rsidP="0011467E">
      <w:pPr>
        <w:jc w:val="both"/>
        <w:rPr>
          <w:rFonts w:eastAsia="Calibri" w:cs="Arial"/>
          <w:bCs/>
          <w:szCs w:val="24"/>
          <w:lang w:val="es-PY"/>
        </w:rPr>
      </w:pPr>
      <w:r w:rsidRPr="0011467E">
        <w:rPr>
          <w:rFonts w:eastAsia="Calibri" w:cs="Arial"/>
          <w:bCs/>
          <w:szCs w:val="24"/>
          <w:lang w:val="es-PY"/>
        </w:rPr>
        <w:t xml:space="preserve">Las delegaciones realizaron una evaluación sobre el cumplimiento del Programa de Trabajo 2021-2022 y elaboraron y elevaron a consideración de los Coordinadores Nacionales del SGT </w:t>
      </w:r>
      <w:proofErr w:type="spellStart"/>
      <w:r w:rsidRPr="0011467E">
        <w:rPr>
          <w:rFonts w:eastAsia="Calibri" w:cs="Arial"/>
          <w:bCs/>
          <w:szCs w:val="24"/>
          <w:lang w:val="es-PY"/>
        </w:rPr>
        <w:t>N°</w:t>
      </w:r>
      <w:proofErr w:type="spellEnd"/>
      <w:r w:rsidRPr="0011467E">
        <w:rPr>
          <w:rFonts w:eastAsia="Calibri" w:cs="Arial"/>
          <w:bCs/>
          <w:szCs w:val="24"/>
          <w:lang w:val="es-PY"/>
        </w:rPr>
        <w:t xml:space="preserve"> 4 el Informe de Cumplimiento del Programa de Trabajo 2021 – 2022</w:t>
      </w:r>
      <w:r>
        <w:rPr>
          <w:rFonts w:eastAsia="Calibri" w:cs="Arial"/>
          <w:bCs/>
          <w:szCs w:val="24"/>
          <w:lang w:val="es-PY"/>
        </w:rPr>
        <w:t xml:space="preserve">. El mismo consta como </w:t>
      </w:r>
      <w:r w:rsidRPr="00BB0710">
        <w:rPr>
          <w:rFonts w:eastAsia="Calibri" w:cs="Arial"/>
          <w:b/>
          <w:szCs w:val="24"/>
          <w:lang w:val="es-PY"/>
        </w:rPr>
        <w:t xml:space="preserve">Anexo </w:t>
      </w:r>
      <w:r w:rsidR="00BB0710" w:rsidRPr="00BB0710">
        <w:rPr>
          <w:rFonts w:eastAsia="Calibri" w:cs="Arial"/>
          <w:b/>
          <w:szCs w:val="24"/>
          <w:lang w:val="es-PY"/>
        </w:rPr>
        <w:t>V</w:t>
      </w:r>
      <w:r w:rsidR="00BB0710">
        <w:rPr>
          <w:rFonts w:eastAsia="Calibri" w:cs="Arial"/>
          <w:bCs/>
          <w:szCs w:val="24"/>
          <w:lang w:val="es-PY"/>
        </w:rPr>
        <w:t>.</w:t>
      </w:r>
    </w:p>
    <w:p w14:paraId="53DE14CA" w14:textId="09D05FEE" w:rsidR="0011467E" w:rsidRDefault="0011467E">
      <w:pPr>
        <w:rPr>
          <w:rFonts w:eastAsia="Calibri" w:cs="Arial"/>
          <w:b/>
          <w:szCs w:val="24"/>
          <w:lang w:val="es-PY"/>
        </w:rPr>
      </w:pPr>
    </w:p>
    <w:p w14:paraId="304A774C" w14:textId="7700BA8D" w:rsidR="00D45469" w:rsidRDefault="00964D98" w:rsidP="00964D98">
      <w:pPr>
        <w:suppressLineNumbers/>
        <w:spacing w:after="160"/>
        <w:ind w:firstLine="851"/>
        <w:jc w:val="both"/>
        <w:rPr>
          <w:b/>
          <w:bCs/>
        </w:rPr>
      </w:pPr>
      <w:r w:rsidRPr="00BF4BE4">
        <w:rPr>
          <w:b/>
          <w:bCs/>
        </w:rPr>
        <w:t xml:space="preserve">9.2 Programa de Trabajo </w:t>
      </w:r>
      <w:r w:rsidR="00BF4BE4">
        <w:rPr>
          <w:b/>
          <w:bCs/>
        </w:rPr>
        <w:t>2023-2024</w:t>
      </w:r>
    </w:p>
    <w:p w14:paraId="06289EFA" w14:textId="77777777" w:rsidR="00BF4BE4" w:rsidRDefault="00BF4BE4" w:rsidP="00BF4BE4">
      <w:pPr>
        <w:jc w:val="both"/>
        <w:rPr>
          <w:rFonts w:eastAsia="Calibri" w:cs="Arial"/>
          <w:bCs/>
          <w:szCs w:val="24"/>
          <w:lang w:val="es-PY"/>
        </w:rPr>
      </w:pPr>
    </w:p>
    <w:p w14:paraId="4879F8FF" w14:textId="4D4FB6E7" w:rsidR="00BF4BE4" w:rsidRPr="0011467E" w:rsidRDefault="00BF4BE4" w:rsidP="00BF4BE4">
      <w:pPr>
        <w:jc w:val="both"/>
        <w:rPr>
          <w:rFonts w:eastAsia="Calibri" w:cs="Arial"/>
          <w:bCs/>
          <w:szCs w:val="24"/>
          <w:lang w:val="es-PY"/>
        </w:rPr>
      </w:pPr>
      <w:r w:rsidRPr="0011467E">
        <w:rPr>
          <w:rFonts w:eastAsia="Calibri" w:cs="Arial"/>
          <w:bCs/>
          <w:szCs w:val="24"/>
          <w:lang w:val="es-PY"/>
        </w:rPr>
        <w:t xml:space="preserve">Las delegaciones elaboraron y elevaron a consideración de los Coordinadores Nacionales del SGT </w:t>
      </w:r>
      <w:proofErr w:type="spellStart"/>
      <w:r w:rsidRPr="0011467E">
        <w:rPr>
          <w:rFonts w:eastAsia="Calibri" w:cs="Arial"/>
          <w:bCs/>
          <w:szCs w:val="24"/>
          <w:lang w:val="es-PY"/>
        </w:rPr>
        <w:t>N°</w:t>
      </w:r>
      <w:proofErr w:type="spellEnd"/>
      <w:r w:rsidRPr="0011467E">
        <w:rPr>
          <w:rFonts w:eastAsia="Calibri" w:cs="Arial"/>
          <w:bCs/>
          <w:szCs w:val="24"/>
          <w:lang w:val="es-PY"/>
        </w:rPr>
        <w:t xml:space="preserve"> 4 el Programa de Trabajo 202</w:t>
      </w:r>
      <w:r>
        <w:rPr>
          <w:rFonts w:eastAsia="Calibri" w:cs="Arial"/>
          <w:bCs/>
          <w:szCs w:val="24"/>
          <w:lang w:val="es-PY"/>
        </w:rPr>
        <w:t>3</w:t>
      </w:r>
      <w:r w:rsidRPr="0011467E">
        <w:rPr>
          <w:rFonts w:eastAsia="Calibri" w:cs="Arial"/>
          <w:bCs/>
          <w:szCs w:val="24"/>
          <w:lang w:val="es-PY"/>
        </w:rPr>
        <w:t xml:space="preserve"> – 202</w:t>
      </w:r>
      <w:r>
        <w:rPr>
          <w:rFonts w:eastAsia="Calibri" w:cs="Arial"/>
          <w:bCs/>
          <w:szCs w:val="24"/>
          <w:lang w:val="es-PY"/>
        </w:rPr>
        <w:t xml:space="preserve">4. El mismo consta como </w:t>
      </w:r>
      <w:r w:rsidRPr="00BB0710">
        <w:rPr>
          <w:rFonts w:eastAsia="Calibri" w:cs="Arial"/>
          <w:b/>
          <w:szCs w:val="24"/>
          <w:lang w:val="es-PY"/>
        </w:rPr>
        <w:t>Anexo V</w:t>
      </w:r>
      <w:r>
        <w:rPr>
          <w:rFonts w:eastAsia="Calibri" w:cs="Arial"/>
          <w:b/>
          <w:szCs w:val="24"/>
          <w:lang w:val="es-PY"/>
        </w:rPr>
        <w:t>I</w:t>
      </w:r>
      <w:r>
        <w:rPr>
          <w:rFonts w:eastAsia="Calibri" w:cs="Arial"/>
          <w:bCs/>
          <w:szCs w:val="24"/>
          <w:lang w:val="es-PY"/>
        </w:rPr>
        <w:t>.</w:t>
      </w:r>
    </w:p>
    <w:p w14:paraId="720199A6" w14:textId="42705AD5" w:rsidR="00BF4BE4" w:rsidRDefault="00BF4BE4" w:rsidP="00964D98">
      <w:pPr>
        <w:suppressLineNumbers/>
        <w:spacing w:after="160"/>
        <w:ind w:firstLine="851"/>
        <w:jc w:val="both"/>
        <w:rPr>
          <w:b/>
          <w:bCs/>
        </w:rPr>
      </w:pPr>
    </w:p>
    <w:p w14:paraId="6B597C03" w14:textId="1F4F64CC" w:rsidR="00BF4BE4" w:rsidRDefault="00BF4BE4" w:rsidP="00964D98">
      <w:pPr>
        <w:suppressLineNumbers/>
        <w:spacing w:after="160"/>
        <w:ind w:firstLine="851"/>
        <w:jc w:val="both"/>
        <w:rPr>
          <w:b/>
          <w:bCs/>
        </w:rPr>
      </w:pPr>
    </w:p>
    <w:p w14:paraId="2BE6B8E3" w14:textId="77777777" w:rsidR="00BF4BE4" w:rsidRPr="00BF4BE4" w:rsidRDefault="00BF4BE4" w:rsidP="00964D98">
      <w:pPr>
        <w:suppressLineNumbers/>
        <w:spacing w:after="160"/>
        <w:ind w:firstLine="851"/>
        <w:jc w:val="both"/>
        <w:rPr>
          <w:b/>
          <w:bCs/>
        </w:rPr>
      </w:pPr>
    </w:p>
    <w:p w14:paraId="050E6034" w14:textId="77777777" w:rsidR="004E32B0" w:rsidRPr="00D14782" w:rsidRDefault="004E32B0">
      <w:pPr>
        <w:suppressLineNumbers/>
        <w:spacing w:after="160"/>
        <w:jc w:val="both"/>
      </w:pPr>
      <w:r w:rsidRPr="00D14782">
        <w:rPr>
          <w:rFonts w:cs="Arial"/>
          <w:b/>
          <w:szCs w:val="24"/>
        </w:rPr>
        <w:lastRenderedPageBreak/>
        <w:t>PRÓXIMA REUNIÓN</w:t>
      </w:r>
    </w:p>
    <w:p w14:paraId="138D5142" w14:textId="2F30E33C" w:rsidR="004E32B0" w:rsidRPr="00D14782" w:rsidRDefault="004E32B0">
      <w:pPr>
        <w:jc w:val="both"/>
      </w:pPr>
      <w:r w:rsidRPr="00D14782">
        <w:t xml:space="preserve">La próxima reunión del SGT N° 4 se realizará </w:t>
      </w:r>
      <w:r w:rsidR="00895463" w:rsidRPr="00D14782">
        <w:t xml:space="preserve">durante la próxima Presidencia </w:t>
      </w:r>
      <w:r w:rsidR="00895463" w:rsidRPr="00D14782">
        <w:rPr>
          <w:i/>
        </w:rPr>
        <w:t>Pro Tempore</w:t>
      </w:r>
      <w:r w:rsidRPr="00D14782">
        <w:t xml:space="preserve">, </w:t>
      </w:r>
      <w:r w:rsidR="009E753E" w:rsidRPr="00D14782">
        <w:t xml:space="preserve">en el </w:t>
      </w:r>
      <w:r w:rsidR="00602547" w:rsidRPr="00D14782">
        <w:t>primer semestre de</w:t>
      </w:r>
      <w:r w:rsidRPr="00D14782">
        <w:t xml:space="preserve"> </w:t>
      </w:r>
      <w:r w:rsidR="00895463" w:rsidRPr="00D14782">
        <w:t>202</w:t>
      </w:r>
      <w:r w:rsidR="00D45469" w:rsidRPr="00D14782">
        <w:t>3</w:t>
      </w:r>
      <w:r w:rsidRPr="00D14782">
        <w:t>.</w:t>
      </w:r>
    </w:p>
    <w:p w14:paraId="2F730474" w14:textId="77777777" w:rsidR="004E32B0" w:rsidRPr="00D14782" w:rsidRDefault="004E32B0">
      <w:pPr>
        <w:jc w:val="both"/>
      </w:pPr>
    </w:p>
    <w:p w14:paraId="6A7EA7CF" w14:textId="77777777" w:rsidR="004E32B0" w:rsidRPr="00D14782" w:rsidRDefault="004E32B0">
      <w:pPr>
        <w:pStyle w:val="BodyText22"/>
        <w:overflowPunct w:val="0"/>
        <w:rPr>
          <w:rFonts w:cs="Arial"/>
          <w:szCs w:val="24"/>
        </w:rPr>
      </w:pPr>
    </w:p>
    <w:p w14:paraId="17F8AFF4" w14:textId="77777777" w:rsidR="004E32B0" w:rsidRPr="00D14782" w:rsidRDefault="004E32B0">
      <w:pPr>
        <w:pStyle w:val="BodyText22"/>
        <w:overflowPunct w:val="0"/>
        <w:rPr>
          <w:rFonts w:cs="Arial"/>
          <w:szCs w:val="24"/>
        </w:rPr>
      </w:pPr>
      <w:r w:rsidRPr="00D14782">
        <w:rPr>
          <w:rFonts w:cs="Arial"/>
          <w:szCs w:val="24"/>
        </w:rPr>
        <w:t xml:space="preserve">LISTA DE ANEXOS </w:t>
      </w:r>
    </w:p>
    <w:p w14:paraId="3A82F1DE" w14:textId="77777777" w:rsidR="004E32B0" w:rsidRPr="00D14782" w:rsidRDefault="004E32B0">
      <w:pPr>
        <w:pStyle w:val="Encabezado"/>
        <w:jc w:val="both"/>
        <w:rPr>
          <w:rFonts w:cs="Arial"/>
          <w:szCs w:val="24"/>
        </w:rPr>
      </w:pPr>
    </w:p>
    <w:p w14:paraId="4C859D67" w14:textId="77777777" w:rsidR="004E32B0" w:rsidRPr="00D14782" w:rsidRDefault="004E32B0">
      <w:pPr>
        <w:pStyle w:val="Encabezado"/>
        <w:jc w:val="both"/>
        <w:rPr>
          <w:rFonts w:cs="Arial"/>
          <w:szCs w:val="24"/>
        </w:rPr>
      </w:pPr>
      <w:r w:rsidRPr="00D14782">
        <w:rPr>
          <w:rFonts w:cs="Arial"/>
          <w:szCs w:val="24"/>
        </w:rPr>
        <w:t>Los Anexos que forman parte de la presente Acta son los siguientes:</w:t>
      </w:r>
    </w:p>
    <w:p w14:paraId="3CF44465" w14:textId="77777777" w:rsidR="004E32B0" w:rsidRPr="00D14782" w:rsidRDefault="004E32B0">
      <w:pPr>
        <w:pStyle w:val="Encabezado"/>
        <w:jc w:val="both"/>
        <w:rPr>
          <w:rFonts w:cs="Arial"/>
          <w:szCs w:val="24"/>
        </w:rPr>
      </w:pPr>
    </w:p>
    <w:tbl>
      <w:tblPr>
        <w:tblW w:w="0" w:type="auto"/>
        <w:tblInd w:w="-38" w:type="dxa"/>
        <w:tblLayout w:type="fixed"/>
        <w:tblCellMar>
          <w:left w:w="70" w:type="dxa"/>
          <w:right w:w="70" w:type="dxa"/>
        </w:tblCellMar>
        <w:tblLook w:val="0000" w:firstRow="0" w:lastRow="0" w:firstColumn="0" w:lastColumn="0" w:noHBand="0" w:noVBand="0"/>
      </w:tblPr>
      <w:tblGrid>
        <w:gridCol w:w="1907"/>
        <w:gridCol w:w="6737"/>
      </w:tblGrid>
      <w:tr w:rsidR="00D14782" w:rsidRPr="00D14782" w14:paraId="69767161" w14:textId="77777777">
        <w:tc>
          <w:tcPr>
            <w:tcW w:w="1907" w:type="dxa"/>
            <w:shd w:val="clear" w:color="auto" w:fill="auto"/>
          </w:tcPr>
          <w:p w14:paraId="01F0B794" w14:textId="77777777" w:rsidR="004E32B0" w:rsidRPr="00D14782" w:rsidRDefault="004E32B0">
            <w:pPr>
              <w:pStyle w:val="Encabezado"/>
              <w:jc w:val="both"/>
              <w:rPr>
                <w:rFonts w:cs="Arial"/>
                <w:szCs w:val="24"/>
              </w:rPr>
            </w:pPr>
            <w:r w:rsidRPr="00D14782">
              <w:rPr>
                <w:rFonts w:cs="Arial"/>
                <w:b/>
                <w:szCs w:val="24"/>
              </w:rPr>
              <w:t>Anexo I</w:t>
            </w:r>
          </w:p>
        </w:tc>
        <w:tc>
          <w:tcPr>
            <w:tcW w:w="6737" w:type="dxa"/>
            <w:shd w:val="clear" w:color="auto" w:fill="auto"/>
          </w:tcPr>
          <w:p w14:paraId="0ABF56ED" w14:textId="77777777" w:rsidR="004E32B0" w:rsidRPr="00D14782" w:rsidRDefault="004E32B0">
            <w:pPr>
              <w:pStyle w:val="Encabezado"/>
              <w:jc w:val="both"/>
            </w:pPr>
            <w:r w:rsidRPr="00D14782">
              <w:rPr>
                <w:rFonts w:cs="Arial"/>
                <w:szCs w:val="24"/>
              </w:rPr>
              <w:t>Lista de Participantes.</w:t>
            </w:r>
          </w:p>
        </w:tc>
      </w:tr>
      <w:tr w:rsidR="00D14782" w:rsidRPr="00D14782" w14:paraId="3576EF5D" w14:textId="77777777">
        <w:tc>
          <w:tcPr>
            <w:tcW w:w="1907" w:type="dxa"/>
            <w:shd w:val="clear" w:color="auto" w:fill="auto"/>
          </w:tcPr>
          <w:p w14:paraId="7FE8784E" w14:textId="77777777" w:rsidR="004E32B0" w:rsidRPr="00D14782" w:rsidRDefault="004E32B0">
            <w:pPr>
              <w:pStyle w:val="Encabezado"/>
              <w:jc w:val="both"/>
              <w:rPr>
                <w:rFonts w:cs="Arial"/>
                <w:szCs w:val="24"/>
              </w:rPr>
            </w:pPr>
            <w:r w:rsidRPr="00D14782">
              <w:rPr>
                <w:rFonts w:cs="Arial"/>
                <w:b/>
                <w:szCs w:val="24"/>
              </w:rPr>
              <w:t>Anexo II</w:t>
            </w:r>
          </w:p>
        </w:tc>
        <w:tc>
          <w:tcPr>
            <w:tcW w:w="6737" w:type="dxa"/>
            <w:shd w:val="clear" w:color="auto" w:fill="auto"/>
          </w:tcPr>
          <w:p w14:paraId="145C56B4" w14:textId="77777777" w:rsidR="004E32B0" w:rsidRPr="00D14782" w:rsidRDefault="004E32B0">
            <w:pPr>
              <w:pStyle w:val="Encabezado"/>
              <w:jc w:val="both"/>
            </w:pPr>
            <w:r w:rsidRPr="00D14782">
              <w:rPr>
                <w:rFonts w:cs="Arial"/>
                <w:szCs w:val="24"/>
              </w:rPr>
              <w:t>Agenda Tratada.</w:t>
            </w:r>
          </w:p>
        </w:tc>
      </w:tr>
      <w:tr w:rsidR="00D14782" w:rsidRPr="00D14782" w14:paraId="0BDA0E1B" w14:textId="77777777">
        <w:tc>
          <w:tcPr>
            <w:tcW w:w="1907" w:type="dxa"/>
            <w:shd w:val="clear" w:color="auto" w:fill="auto"/>
          </w:tcPr>
          <w:p w14:paraId="2EC99090" w14:textId="5EC392BE" w:rsidR="00D45469" w:rsidRPr="00D14782" w:rsidRDefault="004E32B0">
            <w:pPr>
              <w:pStyle w:val="Encabezado"/>
              <w:jc w:val="both"/>
              <w:rPr>
                <w:rFonts w:cs="Arial"/>
                <w:szCs w:val="24"/>
              </w:rPr>
            </w:pPr>
            <w:r w:rsidRPr="00D14782">
              <w:rPr>
                <w:rFonts w:cs="Arial"/>
                <w:b/>
                <w:szCs w:val="24"/>
              </w:rPr>
              <w:t>Anexo III</w:t>
            </w:r>
          </w:p>
          <w:p w14:paraId="0FE16B84" w14:textId="7FFFECF3" w:rsidR="004E32B0" w:rsidRPr="00D14782" w:rsidRDefault="00D45469" w:rsidP="00D45469">
            <w:r w:rsidRPr="00D14782">
              <w:rPr>
                <w:rFonts w:cs="Arial"/>
                <w:b/>
                <w:szCs w:val="24"/>
              </w:rPr>
              <w:t>Anexo IV</w:t>
            </w:r>
          </w:p>
        </w:tc>
        <w:tc>
          <w:tcPr>
            <w:tcW w:w="6737" w:type="dxa"/>
            <w:shd w:val="clear" w:color="auto" w:fill="auto"/>
          </w:tcPr>
          <w:p w14:paraId="018A49EB" w14:textId="77777777" w:rsidR="004E32B0" w:rsidRPr="00D14782" w:rsidRDefault="004E32B0">
            <w:pPr>
              <w:pStyle w:val="Encabezado"/>
              <w:jc w:val="both"/>
              <w:rPr>
                <w:rFonts w:cs="Arial"/>
                <w:szCs w:val="24"/>
              </w:rPr>
            </w:pPr>
            <w:r w:rsidRPr="00D14782">
              <w:rPr>
                <w:rFonts w:cs="Arial"/>
                <w:szCs w:val="24"/>
              </w:rPr>
              <w:t>Resumen del Acta.</w:t>
            </w:r>
          </w:p>
          <w:p w14:paraId="05BBAC9F" w14:textId="18322881" w:rsidR="00D45469" w:rsidRPr="00D14782" w:rsidRDefault="00D45469">
            <w:pPr>
              <w:pStyle w:val="Encabezado"/>
              <w:jc w:val="both"/>
            </w:pPr>
            <w:r w:rsidRPr="00D14782">
              <w:t>Reporte anual comparativo</w:t>
            </w:r>
          </w:p>
        </w:tc>
      </w:tr>
      <w:tr w:rsidR="00D14782" w:rsidRPr="00D14782" w14:paraId="49776131" w14:textId="77777777">
        <w:trPr>
          <w:trHeight w:val="302"/>
        </w:trPr>
        <w:tc>
          <w:tcPr>
            <w:tcW w:w="1907" w:type="dxa"/>
            <w:shd w:val="clear" w:color="auto" w:fill="auto"/>
          </w:tcPr>
          <w:p w14:paraId="475BDA14" w14:textId="31CBDAC9" w:rsidR="004E32B0" w:rsidRPr="00BB0710" w:rsidRDefault="0011467E">
            <w:pPr>
              <w:pStyle w:val="Encabezado"/>
              <w:jc w:val="both"/>
              <w:rPr>
                <w:rFonts w:cs="Arial"/>
                <w:b/>
                <w:bCs/>
                <w:szCs w:val="24"/>
              </w:rPr>
            </w:pPr>
            <w:r w:rsidRPr="00BB0710">
              <w:rPr>
                <w:rFonts w:cs="Arial"/>
                <w:b/>
                <w:bCs/>
                <w:szCs w:val="24"/>
              </w:rPr>
              <w:t>Anexo V</w:t>
            </w:r>
          </w:p>
        </w:tc>
        <w:tc>
          <w:tcPr>
            <w:tcW w:w="6737" w:type="dxa"/>
            <w:shd w:val="clear" w:color="auto" w:fill="auto"/>
          </w:tcPr>
          <w:p w14:paraId="29CA1AEB" w14:textId="2BEF2F3E" w:rsidR="004E32B0" w:rsidRPr="00D14782" w:rsidRDefault="0011467E">
            <w:pPr>
              <w:pStyle w:val="Encabezado"/>
              <w:jc w:val="both"/>
              <w:rPr>
                <w:rFonts w:cs="Arial"/>
                <w:szCs w:val="24"/>
              </w:rPr>
            </w:pPr>
            <w:r w:rsidRPr="0011467E">
              <w:rPr>
                <w:rFonts w:cs="Arial"/>
                <w:szCs w:val="24"/>
              </w:rPr>
              <w:t xml:space="preserve">Informe </w:t>
            </w:r>
            <w:r>
              <w:rPr>
                <w:rFonts w:cs="Arial"/>
                <w:szCs w:val="24"/>
              </w:rPr>
              <w:t>d</w:t>
            </w:r>
            <w:r w:rsidRPr="0011467E">
              <w:rPr>
                <w:rFonts w:cs="Arial"/>
                <w:szCs w:val="24"/>
              </w:rPr>
              <w:t xml:space="preserve">e Cumplimiento </w:t>
            </w:r>
            <w:r>
              <w:rPr>
                <w:rFonts w:cs="Arial"/>
                <w:szCs w:val="24"/>
              </w:rPr>
              <w:t>d</w:t>
            </w:r>
            <w:r w:rsidRPr="0011467E">
              <w:rPr>
                <w:rFonts w:cs="Arial"/>
                <w:szCs w:val="24"/>
              </w:rPr>
              <w:t>el Programa De Trabajo 2021 – 2022</w:t>
            </w:r>
          </w:p>
        </w:tc>
      </w:tr>
      <w:tr w:rsidR="00D14782" w:rsidRPr="00D14782" w14:paraId="7830BF99" w14:textId="77777777">
        <w:trPr>
          <w:trHeight w:val="302"/>
        </w:trPr>
        <w:tc>
          <w:tcPr>
            <w:tcW w:w="1907" w:type="dxa"/>
            <w:shd w:val="clear" w:color="auto" w:fill="auto"/>
          </w:tcPr>
          <w:p w14:paraId="03D87B02" w14:textId="0859ECAC" w:rsidR="004E32B0" w:rsidRPr="00D14782" w:rsidRDefault="0011467E">
            <w:pPr>
              <w:pStyle w:val="Encabezado"/>
              <w:jc w:val="both"/>
              <w:rPr>
                <w:rFonts w:cs="Arial"/>
                <w:b/>
                <w:szCs w:val="24"/>
              </w:rPr>
            </w:pPr>
            <w:r>
              <w:rPr>
                <w:rFonts w:cs="Arial"/>
                <w:b/>
                <w:szCs w:val="24"/>
              </w:rPr>
              <w:t>Anexo VI</w:t>
            </w:r>
          </w:p>
        </w:tc>
        <w:tc>
          <w:tcPr>
            <w:tcW w:w="6737" w:type="dxa"/>
            <w:shd w:val="clear" w:color="auto" w:fill="auto"/>
          </w:tcPr>
          <w:p w14:paraId="22F3A5EA" w14:textId="54DA3E61" w:rsidR="004E32B0" w:rsidRPr="00BB0710" w:rsidRDefault="0011467E">
            <w:pPr>
              <w:pStyle w:val="Encabezado"/>
              <w:jc w:val="both"/>
              <w:rPr>
                <w:rFonts w:cs="Arial"/>
                <w:bCs/>
                <w:szCs w:val="24"/>
              </w:rPr>
            </w:pPr>
            <w:r w:rsidRPr="00BB0710">
              <w:rPr>
                <w:rFonts w:cs="Arial"/>
                <w:bCs/>
                <w:szCs w:val="24"/>
              </w:rPr>
              <w:t>Programa de Trabajo 2023 – 2024</w:t>
            </w:r>
          </w:p>
        </w:tc>
      </w:tr>
      <w:tr w:rsidR="00D14782" w:rsidRPr="00D14782" w14:paraId="5F5ED244" w14:textId="77777777">
        <w:trPr>
          <w:trHeight w:val="302"/>
        </w:trPr>
        <w:tc>
          <w:tcPr>
            <w:tcW w:w="1907" w:type="dxa"/>
            <w:shd w:val="clear" w:color="auto" w:fill="auto"/>
          </w:tcPr>
          <w:p w14:paraId="01333644" w14:textId="09410C7B" w:rsidR="004E32B0" w:rsidRPr="00D14782" w:rsidRDefault="004E32B0">
            <w:pPr>
              <w:pStyle w:val="Encabezado"/>
              <w:jc w:val="both"/>
              <w:rPr>
                <w:rFonts w:cs="Arial"/>
                <w:szCs w:val="24"/>
              </w:rPr>
            </w:pPr>
          </w:p>
        </w:tc>
        <w:tc>
          <w:tcPr>
            <w:tcW w:w="6737" w:type="dxa"/>
            <w:shd w:val="clear" w:color="auto" w:fill="auto"/>
          </w:tcPr>
          <w:p w14:paraId="24B56E8D" w14:textId="77777777" w:rsidR="004E32B0" w:rsidRPr="00D14782" w:rsidRDefault="004E32B0">
            <w:pPr>
              <w:pStyle w:val="Encabezado"/>
              <w:jc w:val="both"/>
              <w:rPr>
                <w:rFonts w:cs="Arial"/>
                <w:szCs w:val="24"/>
              </w:rPr>
            </w:pPr>
          </w:p>
        </w:tc>
      </w:tr>
      <w:tr w:rsidR="00D14782" w:rsidRPr="00D14782" w14:paraId="23419BBB" w14:textId="77777777">
        <w:trPr>
          <w:trHeight w:val="302"/>
        </w:trPr>
        <w:tc>
          <w:tcPr>
            <w:tcW w:w="1907" w:type="dxa"/>
            <w:shd w:val="clear" w:color="auto" w:fill="auto"/>
          </w:tcPr>
          <w:p w14:paraId="53B56523" w14:textId="1F888BF3" w:rsidR="004E32B0" w:rsidRPr="00D14782" w:rsidRDefault="004E32B0">
            <w:pPr>
              <w:pStyle w:val="Encabezado"/>
              <w:jc w:val="both"/>
              <w:rPr>
                <w:rFonts w:cs="Arial"/>
                <w:szCs w:val="24"/>
              </w:rPr>
            </w:pPr>
          </w:p>
        </w:tc>
        <w:tc>
          <w:tcPr>
            <w:tcW w:w="6737" w:type="dxa"/>
            <w:shd w:val="clear" w:color="auto" w:fill="auto"/>
          </w:tcPr>
          <w:p w14:paraId="70F5DD8F" w14:textId="77777777" w:rsidR="004E32B0" w:rsidRPr="00D14782" w:rsidRDefault="004E32B0">
            <w:pPr>
              <w:pStyle w:val="Encabezado"/>
              <w:jc w:val="both"/>
              <w:rPr>
                <w:rFonts w:cs="Arial"/>
                <w:szCs w:val="24"/>
              </w:rPr>
            </w:pPr>
          </w:p>
        </w:tc>
      </w:tr>
    </w:tbl>
    <w:p w14:paraId="27001440" w14:textId="77777777" w:rsidR="004E32B0" w:rsidRPr="00D14782" w:rsidRDefault="004E32B0">
      <w:pPr>
        <w:jc w:val="both"/>
        <w:rPr>
          <w:rFonts w:cs="Arial"/>
          <w:szCs w:val="24"/>
        </w:rPr>
      </w:pPr>
    </w:p>
    <w:p w14:paraId="14BC5F88" w14:textId="78F69DED" w:rsidR="008824E2" w:rsidRPr="00D14782" w:rsidRDefault="008824E2"/>
    <w:p w14:paraId="25F01D74" w14:textId="0439A3C5" w:rsidR="00310F48" w:rsidRPr="00D14782" w:rsidRDefault="00310F48"/>
    <w:p w14:paraId="324C77D6" w14:textId="6E582B25" w:rsidR="00310F48" w:rsidRPr="00D14782" w:rsidRDefault="00310F48"/>
    <w:p w14:paraId="477C1870" w14:textId="77777777" w:rsidR="00310F48" w:rsidRPr="00D14782" w:rsidRDefault="00310F48"/>
    <w:p w14:paraId="28D2D75E" w14:textId="70B70E0A" w:rsidR="00310F48" w:rsidRPr="00D14782" w:rsidRDefault="00310F48"/>
    <w:p w14:paraId="6F389C09" w14:textId="77777777" w:rsidR="00310F48" w:rsidRPr="00D14782" w:rsidRDefault="00310F48" w:rsidP="00310F48">
      <w:pPr>
        <w:tabs>
          <w:tab w:val="left" w:pos="1227"/>
        </w:tabs>
      </w:pPr>
      <w:r w:rsidRPr="00D14782">
        <w:tab/>
      </w:r>
    </w:p>
    <w:tbl>
      <w:tblPr>
        <w:tblW w:w="0" w:type="auto"/>
        <w:jc w:val="center"/>
        <w:tblLook w:val="04A0" w:firstRow="1" w:lastRow="0" w:firstColumn="1" w:lastColumn="0" w:noHBand="0" w:noVBand="1"/>
      </w:tblPr>
      <w:tblGrid>
        <w:gridCol w:w="4341"/>
        <w:gridCol w:w="4379"/>
      </w:tblGrid>
      <w:tr w:rsidR="00D14782" w:rsidRPr="00D14782" w14:paraId="28C85300" w14:textId="77777777" w:rsidTr="003C016A">
        <w:trPr>
          <w:jc w:val="center"/>
        </w:trPr>
        <w:tc>
          <w:tcPr>
            <w:tcW w:w="4535" w:type="dxa"/>
            <w:shd w:val="clear" w:color="auto" w:fill="auto"/>
          </w:tcPr>
          <w:p w14:paraId="69C6EDCB" w14:textId="77777777" w:rsidR="00310F48" w:rsidRPr="00D14782" w:rsidRDefault="00310F48" w:rsidP="003C016A">
            <w:pPr>
              <w:pStyle w:val="Encabezado"/>
              <w:ind w:left="38"/>
              <w:jc w:val="center"/>
              <w:rPr>
                <w:rFonts w:cs="Arial"/>
                <w:szCs w:val="24"/>
              </w:rPr>
            </w:pPr>
            <w:r w:rsidRPr="00D14782">
              <w:rPr>
                <w:rFonts w:cs="Arial"/>
                <w:b/>
                <w:szCs w:val="24"/>
              </w:rPr>
              <w:t>___________________________</w:t>
            </w:r>
          </w:p>
          <w:p w14:paraId="0F9D6D93" w14:textId="5EEC7888" w:rsidR="00310F48" w:rsidRPr="00BF4BE4" w:rsidRDefault="00310F48" w:rsidP="003C016A">
            <w:pPr>
              <w:pStyle w:val="Encabezado"/>
              <w:ind w:left="38"/>
              <w:jc w:val="center"/>
              <w:rPr>
                <w:rFonts w:cs="Arial"/>
                <w:b/>
                <w:bCs/>
                <w:szCs w:val="24"/>
                <w:shd w:val="clear" w:color="auto" w:fill="FFFF00"/>
              </w:rPr>
            </w:pPr>
            <w:r w:rsidRPr="00BF4BE4">
              <w:rPr>
                <w:rFonts w:cs="Arial"/>
                <w:b/>
                <w:bCs/>
                <w:szCs w:val="24"/>
              </w:rPr>
              <w:t xml:space="preserve">Por la </w:t>
            </w:r>
            <w:r w:rsidR="00BF4BE4" w:rsidRPr="00BF4BE4">
              <w:rPr>
                <w:rFonts w:cs="Arial"/>
                <w:b/>
                <w:bCs/>
                <w:szCs w:val="24"/>
              </w:rPr>
              <w:t>d</w:t>
            </w:r>
            <w:r w:rsidR="00925A37" w:rsidRPr="00BF4BE4">
              <w:rPr>
                <w:rFonts w:cs="Arial"/>
                <w:b/>
                <w:bCs/>
                <w:szCs w:val="24"/>
              </w:rPr>
              <w:t>elegación</w:t>
            </w:r>
            <w:r w:rsidRPr="00BF4BE4">
              <w:rPr>
                <w:rFonts w:cs="Arial"/>
                <w:b/>
                <w:bCs/>
                <w:szCs w:val="24"/>
              </w:rPr>
              <w:t xml:space="preserve"> de Argentina</w:t>
            </w:r>
          </w:p>
          <w:p w14:paraId="2581584D" w14:textId="77777777" w:rsidR="00310F48" w:rsidRPr="00D14782" w:rsidRDefault="00310F48" w:rsidP="003C016A">
            <w:pPr>
              <w:ind w:left="709"/>
              <w:rPr>
                <w:rFonts w:cs="Arial"/>
                <w:szCs w:val="24"/>
              </w:rPr>
            </w:pPr>
            <w:r w:rsidRPr="00D14782">
              <w:rPr>
                <w:rFonts w:cs="Arial"/>
                <w:szCs w:val="24"/>
              </w:rPr>
              <w:t xml:space="preserve">       Silvia Fernández</w:t>
            </w:r>
          </w:p>
          <w:p w14:paraId="6E2548C7" w14:textId="77777777" w:rsidR="00310F48" w:rsidRPr="00D14782" w:rsidRDefault="00310F48" w:rsidP="003C016A">
            <w:pPr>
              <w:ind w:left="709"/>
              <w:jc w:val="center"/>
              <w:rPr>
                <w:rFonts w:cs="Arial"/>
                <w:b/>
                <w:szCs w:val="24"/>
                <w:shd w:val="clear" w:color="auto" w:fill="FFFF00"/>
              </w:rPr>
            </w:pPr>
          </w:p>
          <w:p w14:paraId="2765ED16" w14:textId="77777777" w:rsidR="00310F48" w:rsidRPr="00D14782" w:rsidRDefault="00310F48" w:rsidP="003C016A">
            <w:pPr>
              <w:ind w:left="709"/>
              <w:jc w:val="center"/>
            </w:pPr>
          </w:p>
          <w:p w14:paraId="0C4522F6" w14:textId="5F67953D" w:rsidR="00310F48" w:rsidRDefault="00310F48" w:rsidP="003C016A">
            <w:pPr>
              <w:ind w:left="709"/>
              <w:jc w:val="center"/>
            </w:pPr>
          </w:p>
          <w:p w14:paraId="23D53CBF" w14:textId="46884154" w:rsidR="00BF4BE4" w:rsidRDefault="00BF4BE4" w:rsidP="003C016A">
            <w:pPr>
              <w:ind w:left="709"/>
              <w:jc w:val="center"/>
            </w:pPr>
          </w:p>
          <w:p w14:paraId="743F1A77" w14:textId="77777777" w:rsidR="00BF4BE4" w:rsidRPr="00D14782" w:rsidRDefault="00BF4BE4" w:rsidP="003C016A">
            <w:pPr>
              <w:ind w:left="709"/>
              <w:jc w:val="center"/>
            </w:pPr>
          </w:p>
          <w:p w14:paraId="535AF329" w14:textId="77777777" w:rsidR="00310F48" w:rsidRPr="00D14782" w:rsidRDefault="00310F48" w:rsidP="003C016A">
            <w:pPr>
              <w:ind w:left="709"/>
              <w:jc w:val="center"/>
            </w:pPr>
          </w:p>
        </w:tc>
        <w:tc>
          <w:tcPr>
            <w:tcW w:w="4535" w:type="dxa"/>
            <w:shd w:val="clear" w:color="auto" w:fill="auto"/>
          </w:tcPr>
          <w:p w14:paraId="632F43C9" w14:textId="77777777" w:rsidR="00310F48" w:rsidRPr="00D14782" w:rsidRDefault="00310F48" w:rsidP="003C016A">
            <w:pPr>
              <w:pStyle w:val="Encabezado"/>
              <w:ind w:left="38"/>
              <w:jc w:val="center"/>
              <w:rPr>
                <w:rFonts w:cs="Arial"/>
                <w:szCs w:val="24"/>
              </w:rPr>
            </w:pPr>
            <w:r w:rsidRPr="00D14782">
              <w:rPr>
                <w:rFonts w:cs="Arial"/>
                <w:b/>
                <w:szCs w:val="24"/>
              </w:rPr>
              <w:t>____________________________</w:t>
            </w:r>
          </w:p>
          <w:p w14:paraId="27485255" w14:textId="0932A94E" w:rsidR="00310F48" w:rsidRPr="00BF4BE4" w:rsidRDefault="00310F48" w:rsidP="003C016A">
            <w:pPr>
              <w:pStyle w:val="Encabezado"/>
              <w:ind w:left="38"/>
              <w:jc w:val="center"/>
              <w:rPr>
                <w:rFonts w:cs="Arial"/>
                <w:b/>
                <w:bCs/>
                <w:szCs w:val="24"/>
                <w:shd w:val="clear" w:color="auto" w:fill="FFFF00"/>
              </w:rPr>
            </w:pPr>
            <w:r w:rsidRPr="00BF4BE4">
              <w:rPr>
                <w:rFonts w:cs="Arial"/>
                <w:b/>
                <w:bCs/>
                <w:szCs w:val="24"/>
              </w:rPr>
              <w:t xml:space="preserve">Por la </w:t>
            </w:r>
            <w:r w:rsidR="00BF4BE4" w:rsidRPr="00BF4BE4">
              <w:rPr>
                <w:rFonts w:cs="Arial"/>
                <w:b/>
                <w:bCs/>
                <w:szCs w:val="24"/>
              </w:rPr>
              <w:t>d</w:t>
            </w:r>
            <w:r w:rsidR="00925A37" w:rsidRPr="00BF4BE4">
              <w:rPr>
                <w:rFonts w:cs="Arial"/>
                <w:b/>
                <w:bCs/>
                <w:szCs w:val="24"/>
              </w:rPr>
              <w:t>elegación</w:t>
            </w:r>
            <w:r w:rsidR="003C016A" w:rsidRPr="00BF4BE4">
              <w:rPr>
                <w:rFonts w:cs="Arial"/>
                <w:b/>
                <w:bCs/>
                <w:szCs w:val="24"/>
              </w:rPr>
              <w:t xml:space="preserve"> de </w:t>
            </w:r>
            <w:r w:rsidR="00A45697" w:rsidRPr="00BF4BE4">
              <w:rPr>
                <w:rFonts w:cs="Arial"/>
                <w:b/>
                <w:bCs/>
                <w:szCs w:val="24"/>
              </w:rPr>
              <w:t>Brasil</w:t>
            </w:r>
          </w:p>
          <w:p w14:paraId="1C8B5854" w14:textId="19C1E7AD" w:rsidR="00310F48" w:rsidRPr="00D14782" w:rsidRDefault="00A45697" w:rsidP="00EF1FA4">
            <w:pPr>
              <w:jc w:val="center"/>
            </w:pPr>
            <w:proofErr w:type="spellStart"/>
            <w:r w:rsidRPr="00D14782">
              <w:rPr>
                <w:rFonts w:cs="Arial"/>
                <w:szCs w:val="24"/>
              </w:rPr>
              <w:t>Maria</w:t>
            </w:r>
            <w:proofErr w:type="spellEnd"/>
            <w:r w:rsidRPr="00D14782">
              <w:rPr>
                <w:rFonts w:cs="Arial"/>
                <w:szCs w:val="24"/>
              </w:rPr>
              <w:t xml:space="preserve"> Camila Baigorri</w:t>
            </w:r>
          </w:p>
        </w:tc>
      </w:tr>
      <w:tr w:rsidR="00D14782" w:rsidRPr="00D14782" w14:paraId="376339C8" w14:textId="77777777" w:rsidTr="003C016A">
        <w:trPr>
          <w:jc w:val="center"/>
        </w:trPr>
        <w:tc>
          <w:tcPr>
            <w:tcW w:w="4535" w:type="dxa"/>
            <w:shd w:val="clear" w:color="auto" w:fill="auto"/>
          </w:tcPr>
          <w:p w14:paraId="28250197" w14:textId="77777777" w:rsidR="00310F48" w:rsidRPr="00D14782" w:rsidRDefault="00310F48" w:rsidP="003C016A">
            <w:pPr>
              <w:pStyle w:val="Encabezado"/>
              <w:ind w:left="38"/>
              <w:jc w:val="center"/>
              <w:rPr>
                <w:rFonts w:cs="Arial"/>
                <w:szCs w:val="24"/>
              </w:rPr>
            </w:pPr>
            <w:r w:rsidRPr="00D14782">
              <w:rPr>
                <w:rFonts w:cs="Arial"/>
                <w:b/>
                <w:szCs w:val="24"/>
              </w:rPr>
              <w:t>_________________________</w:t>
            </w:r>
          </w:p>
          <w:p w14:paraId="26E1A541" w14:textId="3D477675" w:rsidR="00A45697" w:rsidRPr="00BF4BE4" w:rsidRDefault="00A45697" w:rsidP="00A45697">
            <w:pPr>
              <w:pStyle w:val="Encabezado"/>
              <w:ind w:left="38"/>
              <w:jc w:val="center"/>
              <w:rPr>
                <w:rFonts w:cs="Arial"/>
                <w:b/>
                <w:bCs/>
                <w:szCs w:val="24"/>
                <w:shd w:val="clear" w:color="auto" w:fill="FFFF00"/>
              </w:rPr>
            </w:pPr>
            <w:r w:rsidRPr="00BF4BE4">
              <w:rPr>
                <w:rFonts w:cs="Arial"/>
                <w:b/>
                <w:bCs/>
                <w:szCs w:val="24"/>
              </w:rPr>
              <w:t xml:space="preserve">Por la </w:t>
            </w:r>
            <w:r w:rsidR="00BF4BE4" w:rsidRPr="00BF4BE4">
              <w:rPr>
                <w:rFonts w:cs="Arial"/>
                <w:b/>
                <w:bCs/>
                <w:szCs w:val="24"/>
              </w:rPr>
              <w:t>d</w:t>
            </w:r>
            <w:r w:rsidRPr="00BF4BE4">
              <w:rPr>
                <w:rFonts w:cs="Arial"/>
                <w:b/>
                <w:bCs/>
                <w:szCs w:val="24"/>
              </w:rPr>
              <w:t>elegación de Paraguay</w:t>
            </w:r>
          </w:p>
          <w:p w14:paraId="4EAA1397" w14:textId="048A4441" w:rsidR="00310F48" w:rsidRPr="00D14782" w:rsidRDefault="00A45697" w:rsidP="00A45697">
            <w:pPr>
              <w:tabs>
                <w:tab w:val="center" w:pos="2278"/>
                <w:tab w:val="right" w:pos="3989"/>
              </w:tabs>
              <w:ind w:left="567"/>
              <w:rPr>
                <w:rFonts w:cs="Arial"/>
                <w:szCs w:val="24"/>
              </w:rPr>
            </w:pPr>
            <w:r w:rsidRPr="00D14782">
              <w:rPr>
                <w:rFonts w:cs="Arial"/>
                <w:szCs w:val="24"/>
              </w:rPr>
              <w:t xml:space="preserve">          Natalia </w:t>
            </w:r>
            <w:proofErr w:type="spellStart"/>
            <w:r w:rsidRPr="00D14782">
              <w:rPr>
                <w:rFonts w:cs="Arial"/>
                <w:szCs w:val="24"/>
              </w:rPr>
              <w:t>Valinotti</w:t>
            </w:r>
            <w:proofErr w:type="spellEnd"/>
          </w:p>
          <w:p w14:paraId="6DBE59D3" w14:textId="77777777" w:rsidR="00310F48" w:rsidRPr="00D14782" w:rsidRDefault="00310F48" w:rsidP="003C016A">
            <w:pPr>
              <w:tabs>
                <w:tab w:val="center" w:pos="2278"/>
                <w:tab w:val="right" w:pos="3989"/>
              </w:tabs>
              <w:ind w:left="567"/>
              <w:jc w:val="center"/>
              <w:rPr>
                <w:rFonts w:cs="Arial"/>
                <w:b/>
                <w:szCs w:val="24"/>
                <w:shd w:val="clear" w:color="auto" w:fill="FFFF00"/>
              </w:rPr>
            </w:pPr>
          </w:p>
          <w:p w14:paraId="3A88E8EA" w14:textId="69DAEC83" w:rsidR="00310F48" w:rsidRDefault="00310F48" w:rsidP="003C016A">
            <w:pPr>
              <w:tabs>
                <w:tab w:val="center" w:pos="2278"/>
                <w:tab w:val="right" w:pos="3989"/>
              </w:tabs>
              <w:ind w:left="567"/>
              <w:jc w:val="center"/>
              <w:rPr>
                <w:rFonts w:cs="Arial"/>
                <w:b/>
                <w:szCs w:val="24"/>
              </w:rPr>
            </w:pPr>
          </w:p>
          <w:p w14:paraId="0EB03C4D" w14:textId="1A06203B" w:rsidR="00BF4BE4" w:rsidRDefault="00BF4BE4" w:rsidP="003C016A">
            <w:pPr>
              <w:tabs>
                <w:tab w:val="center" w:pos="2278"/>
                <w:tab w:val="right" w:pos="3989"/>
              </w:tabs>
              <w:ind w:left="567"/>
              <w:jc w:val="center"/>
              <w:rPr>
                <w:rFonts w:cs="Arial"/>
                <w:b/>
                <w:szCs w:val="24"/>
              </w:rPr>
            </w:pPr>
          </w:p>
          <w:p w14:paraId="780F2B22" w14:textId="33E73719" w:rsidR="00BF4BE4" w:rsidRDefault="00BF4BE4" w:rsidP="003C016A">
            <w:pPr>
              <w:tabs>
                <w:tab w:val="center" w:pos="2278"/>
                <w:tab w:val="right" w:pos="3989"/>
              </w:tabs>
              <w:ind w:left="567"/>
              <w:jc w:val="center"/>
              <w:rPr>
                <w:rFonts w:cs="Arial"/>
                <w:b/>
                <w:szCs w:val="24"/>
              </w:rPr>
            </w:pPr>
          </w:p>
          <w:p w14:paraId="48399B44" w14:textId="77777777" w:rsidR="00BF4BE4" w:rsidRPr="00D14782" w:rsidRDefault="00BF4BE4" w:rsidP="003C016A">
            <w:pPr>
              <w:tabs>
                <w:tab w:val="center" w:pos="2278"/>
                <w:tab w:val="right" w:pos="3989"/>
              </w:tabs>
              <w:ind w:left="567"/>
              <w:jc w:val="center"/>
              <w:rPr>
                <w:rFonts w:cs="Arial"/>
                <w:b/>
                <w:szCs w:val="24"/>
              </w:rPr>
            </w:pPr>
          </w:p>
          <w:p w14:paraId="315C3D30" w14:textId="77777777" w:rsidR="00310F48" w:rsidRPr="00D14782" w:rsidRDefault="00310F48" w:rsidP="003C016A">
            <w:pPr>
              <w:tabs>
                <w:tab w:val="center" w:pos="2278"/>
                <w:tab w:val="right" w:pos="3989"/>
              </w:tabs>
              <w:ind w:left="567"/>
              <w:jc w:val="center"/>
              <w:rPr>
                <w:rFonts w:cs="Arial"/>
                <w:b/>
                <w:szCs w:val="24"/>
              </w:rPr>
            </w:pPr>
          </w:p>
        </w:tc>
        <w:tc>
          <w:tcPr>
            <w:tcW w:w="4535" w:type="dxa"/>
            <w:shd w:val="clear" w:color="auto" w:fill="auto"/>
          </w:tcPr>
          <w:p w14:paraId="3AA42EA8" w14:textId="77777777" w:rsidR="00310F48" w:rsidRPr="00D14782" w:rsidRDefault="00310F48" w:rsidP="003C016A">
            <w:pPr>
              <w:pStyle w:val="Encabezado"/>
              <w:ind w:left="38"/>
              <w:jc w:val="center"/>
              <w:rPr>
                <w:rFonts w:cs="Arial"/>
                <w:b/>
                <w:szCs w:val="24"/>
              </w:rPr>
            </w:pPr>
            <w:r w:rsidRPr="00D14782">
              <w:rPr>
                <w:rFonts w:cs="Arial"/>
                <w:b/>
                <w:szCs w:val="24"/>
              </w:rPr>
              <w:t>_________________________</w:t>
            </w:r>
          </w:p>
          <w:p w14:paraId="742BB791" w14:textId="46F8343C" w:rsidR="00A45697" w:rsidRPr="00BF4BE4" w:rsidRDefault="00A45697" w:rsidP="00A45697">
            <w:pPr>
              <w:pStyle w:val="Encabezado"/>
              <w:ind w:left="38"/>
              <w:jc w:val="center"/>
              <w:rPr>
                <w:rFonts w:cs="Arial"/>
                <w:b/>
                <w:bCs/>
                <w:szCs w:val="24"/>
                <w:shd w:val="clear" w:color="auto" w:fill="FFFF00"/>
              </w:rPr>
            </w:pPr>
            <w:r w:rsidRPr="00BF4BE4">
              <w:rPr>
                <w:rFonts w:cs="Arial"/>
                <w:b/>
                <w:bCs/>
                <w:szCs w:val="24"/>
              </w:rPr>
              <w:t xml:space="preserve">Por la </w:t>
            </w:r>
            <w:r w:rsidR="00BF4BE4" w:rsidRPr="00BF4BE4">
              <w:rPr>
                <w:rFonts w:cs="Arial"/>
                <w:b/>
                <w:bCs/>
                <w:szCs w:val="24"/>
              </w:rPr>
              <w:t>d</w:t>
            </w:r>
            <w:r w:rsidRPr="00BF4BE4">
              <w:rPr>
                <w:rFonts w:cs="Arial"/>
                <w:b/>
                <w:bCs/>
                <w:szCs w:val="24"/>
              </w:rPr>
              <w:t>elegación de Uruguay</w:t>
            </w:r>
          </w:p>
          <w:p w14:paraId="4C2E3773" w14:textId="77777777" w:rsidR="00A45697" w:rsidRPr="00D14782" w:rsidRDefault="00A45697" w:rsidP="00A45697">
            <w:pPr>
              <w:pStyle w:val="Encabezado"/>
              <w:ind w:left="38"/>
              <w:jc w:val="center"/>
              <w:rPr>
                <w:rFonts w:cs="Arial"/>
                <w:szCs w:val="24"/>
              </w:rPr>
            </w:pPr>
            <w:r w:rsidRPr="00D14782">
              <w:rPr>
                <w:rFonts w:cs="Arial"/>
                <w:szCs w:val="24"/>
              </w:rPr>
              <w:t xml:space="preserve"> Fernando Crescente</w:t>
            </w:r>
          </w:p>
          <w:p w14:paraId="30B1FDD2" w14:textId="4D9BFC52" w:rsidR="00310F48" w:rsidRPr="00D14782" w:rsidRDefault="00310F48" w:rsidP="003C016A">
            <w:pPr>
              <w:pStyle w:val="Encabezado"/>
              <w:ind w:left="38"/>
              <w:jc w:val="center"/>
              <w:rPr>
                <w:rFonts w:cs="Arial"/>
                <w:szCs w:val="24"/>
              </w:rPr>
            </w:pPr>
          </w:p>
        </w:tc>
      </w:tr>
      <w:tr w:rsidR="00310F48" w:rsidRPr="00D14782" w14:paraId="14902BA3" w14:textId="77777777" w:rsidTr="003C016A">
        <w:trPr>
          <w:jc w:val="center"/>
        </w:trPr>
        <w:tc>
          <w:tcPr>
            <w:tcW w:w="4535" w:type="dxa"/>
            <w:shd w:val="clear" w:color="auto" w:fill="auto"/>
          </w:tcPr>
          <w:p w14:paraId="74AC74FC" w14:textId="77777777" w:rsidR="00310F48" w:rsidRPr="00D14782" w:rsidRDefault="00310F48" w:rsidP="003C016A">
            <w:pPr>
              <w:pStyle w:val="Encabezado"/>
              <w:ind w:left="38"/>
              <w:jc w:val="center"/>
              <w:rPr>
                <w:rFonts w:cs="Arial"/>
                <w:szCs w:val="24"/>
              </w:rPr>
            </w:pPr>
            <w:r w:rsidRPr="00D14782">
              <w:rPr>
                <w:rFonts w:cs="Arial"/>
                <w:b/>
                <w:szCs w:val="24"/>
              </w:rPr>
              <w:t>__________________________</w:t>
            </w:r>
          </w:p>
          <w:p w14:paraId="6C50AAD5" w14:textId="75DE0FE1" w:rsidR="003C016A" w:rsidRPr="00BF4BE4" w:rsidRDefault="003C016A" w:rsidP="003C016A">
            <w:pPr>
              <w:pStyle w:val="Encabezado"/>
              <w:ind w:left="38"/>
              <w:jc w:val="center"/>
              <w:rPr>
                <w:rFonts w:cs="Arial"/>
                <w:b/>
                <w:bCs/>
                <w:shd w:val="clear" w:color="auto" w:fill="FFFF00"/>
              </w:rPr>
            </w:pPr>
            <w:r w:rsidRPr="00BF4BE4">
              <w:rPr>
                <w:rFonts w:cs="Arial"/>
                <w:b/>
                <w:bCs/>
                <w:szCs w:val="24"/>
              </w:rPr>
              <w:t xml:space="preserve">Por la </w:t>
            </w:r>
            <w:r w:rsidR="00BF4BE4" w:rsidRPr="00BF4BE4">
              <w:rPr>
                <w:rFonts w:cs="Arial"/>
                <w:b/>
                <w:bCs/>
                <w:szCs w:val="24"/>
              </w:rPr>
              <w:t>d</w:t>
            </w:r>
            <w:r w:rsidRPr="00BF4BE4">
              <w:rPr>
                <w:rFonts w:cs="Arial"/>
                <w:b/>
                <w:bCs/>
                <w:szCs w:val="24"/>
              </w:rPr>
              <w:t>elegación de Bolivia</w:t>
            </w:r>
          </w:p>
          <w:p w14:paraId="5A7596DE" w14:textId="16E03CCD" w:rsidR="00310F48" w:rsidRPr="00D14782" w:rsidRDefault="00A45697" w:rsidP="003C016A">
            <w:pPr>
              <w:pStyle w:val="Encabezado"/>
              <w:ind w:left="38"/>
              <w:jc w:val="center"/>
              <w:rPr>
                <w:rFonts w:cs="Arial"/>
                <w:b/>
                <w:szCs w:val="24"/>
              </w:rPr>
            </w:pPr>
            <w:proofErr w:type="spellStart"/>
            <w:r w:rsidRPr="00D14782">
              <w:rPr>
                <w:rFonts w:cs="Arial"/>
                <w:szCs w:val="24"/>
              </w:rPr>
              <w:t>Felix</w:t>
            </w:r>
            <w:proofErr w:type="spellEnd"/>
            <w:r w:rsidR="003C016A" w:rsidRPr="00D14782">
              <w:rPr>
                <w:rFonts w:cs="Arial"/>
                <w:szCs w:val="24"/>
              </w:rPr>
              <w:t xml:space="preserve"> Quispe</w:t>
            </w:r>
            <w:r w:rsidR="003C016A" w:rsidRPr="00D14782">
              <w:rPr>
                <w:rFonts w:cs="Arial"/>
                <w:b/>
                <w:szCs w:val="24"/>
              </w:rPr>
              <w:t xml:space="preserve"> </w:t>
            </w:r>
          </w:p>
        </w:tc>
        <w:tc>
          <w:tcPr>
            <w:tcW w:w="4535" w:type="dxa"/>
            <w:shd w:val="clear" w:color="auto" w:fill="auto"/>
          </w:tcPr>
          <w:p w14:paraId="6C29A447" w14:textId="77777777" w:rsidR="00310F48" w:rsidRPr="00D14782" w:rsidRDefault="00310F48" w:rsidP="003C016A">
            <w:pPr>
              <w:pStyle w:val="Encabezado"/>
              <w:ind w:left="38"/>
              <w:rPr>
                <w:rFonts w:cs="Arial"/>
                <w:b/>
                <w:szCs w:val="24"/>
              </w:rPr>
            </w:pPr>
          </w:p>
        </w:tc>
      </w:tr>
    </w:tbl>
    <w:p w14:paraId="67C5A1D2" w14:textId="6110D999" w:rsidR="00CB6BFB" w:rsidRPr="00D14782" w:rsidRDefault="00CB6BFB" w:rsidP="00BF4BE4">
      <w:pPr>
        <w:tabs>
          <w:tab w:val="left" w:pos="1227"/>
        </w:tabs>
      </w:pPr>
    </w:p>
    <w:sectPr w:rsidR="00CB6BFB" w:rsidRPr="00D14782" w:rsidSect="003C016A">
      <w:headerReference w:type="even" r:id="rId10"/>
      <w:headerReference w:type="default" r:id="rId11"/>
      <w:footerReference w:type="even" r:id="rId12"/>
      <w:footerReference w:type="default" r:id="rId13"/>
      <w:pgSz w:w="11906" w:h="16838"/>
      <w:pgMar w:top="1417" w:right="1701" w:bottom="1417" w:left="1701" w:header="426" w:footer="1134"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015E" w14:textId="77777777" w:rsidR="00130995" w:rsidRDefault="00130995">
      <w:r>
        <w:separator/>
      </w:r>
    </w:p>
  </w:endnote>
  <w:endnote w:type="continuationSeparator" w:id="0">
    <w:p w14:paraId="33DF3E96" w14:textId="77777777" w:rsidR="00130995" w:rsidRDefault="0013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4423" w14:textId="77777777" w:rsidR="00D27CFC" w:rsidRDefault="00D27CFC">
    <w:pPr>
      <w:pStyle w:val="Piedepgina"/>
      <w:jc w:val="right"/>
    </w:pPr>
    <w:r>
      <w:fldChar w:fldCharType="begin"/>
    </w:r>
    <w:r>
      <w:instrText>PAGE   \* MERGEFORMAT</w:instrText>
    </w:r>
    <w:r>
      <w:fldChar w:fldCharType="separate"/>
    </w:r>
    <w:r w:rsidRPr="003C016A">
      <w:rPr>
        <w:noProof/>
        <w:lang w:val="es-ES"/>
      </w:rPr>
      <w:t>2</w:t>
    </w:r>
    <w:r>
      <w:fldChar w:fldCharType="end"/>
    </w:r>
  </w:p>
  <w:p w14:paraId="6CCDA7A7" w14:textId="77777777" w:rsidR="00D27CFC" w:rsidRDefault="00D27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F9BF" w14:textId="5960D495" w:rsidR="00D27CFC" w:rsidRDefault="00D27CFC">
    <w:pPr>
      <w:pStyle w:val="Piedepgina"/>
      <w:jc w:val="right"/>
    </w:pPr>
    <w:r>
      <w:fldChar w:fldCharType="begin"/>
    </w:r>
    <w:r>
      <w:instrText xml:space="preserve"> PAGE </w:instrText>
    </w:r>
    <w:r>
      <w:fldChar w:fldCharType="separate"/>
    </w:r>
    <w:r w:rsidR="00C96D9D">
      <w:rPr>
        <w:noProof/>
      </w:rPr>
      <w:t>20</w:t>
    </w:r>
    <w:r>
      <w:fldChar w:fldCharType="end"/>
    </w:r>
  </w:p>
  <w:p w14:paraId="12BA09E1" w14:textId="77777777" w:rsidR="00D27CFC" w:rsidRDefault="00D27CF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F202" w14:textId="77777777" w:rsidR="00130995" w:rsidRDefault="00130995">
      <w:r>
        <w:separator/>
      </w:r>
    </w:p>
  </w:footnote>
  <w:footnote w:type="continuationSeparator" w:id="0">
    <w:p w14:paraId="40787F95" w14:textId="77777777" w:rsidR="00130995" w:rsidRDefault="0013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64A9" w14:textId="6F261433" w:rsidR="00D27CFC" w:rsidRDefault="00D27CFC">
    <w:pPr>
      <w:pStyle w:val="Ttulo1"/>
      <w:ind w:left="-993" w:right="-1134" w:hanging="567"/>
      <w:jc w:val="center"/>
    </w:pPr>
    <w:r>
      <w:rPr>
        <w:sz w:val="20"/>
        <w:lang w:val="es-PY"/>
      </w:rPr>
      <w:t xml:space="preserve">        </w:t>
    </w:r>
    <w:r>
      <w:rPr>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E685" w14:textId="31582F03" w:rsidR="00D27CFC" w:rsidRDefault="00D27CFC">
    <w:pPr>
      <w:pStyle w:val="Ttulo1"/>
      <w:ind w:left="-993" w:right="-1134" w:hanging="567"/>
      <w:jc w:val="center"/>
    </w:pPr>
    <w:r>
      <w:rPr>
        <w:sz w:val="20"/>
        <w:lang w:val="es-PY"/>
      </w:rPr>
      <w:t xml:space="preserve">        </w:t>
    </w: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3E8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3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3"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2A237F4"/>
    <w:multiLevelType w:val="multilevel"/>
    <w:tmpl w:val="4EE88752"/>
    <w:lvl w:ilvl="0">
      <w:start w:val="1"/>
      <w:numFmt w:val="decimal"/>
      <w:lvlText w:val="%1."/>
      <w:lvlJc w:val="left"/>
      <w:pPr>
        <w:ind w:left="360" w:hanging="360"/>
      </w:pPr>
      <w:rPr>
        <w:b/>
      </w:r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754A9"/>
    <w:multiLevelType w:val="hybridMultilevel"/>
    <w:tmpl w:val="D0087B2A"/>
    <w:lvl w:ilvl="0" w:tplc="B49A17A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0D0B0FCC"/>
    <w:multiLevelType w:val="hybridMultilevel"/>
    <w:tmpl w:val="43268D42"/>
    <w:lvl w:ilvl="0" w:tplc="B49A17A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0A54B97"/>
    <w:multiLevelType w:val="hybridMultilevel"/>
    <w:tmpl w:val="CF6627C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A8937EF"/>
    <w:multiLevelType w:val="hybridMultilevel"/>
    <w:tmpl w:val="4A145756"/>
    <w:lvl w:ilvl="0" w:tplc="B49A17A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2E8502A"/>
    <w:multiLevelType w:val="hybridMultilevel"/>
    <w:tmpl w:val="3170DEB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9" w15:restartNumberingAfterBreak="0">
    <w:nsid w:val="38803298"/>
    <w:multiLevelType w:val="hybridMultilevel"/>
    <w:tmpl w:val="7E5053C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0" w15:restartNumberingAfterBreak="0">
    <w:nsid w:val="3B5A38E7"/>
    <w:multiLevelType w:val="hybridMultilevel"/>
    <w:tmpl w:val="DDF0BC0E"/>
    <w:lvl w:ilvl="0" w:tplc="EEA49D7E">
      <w:start w:val="1"/>
      <w:numFmt w:val="decimal"/>
      <w:lvlText w:val="%1"/>
      <w:lvlJc w:val="left"/>
      <w:pPr>
        <w:ind w:left="720" w:hanging="360"/>
      </w:pPr>
      <w:rPr>
        <w:rFonts w:cs="Times New Roman" w:hint="default"/>
      </w:rPr>
    </w:lvl>
    <w:lvl w:ilvl="1" w:tplc="56B85610">
      <w:start w:val="1"/>
      <w:numFmt w:val="decimal"/>
      <w:lvlText w:val="%2."/>
      <w:lvlJc w:val="left"/>
      <w:pPr>
        <w:ind w:left="1635" w:hanging="555"/>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48F103D1"/>
    <w:multiLevelType w:val="hybridMultilevel"/>
    <w:tmpl w:val="020E100A"/>
    <w:lvl w:ilvl="0" w:tplc="B49A17A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51CF3098"/>
    <w:multiLevelType w:val="hybridMultilevel"/>
    <w:tmpl w:val="D5747C2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3" w15:restartNumberingAfterBreak="0">
    <w:nsid w:val="54BB5A8A"/>
    <w:multiLevelType w:val="hybridMultilevel"/>
    <w:tmpl w:val="311C7874"/>
    <w:lvl w:ilvl="0" w:tplc="B49A17A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5AA35AAD"/>
    <w:multiLevelType w:val="hybridMultilevel"/>
    <w:tmpl w:val="BC1AA744"/>
    <w:lvl w:ilvl="0" w:tplc="527AA3BA">
      <w:start w:val="6"/>
      <w:numFmt w:val="bullet"/>
      <w:lvlText w:val="-"/>
      <w:lvlJc w:val="left"/>
      <w:pPr>
        <w:ind w:left="720" w:hanging="360"/>
      </w:pPr>
      <w:rPr>
        <w:rFonts w:ascii="Arial" w:eastAsia="Times New Roman"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8F6E69"/>
    <w:multiLevelType w:val="hybridMultilevel"/>
    <w:tmpl w:val="02A49ED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6" w15:restartNumberingAfterBreak="0">
    <w:nsid w:val="6DF92863"/>
    <w:multiLevelType w:val="hybridMultilevel"/>
    <w:tmpl w:val="2270828A"/>
    <w:lvl w:ilvl="0" w:tplc="B49A17A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7A2A7FEE"/>
    <w:multiLevelType w:val="hybridMultilevel"/>
    <w:tmpl w:val="6FEC1C8A"/>
    <w:lvl w:ilvl="0" w:tplc="B49A17A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7A9B7050"/>
    <w:multiLevelType w:val="hybridMultilevel"/>
    <w:tmpl w:val="A80A2676"/>
    <w:lvl w:ilvl="0" w:tplc="CA9E96B2">
      <w:numFmt w:val="bullet"/>
      <w:lvlText w:val=""/>
      <w:lvlJc w:val="left"/>
      <w:pPr>
        <w:ind w:left="720" w:hanging="360"/>
      </w:pPr>
      <w:rPr>
        <w:rFonts w:ascii="Symbol" w:eastAsia="Times New Roman" w:hAnsi="Symbol"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num w:numId="1" w16cid:durableId="1044402418">
    <w:abstractNumId w:val="1"/>
  </w:num>
  <w:num w:numId="2" w16cid:durableId="348609103">
    <w:abstractNumId w:val="2"/>
  </w:num>
  <w:num w:numId="3" w16cid:durableId="364135107">
    <w:abstractNumId w:val="0"/>
  </w:num>
  <w:num w:numId="4" w16cid:durableId="1453399496">
    <w:abstractNumId w:val="10"/>
  </w:num>
  <w:num w:numId="5" w16cid:durableId="509107134">
    <w:abstractNumId w:val="3"/>
  </w:num>
  <w:num w:numId="6" w16cid:durableId="1253317829">
    <w:abstractNumId w:val="17"/>
  </w:num>
  <w:num w:numId="7" w16cid:durableId="1036348089">
    <w:abstractNumId w:val="4"/>
  </w:num>
  <w:num w:numId="8" w16cid:durableId="2081902731">
    <w:abstractNumId w:val="13"/>
  </w:num>
  <w:num w:numId="9" w16cid:durableId="1270775366">
    <w:abstractNumId w:val="7"/>
  </w:num>
  <w:num w:numId="10" w16cid:durableId="1265266031">
    <w:abstractNumId w:val="11"/>
  </w:num>
  <w:num w:numId="11" w16cid:durableId="1324046050">
    <w:abstractNumId w:val="16"/>
  </w:num>
  <w:num w:numId="12" w16cid:durableId="466512433">
    <w:abstractNumId w:val="5"/>
  </w:num>
  <w:num w:numId="13" w16cid:durableId="806702089">
    <w:abstractNumId w:val="6"/>
  </w:num>
  <w:num w:numId="14" w16cid:durableId="954021350">
    <w:abstractNumId w:val="14"/>
  </w:num>
  <w:num w:numId="15" w16cid:durableId="729234078">
    <w:abstractNumId w:val="18"/>
  </w:num>
  <w:num w:numId="16" w16cid:durableId="2037579994">
    <w:abstractNumId w:val="9"/>
  </w:num>
  <w:num w:numId="17" w16cid:durableId="1867136981">
    <w:abstractNumId w:val="12"/>
  </w:num>
  <w:num w:numId="18" w16cid:durableId="796684318">
    <w:abstractNumId w:val="15"/>
  </w:num>
  <w:num w:numId="19" w16cid:durableId="1387412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t-BR" w:vendorID="64" w:dllVersion="6" w:nlCheck="1" w:checkStyle="0"/>
  <w:activeWritingStyle w:appName="MSWord" w:lang="es-UY" w:vendorID="64" w:dllVersion="6" w:nlCheck="1" w:checkStyle="1"/>
  <w:activeWritingStyle w:appName="MSWord" w:lang="es-PY" w:vendorID="64" w:dllVersion="6" w:nlCheck="1" w:checkStyle="1"/>
  <w:activeWritingStyle w:appName="MSWord" w:lang="es-ES" w:vendorID="64" w:dllVersion="6" w:nlCheck="1" w:checkStyle="1"/>
  <w:activeWritingStyle w:appName="MSWord" w:lang="es-UY" w:vendorID="64" w:dllVersion="0" w:nlCheck="1" w:checkStyle="0"/>
  <w:activeWritingStyle w:appName="MSWord" w:lang="pt-BR" w:vendorID="64" w:dllVersion="0" w:nlCheck="1" w:checkStyle="0"/>
  <w:activeWritingStyle w:appName="MSWord" w:lang="es-ES" w:vendorID="64" w:dllVersion="0" w:nlCheck="1" w:checkStyle="0"/>
  <w:activeWritingStyle w:appName="MSWord" w:lang="es-PY" w:vendorID="64" w:dllVersion="0" w:nlCheck="1" w:checkStyle="0"/>
  <w:activeWritingStyle w:appName="MSWord" w:lang="es-ES" w:vendorID="64" w:dllVersion="4096" w:nlCheck="1" w:checkStyle="0"/>
  <w:activeWritingStyle w:appName="MSWord" w:lang="es-PY"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53E"/>
    <w:rsid w:val="0010369A"/>
    <w:rsid w:val="0011467E"/>
    <w:rsid w:val="00130995"/>
    <w:rsid w:val="00144F79"/>
    <w:rsid w:val="00166CA9"/>
    <w:rsid w:val="00170406"/>
    <w:rsid w:val="001F356D"/>
    <w:rsid w:val="00200092"/>
    <w:rsid w:val="00237FF7"/>
    <w:rsid w:val="002B1556"/>
    <w:rsid w:val="00300050"/>
    <w:rsid w:val="00310CA1"/>
    <w:rsid w:val="00310F48"/>
    <w:rsid w:val="003370D4"/>
    <w:rsid w:val="003C016A"/>
    <w:rsid w:val="004156C9"/>
    <w:rsid w:val="00437E79"/>
    <w:rsid w:val="004403CC"/>
    <w:rsid w:val="0046079B"/>
    <w:rsid w:val="00474CD0"/>
    <w:rsid w:val="004C338D"/>
    <w:rsid w:val="004E32B0"/>
    <w:rsid w:val="00520CFF"/>
    <w:rsid w:val="005212DC"/>
    <w:rsid w:val="0055133A"/>
    <w:rsid w:val="00551A98"/>
    <w:rsid w:val="005C4BD8"/>
    <w:rsid w:val="005E0ACD"/>
    <w:rsid w:val="005E6FB7"/>
    <w:rsid w:val="00602547"/>
    <w:rsid w:val="0060307F"/>
    <w:rsid w:val="006835B8"/>
    <w:rsid w:val="006D7B5A"/>
    <w:rsid w:val="006E5462"/>
    <w:rsid w:val="007A5166"/>
    <w:rsid w:val="007D1A5F"/>
    <w:rsid w:val="007F27DC"/>
    <w:rsid w:val="0084110C"/>
    <w:rsid w:val="00873497"/>
    <w:rsid w:val="008824E2"/>
    <w:rsid w:val="00895463"/>
    <w:rsid w:val="008A69F2"/>
    <w:rsid w:val="008B55A4"/>
    <w:rsid w:val="008B6F17"/>
    <w:rsid w:val="008E4A64"/>
    <w:rsid w:val="008F0133"/>
    <w:rsid w:val="00912EAE"/>
    <w:rsid w:val="00924F74"/>
    <w:rsid w:val="00925A37"/>
    <w:rsid w:val="009378EE"/>
    <w:rsid w:val="00964D98"/>
    <w:rsid w:val="00996DDD"/>
    <w:rsid w:val="009B7597"/>
    <w:rsid w:val="009D65D5"/>
    <w:rsid w:val="009E753E"/>
    <w:rsid w:val="009E7964"/>
    <w:rsid w:val="009F5638"/>
    <w:rsid w:val="00A32BC6"/>
    <w:rsid w:val="00A45697"/>
    <w:rsid w:val="00A62195"/>
    <w:rsid w:val="00A64152"/>
    <w:rsid w:val="00A95C1E"/>
    <w:rsid w:val="00AB3D30"/>
    <w:rsid w:val="00AD7A86"/>
    <w:rsid w:val="00B17908"/>
    <w:rsid w:val="00B20920"/>
    <w:rsid w:val="00B477D5"/>
    <w:rsid w:val="00BB0710"/>
    <w:rsid w:val="00BF4BE4"/>
    <w:rsid w:val="00C0517A"/>
    <w:rsid w:val="00C3343E"/>
    <w:rsid w:val="00C449C3"/>
    <w:rsid w:val="00C84C81"/>
    <w:rsid w:val="00C96D9D"/>
    <w:rsid w:val="00CB6BFB"/>
    <w:rsid w:val="00CD3655"/>
    <w:rsid w:val="00D14782"/>
    <w:rsid w:val="00D25C07"/>
    <w:rsid w:val="00D27CFC"/>
    <w:rsid w:val="00D44ADB"/>
    <w:rsid w:val="00D45469"/>
    <w:rsid w:val="00D63B79"/>
    <w:rsid w:val="00D9011F"/>
    <w:rsid w:val="00DC7386"/>
    <w:rsid w:val="00DD6EBF"/>
    <w:rsid w:val="00DE1670"/>
    <w:rsid w:val="00E517E4"/>
    <w:rsid w:val="00EB1B99"/>
    <w:rsid w:val="00EF1FA4"/>
    <w:rsid w:val="00F06304"/>
    <w:rsid w:val="00F14894"/>
    <w:rsid w:val="00F25C3F"/>
    <w:rsid w:val="00F63CF5"/>
    <w:rsid w:val="00F87C67"/>
    <w:rsid w:val="00FA75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0A4936"/>
  <w15:docId w15:val="{E56648B4-8E14-43E3-8E16-5ACE668D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lang w:eastAsia="ar-SA"/>
    </w:rPr>
  </w:style>
  <w:style w:type="paragraph" w:styleId="Ttulo1">
    <w:name w:val="heading 1"/>
    <w:basedOn w:val="Normal"/>
    <w:next w:val="Textoindependiente"/>
    <w:qFormat/>
    <w:pPr>
      <w:keepNext/>
      <w:numPr>
        <w:numId w:val="1"/>
      </w:numPr>
      <w:jc w:val="both"/>
      <w:outlineLvl w:val="0"/>
    </w:pPr>
    <w:rPr>
      <w:b/>
    </w:rPr>
  </w:style>
  <w:style w:type="paragraph" w:styleId="Ttulo2">
    <w:name w:val="heading 2"/>
    <w:basedOn w:val="Normal"/>
    <w:next w:val="Textoindependiente"/>
    <w:qFormat/>
    <w:pPr>
      <w:keepNext/>
      <w:numPr>
        <w:ilvl w:val="1"/>
        <w:numId w:val="1"/>
      </w:numPr>
      <w:jc w:val="both"/>
      <w:outlineLvl w:val="1"/>
    </w:pPr>
    <w:rPr>
      <w:u w:val="single"/>
    </w:rPr>
  </w:style>
  <w:style w:type="paragraph" w:styleId="Ttulo3">
    <w:name w:val="heading 3"/>
    <w:basedOn w:val="Normal"/>
    <w:next w:val="Textoindependiente"/>
    <w:qFormat/>
    <w:pPr>
      <w:keepNext/>
      <w:numPr>
        <w:ilvl w:val="2"/>
        <w:numId w:val="1"/>
      </w:numPr>
      <w:spacing w:before="240" w:after="60"/>
      <w:outlineLvl w:val="2"/>
    </w:pPr>
    <w:rPr>
      <w:rFonts w:cs="Arial"/>
      <w:b/>
      <w:bCs/>
      <w:sz w:val="26"/>
      <w:szCs w:val="26"/>
    </w:rPr>
  </w:style>
  <w:style w:type="paragraph" w:styleId="Ttulo4">
    <w:name w:val="heading 4"/>
    <w:basedOn w:val="Normal"/>
    <w:next w:val="Textoindependiente"/>
    <w:qFormat/>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Textoindependiente"/>
    <w:qFormat/>
    <w:pPr>
      <w:numPr>
        <w:ilvl w:val="4"/>
        <w:numId w:val="1"/>
      </w:numPr>
      <w:spacing w:before="240" w:after="60"/>
      <w:outlineLvl w:val="4"/>
    </w:pPr>
    <w:rPr>
      <w:b/>
      <w:bCs/>
      <w:i/>
      <w:iCs/>
      <w:sz w:val="26"/>
      <w:szCs w:val="26"/>
    </w:rPr>
  </w:style>
  <w:style w:type="paragraph" w:styleId="Ttulo6">
    <w:name w:val="heading 6"/>
    <w:basedOn w:val="Normal"/>
    <w:next w:val="Textoindependiente"/>
    <w:qFormat/>
    <w:pPr>
      <w:numPr>
        <w:ilvl w:val="5"/>
        <w:numId w:val="1"/>
      </w:numPr>
      <w:spacing w:before="240" w:after="60"/>
      <w:outlineLvl w:val="5"/>
    </w:pPr>
    <w:rPr>
      <w:rFonts w:ascii="Times New Roman" w:hAnsi="Times New Roman"/>
      <w:b/>
      <w:bCs/>
      <w:sz w:val="22"/>
      <w:szCs w:val="22"/>
    </w:rPr>
  </w:style>
  <w:style w:type="paragraph" w:styleId="Ttulo8">
    <w:name w:val="heading 8"/>
    <w:basedOn w:val="Normal"/>
    <w:next w:val="Textoindependiente"/>
    <w:qFormat/>
    <w:pPr>
      <w:numPr>
        <w:ilvl w:val="7"/>
        <w:numId w:val="1"/>
      </w:numPr>
      <w:spacing w:before="240" w:after="60"/>
      <w:outlineLvl w:val="7"/>
    </w:pPr>
    <w:rPr>
      <w:rFonts w:ascii="Times New Roman" w:hAnsi="Times New Roman"/>
      <w:i/>
      <w:iCs/>
      <w:szCs w:val="24"/>
    </w:rPr>
  </w:style>
  <w:style w:type="paragraph" w:styleId="Ttulo9">
    <w:name w:val="heading 9"/>
    <w:basedOn w:val="Normal"/>
    <w:next w:val="Textoindependiente"/>
    <w:qFormat/>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1">
    <w:name w:val="Default Paragraph Font1"/>
  </w:style>
  <w:style w:type="character" w:customStyle="1" w:styleId="PageNumber1">
    <w:name w:val="Page Number1"/>
    <w:basedOn w:val="DefaultParagraphFont1"/>
  </w:style>
  <w:style w:type="character" w:styleId="Hipervnculo">
    <w:name w:val="Hyperlink"/>
    <w:rPr>
      <w:strike w:val="0"/>
      <w:dstrike w:val="0"/>
      <w:color w:val="003399"/>
      <w:u w:val="none"/>
      <w:effect w:val="none"/>
    </w:rPr>
  </w:style>
  <w:style w:type="character" w:customStyle="1" w:styleId="EncabezadoCar">
    <w:name w:val="Encabezado Car"/>
    <w:rPr>
      <w:rFonts w:ascii="Arial" w:hAnsi="Arial"/>
      <w:sz w:val="24"/>
      <w:lang w:val="es-ES" w:eastAsia="ar-SA" w:bidi="ar-SA"/>
    </w:rPr>
  </w:style>
  <w:style w:type="character" w:customStyle="1" w:styleId="TextoindependienteCar">
    <w:name w:val="Texto independiente Car"/>
    <w:rPr>
      <w:rFonts w:ascii="Arial" w:hAnsi="Arial"/>
      <w:sz w:val="24"/>
      <w:lang w:val="es-ES" w:eastAsia="ar-SA" w:bidi="ar-SA"/>
    </w:rPr>
  </w:style>
  <w:style w:type="character" w:customStyle="1" w:styleId="PiedepginaCar">
    <w:name w:val="Pie de página Car"/>
    <w:uiPriority w:val="99"/>
    <w:rPr>
      <w:rFonts w:ascii="Arial" w:hAnsi="Arial"/>
      <w:sz w:val="24"/>
      <w:lang w:val="es-ES"/>
    </w:rPr>
  </w:style>
  <w:style w:type="character" w:customStyle="1" w:styleId="SangradetextonormalCar">
    <w:name w:val="Sangría de texto normal Car"/>
    <w:rPr>
      <w:rFonts w:ascii="Arial" w:hAnsi="Arial"/>
      <w:sz w:val="24"/>
      <w:lang w:val="es-ES"/>
    </w:rPr>
  </w:style>
  <w:style w:type="character" w:customStyle="1" w:styleId="TtuloCar">
    <w:name w:val="Título Car"/>
    <w:rPr>
      <w:rFonts w:ascii="Arial" w:hAnsi="Arial"/>
      <w:b/>
      <w:sz w:val="24"/>
      <w:lang w:val="es-ES"/>
    </w:rPr>
  </w:style>
  <w:style w:type="character" w:customStyle="1" w:styleId="Ttulo1Car">
    <w:name w:val="Título 1 Car"/>
    <w:rPr>
      <w:rFonts w:ascii="Arial" w:hAnsi="Arial"/>
      <w:b/>
      <w:sz w:val="24"/>
      <w:lang w:val="es-ES"/>
    </w:rPr>
  </w:style>
  <w:style w:type="character" w:customStyle="1" w:styleId="ListLabel1">
    <w:name w:val="ListLabel 1"/>
    <w:rPr>
      <w:b/>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cs="Courier New"/>
    </w:rPr>
  </w:style>
  <w:style w:type="character" w:customStyle="1" w:styleId="ListLabel5">
    <w:name w:val="ListLabel 5"/>
    <w:rPr>
      <w:b w:val="0"/>
      <w:color w:val="00000A"/>
    </w:rPr>
  </w:style>
  <w:style w:type="character" w:customStyle="1" w:styleId="ListLabel6">
    <w:name w:val="ListLabel 6"/>
    <w:rPr>
      <w:rFonts w:cs="Arial"/>
      <w:b/>
      <w:i w:val="0"/>
      <w:strike w:val="0"/>
      <w:dstrike w:val="0"/>
    </w:rPr>
  </w:style>
  <w:style w:type="character" w:customStyle="1" w:styleId="ListLabel7">
    <w:name w:val="ListLabel 7"/>
    <w:rPr>
      <w:b/>
      <w:sz w:val="24"/>
      <w:szCs w:val="24"/>
    </w:rPr>
  </w:style>
  <w:style w:type="character" w:customStyle="1" w:styleId="ListLabel8">
    <w:name w:val="ListLabel 8"/>
    <w:rPr>
      <w:b w:val="0"/>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Textoindependiente">
    <w:name w:val="Body Text"/>
    <w:basedOn w:val="Normal"/>
    <w:pPr>
      <w:jc w:val="both"/>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PlainText1">
    <w:name w:val="Plain Text1"/>
    <w:basedOn w:val="Normal"/>
    <w:rPr>
      <w:rFonts w:ascii="Courier New" w:hAnsi="Courier New"/>
      <w:sz w:val="20"/>
    </w:rPr>
  </w:style>
  <w:style w:type="paragraph" w:customStyle="1" w:styleId="QuickFormat1">
    <w:name w:val="QuickFormat1"/>
    <w:basedOn w:val="Normal"/>
    <w:pPr>
      <w:widowControl w:val="0"/>
      <w:jc w:val="center"/>
    </w:pPr>
    <w:rPr>
      <w:b/>
      <w:color w:val="000000"/>
      <w:lang w:val="en-US"/>
    </w:rPr>
  </w:style>
  <w:style w:type="paragraph" w:customStyle="1" w:styleId="Caption1">
    <w:name w:val="Caption1"/>
    <w:basedOn w:val="Normal"/>
    <w:pPr>
      <w:spacing w:before="120" w:after="120"/>
    </w:pPr>
    <w:rPr>
      <w:b/>
      <w:bCs/>
      <w:sz w:val="20"/>
    </w:rPr>
  </w:style>
  <w:style w:type="paragraph" w:styleId="Encabezado">
    <w:name w:val="header"/>
    <w:basedOn w:val="Normal"/>
    <w:pPr>
      <w:suppressLineNumbers/>
      <w:tabs>
        <w:tab w:val="center" w:pos="4252"/>
        <w:tab w:val="right" w:pos="8504"/>
      </w:tabs>
    </w:pPr>
  </w:style>
  <w:style w:type="paragraph" w:styleId="Piedepgina">
    <w:name w:val="footer"/>
    <w:basedOn w:val="Normal"/>
    <w:uiPriority w:val="99"/>
    <w:pPr>
      <w:suppressLineNumbers/>
      <w:tabs>
        <w:tab w:val="center" w:pos="4252"/>
        <w:tab w:val="right" w:pos="8504"/>
      </w:tabs>
    </w:pPr>
  </w:style>
  <w:style w:type="paragraph" w:styleId="Ttulo">
    <w:name w:val="Title"/>
    <w:basedOn w:val="Normal"/>
    <w:next w:val="Subttulo"/>
    <w:qFormat/>
    <w:pPr>
      <w:jc w:val="center"/>
    </w:pPr>
    <w:rPr>
      <w:b/>
      <w:bCs/>
      <w:sz w:val="36"/>
      <w:szCs w:val="36"/>
    </w:rPr>
  </w:style>
  <w:style w:type="paragraph" w:styleId="Subttulo">
    <w:name w:val="Subtitle"/>
    <w:basedOn w:val="Normal"/>
    <w:next w:val="Textoindependiente"/>
    <w:qFormat/>
    <w:pPr>
      <w:jc w:val="center"/>
    </w:pPr>
    <w:rPr>
      <w:b/>
      <w:i/>
      <w:iCs/>
      <w:sz w:val="28"/>
      <w:szCs w:val="28"/>
    </w:rPr>
  </w:style>
  <w:style w:type="paragraph" w:customStyle="1" w:styleId="BodyTextIndent21">
    <w:name w:val="Body Text Indent 21"/>
    <w:basedOn w:val="Normal"/>
    <w:pPr>
      <w:widowControl w:val="0"/>
      <w:ind w:left="709"/>
      <w:jc w:val="both"/>
    </w:pPr>
    <w:rPr>
      <w:rFonts w:ascii="Times New Roman" w:hAnsi="Times New Roman"/>
      <w:lang w:val="es-ES"/>
    </w:rPr>
  </w:style>
  <w:style w:type="paragraph" w:customStyle="1" w:styleId="BodyTextIndent31">
    <w:name w:val="Body Text Indent 31"/>
    <w:basedOn w:val="Normal"/>
    <w:pPr>
      <w:widowControl w:val="0"/>
      <w:ind w:left="709" w:hanging="349"/>
      <w:jc w:val="both"/>
    </w:pPr>
    <w:rPr>
      <w:rFonts w:ascii="Times New Roman" w:hAnsi="Times New Roman"/>
      <w:b/>
      <w:lang w:val="es-ES"/>
    </w:rPr>
  </w:style>
  <w:style w:type="paragraph" w:customStyle="1" w:styleId="BalloonText1">
    <w:name w:val="Balloon Text1"/>
    <w:basedOn w:val="Normal"/>
    <w:rPr>
      <w:rFonts w:ascii="Tahoma" w:hAnsi="Tahoma" w:cs="Tahoma"/>
      <w:sz w:val="16"/>
      <w:szCs w:val="16"/>
    </w:rPr>
  </w:style>
  <w:style w:type="paragraph" w:customStyle="1" w:styleId="Textoindependiente21">
    <w:name w:val="Texto independiente 21"/>
    <w:basedOn w:val="Normal"/>
    <w:pPr>
      <w:jc w:val="both"/>
    </w:pPr>
    <w:rPr>
      <w:lang w:val="es-ES"/>
    </w:rPr>
  </w:style>
  <w:style w:type="paragraph" w:styleId="NormalWeb">
    <w:name w:val="Normal (Web)"/>
    <w:basedOn w:val="Normal"/>
    <w:pPr>
      <w:spacing w:before="100" w:after="100"/>
    </w:pPr>
    <w:rPr>
      <w:rFonts w:ascii="Times New Roman" w:hAnsi="Times New Roman"/>
      <w:szCs w:val="24"/>
    </w:rPr>
  </w:style>
  <w:style w:type="paragraph" w:styleId="Sangradetextonormal">
    <w:name w:val="Body Text Indent"/>
    <w:basedOn w:val="Normal"/>
    <w:pPr>
      <w:spacing w:after="120"/>
      <w:ind w:left="283"/>
    </w:pPr>
  </w:style>
  <w:style w:type="paragraph" w:customStyle="1" w:styleId="BodyText31">
    <w:name w:val="Body Text 31"/>
    <w:basedOn w:val="Normal"/>
    <w:pPr>
      <w:spacing w:after="120"/>
    </w:pPr>
    <w:rPr>
      <w:sz w:val="16"/>
      <w:szCs w:val="16"/>
    </w:rPr>
  </w:style>
  <w:style w:type="paragraph" w:customStyle="1" w:styleId="PargrafodaLista">
    <w:name w:val="Parágrafo da Lista"/>
    <w:basedOn w:val="Normal"/>
    <w:pPr>
      <w:ind w:left="708"/>
    </w:pPr>
    <w:rPr>
      <w:rFonts w:ascii="Times New Roman" w:hAnsi="Times New Roman"/>
      <w:szCs w:val="24"/>
    </w:rPr>
  </w:style>
  <w:style w:type="paragraph" w:customStyle="1" w:styleId="Prrafodelista1">
    <w:name w:val="Párrafo de lista1"/>
    <w:basedOn w:val="Normal"/>
    <w:pPr>
      <w:ind w:left="720"/>
      <w:jc w:val="both"/>
    </w:pPr>
    <w:rPr>
      <w:rFonts w:ascii="Times New Roman" w:eastAsia="Calibri" w:hAnsi="Times New Roman"/>
      <w:szCs w:val="24"/>
      <w:lang w:val="es-PY"/>
    </w:rPr>
  </w:style>
  <w:style w:type="paragraph" w:customStyle="1" w:styleId="BodyText22">
    <w:name w:val="Body Text 22"/>
    <w:basedOn w:val="Normal"/>
    <w:pPr>
      <w:jc w:val="both"/>
    </w:pPr>
    <w:rPr>
      <w:b/>
    </w:rPr>
  </w:style>
  <w:style w:type="paragraph" w:customStyle="1" w:styleId="ListParagraph1">
    <w:name w:val="List Paragraph1"/>
    <w:basedOn w:val="Normal"/>
    <w:pPr>
      <w:ind w:left="708"/>
    </w:p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msolistparagraph0">
    <w:name w:val="msolistparagraph"/>
    <w:basedOn w:val="Normal"/>
    <w:pPr>
      <w:ind w:left="720"/>
      <w:jc w:val="both"/>
    </w:pPr>
    <w:rPr>
      <w:rFonts w:ascii="Times New Roman" w:hAnsi="Times New Roman"/>
      <w:sz w:val="28"/>
      <w:szCs w:val="28"/>
    </w:rPr>
  </w:style>
  <w:style w:type="paragraph" w:styleId="HTMLconformatoprevio">
    <w:name w:val="HTML Preformatted"/>
    <w:basedOn w:val="Normal"/>
    <w:link w:val="HTMLconformatoprevioCar"/>
    <w:uiPriority w:val="99"/>
    <w:semiHidden/>
    <w:unhideWhenUsed/>
    <w:rsid w:val="006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s-BO" w:eastAsia="es-BO"/>
    </w:rPr>
  </w:style>
  <w:style w:type="character" w:customStyle="1" w:styleId="HTMLconformatoprevioCar">
    <w:name w:val="HTML con formato previo Car"/>
    <w:link w:val="HTMLconformatoprevio"/>
    <w:uiPriority w:val="99"/>
    <w:semiHidden/>
    <w:rsid w:val="006835B8"/>
    <w:rPr>
      <w:rFonts w:ascii="Courier New" w:hAnsi="Courier New" w:cs="Courier New"/>
      <w:lang w:val="es-BO" w:eastAsia="es-BO"/>
    </w:rPr>
  </w:style>
  <w:style w:type="table" w:styleId="Tablaconcuadrcula">
    <w:name w:val="Table Grid"/>
    <w:basedOn w:val="Tablanormal"/>
    <w:uiPriority w:val="39"/>
    <w:rsid w:val="0060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4F79"/>
    <w:rPr>
      <w:rFonts w:ascii="Tahoma" w:hAnsi="Tahoma" w:cs="Tahoma"/>
      <w:sz w:val="16"/>
      <w:szCs w:val="16"/>
    </w:rPr>
  </w:style>
  <w:style w:type="character" w:customStyle="1" w:styleId="TextodegloboCar">
    <w:name w:val="Texto de globo Car"/>
    <w:link w:val="Textodeglobo"/>
    <w:uiPriority w:val="99"/>
    <w:semiHidden/>
    <w:rsid w:val="00144F79"/>
    <w:rPr>
      <w:rFonts w:ascii="Tahoma" w:hAnsi="Tahoma" w:cs="Tahoma"/>
      <w:sz w:val="16"/>
      <w:szCs w:val="16"/>
      <w:lang w:val="es-UY" w:eastAsia="ar-SA"/>
    </w:rPr>
  </w:style>
  <w:style w:type="table" w:customStyle="1" w:styleId="TableNormal">
    <w:name w:val="Table Normal"/>
    <w:rsid w:val="00D45469"/>
    <w:pPr>
      <w:pBdr>
        <w:top w:val="nil"/>
        <w:left w:val="nil"/>
        <w:bottom w:val="nil"/>
        <w:right w:val="nil"/>
        <w:between w:val="nil"/>
        <w:bar w:val="nil"/>
      </w:pBdr>
    </w:pPr>
    <w:rPr>
      <w:rFonts w:eastAsia="Arial Unicode MS"/>
      <w:bdr w:val="nil"/>
      <w:lang w:val="es-ES" w:eastAsia="es-ES"/>
    </w:rPr>
    <w:tblPr>
      <w:tblInd w:w="0" w:type="dxa"/>
      <w:tblCellMar>
        <w:top w:w="0" w:type="dxa"/>
        <w:left w:w="0" w:type="dxa"/>
        <w:bottom w:w="0" w:type="dxa"/>
        <w:right w:w="0" w:type="dxa"/>
      </w:tblCellMar>
    </w:tblPr>
  </w:style>
  <w:style w:type="character" w:styleId="Nmerodepgina">
    <w:name w:val="page number"/>
    <w:rsid w:val="00D45469"/>
  </w:style>
  <w:style w:type="paragraph" w:styleId="Prrafodelista">
    <w:name w:val="List Paragraph"/>
    <w:basedOn w:val="Normal"/>
    <w:uiPriority w:val="34"/>
    <w:qFormat/>
    <w:rsid w:val="005E0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B96C-BAA1-4420-8E73-1BE98885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2698</Words>
  <Characters>14841</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MERCOSUR/SGT N°4/ACTA N°01/14</vt:lpstr>
      <vt:lpstr>MERCOSUR/SGT N°4/ACTA N°01/14</vt:lpstr>
    </vt:vector>
  </TitlesOfParts>
  <Company>BCU</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MERCOSUR/SGT N°4/ACTA N°01/14</dc:title>
  <dc:creator>Sistemas de Información</dc:creator>
  <cp:lastModifiedBy>Ruth</cp:lastModifiedBy>
  <cp:revision>5</cp:revision>
  <cp:lastPrinted>2018-11-07T17:01:00Z</cp:lastPrinted>
  <dcterms:created xsi:type="dcterms:W3CDTF">2022-10-21T14:05:00Z</dcterms:created>
  <dcterms:modified xsi:type="dcterms:W3CDTF">2022-11-15T19:01:00Z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Banco Central del Uruguay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