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24BB" w14:textId="0566C3E2" w:rsidR="00904324" w:rsidRPr="00904324" w:rsidRDefault="005D354E" w:rsidP="00DA6E87">
      <w:pPr>
        <w:suppressAutoHyphens/>
        <w:autoSpaceDN w:val="0"/>
        <w:jc w:val="both"/>
        <w:textAlignment w:val="baseline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F2260F">
        <w:rPr>
          <w:rFonts w:cs="Arial"/>
          <w:noProof/>
          <w:szCs w:val="24"/>
          <w:lang w:val="es-ES"/>
        </w:rPr>
        <w:drawing>
          <wp:anchor distT="0" distB="0" distL="114300" distR="114300" simplePos="0" relativeHeight="251656192" behindDoc="0" locked="0" layoutInCell="1" allowOverlap="1" wp14:anchorId="15B3C123" wp14:editId="1F4A6D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2260F">
        <w:rPr>
          <w:rFonts w:cs="Arial"/>
          <w:noProof/>
          <w:szCs w:val="24"/>
          <w:lang w:val="es-ES"/>
        </w:rPr>
        <w:drawing>
          <wp:anchor distT="0" distB="0" distL="114300" distR="114300" simplePos="0" relativeHeight="251662336" behindDoc="0" locked="0" layoutInCell="1" allowOverlap="1" wp14:anchorId="58D14039" wp14:editId="69333FBD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AE029C" w14:textId="18FB2CD9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MERCOSUR/GAP/ACTA </w:t>
      </w:r>
      <w:proofErr w:type="spellStart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0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2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/22</w:t>
      </w:r>
    </w:p>
    <w:p w14:paraId="5F94E78E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6E842081" w14:textId="76F441CB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center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LX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REUNIÓN ORDINARIA DEL GRUPO DE ASUNTOS </w:t>
      </w:r>
    </w:p>
    <w:p w14:paraId="5DDFE09C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center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PRESUPUESTARIOS (GAP)</w:t>
      </w:r>
    </w:p>
    <w:p w14:paraId="763757CF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44309982" w14:textId="5DCFA803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Se realizó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los días 13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y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14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en ejercicio de la Presidencia Pro Tempore de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Uru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guay (PPT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U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), la LX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I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Reunión Ordinaria del Grupo de Asuntos Presupuestarios (GAP), </w:t>
      </w:r>
      <w:r w:rsidRPr="00904324">
        <w:rPr>
          <w:rFonts w:eastAsia="Arial" w:cs="Arial"/>
          <w:position w:val="-1"/>
          <w:szCs w:val="24"/>
          <w:lang w:val="es-ES_tradnl"/>
        </w:rPr>
        <w:t xml:space="preserve">por sistema de videoconferencia de conformidad con lo dispuesto en la Resolución GMC </w:t>
      </w:r>
      <w:proofErr w:type="spellStart"/>
      <w:r w:rsidRPr="00904324">
        <w:rPr>
          <w:rFonts w:eastAsia="Arial" w:cs="Arial"/>
          <w:position w:val="-1"/>
          <w:szCs w:val="24"/>
          <w:lang w:val="es-ES_tradnl"/>
        </w:rPr>
        <w:t>N°</w:t>
      </w:r>
      <w:proofErr w:type="spellEnd"/>
      <w:r w:rsidRPr="00904324">
        <w:rPr>
          <w:rFonts w:eastAsia="Arial" w:cs="Arial"/>
          <w:position w:val="-1"/>
          <w:szCs w:val="24"/>
          <w:lang w:val="es-ES_tradnl"/>
        </w:rPr>
        <w:t xml:space="preserve"> 19/12, con la presencia de las </w:t>
      </w:r>
      <w:r w:rsidRPr="00904324">
        <w:rPr>
          <w:rFonts w:eastAsia="Calibri" w:cs="Arial"/>
          <w:position w:val="-1"/>
          <w:szCs w:val="24"/>
          <w:lang w:val="es-ES" w:eastAsia="ar-SA"/>
        </w:rPr>
        <w:t>delegaciones de Argentina, Brasil, Paraguay y Uruguay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177DED11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1865DB7B" w14:textId="59B9E6D0" w:rsidR="003A7745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Participaron el </w:t>
      </w:r>
      <w:r w:rsidR="003A77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Técnico del Sector de Administración (SA) </w:t>
      </w:r>
      <w:r w:rsidRPr="00C963A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de la Secretaría del MERCOSUR (SM)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, el </w:t>
      </w:r>
      <w:proofErr w:type="gramStart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Secretario</w:t>
      </w:r>
      <w:proofErr w:type="gramEnd"/>
      <w:r w:rsidR="003A77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A7745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del Tribunal Permanente de Revisión (TPR</w:t>
      </w:r>
      <w:r w:rsidR="003A7745" w:rsidRPr="00A33BC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), el </w:t>
      </w:r>
      <w:r w:rsidR="005916DA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Encargado i</w:t>
      </w:r>
      <w:r w:rsidR="003A7745" w:rsidRPr="00A33BC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nterino del Instituto Social del MERCOSUR (ISM)</w:t>
      </w:r>
      <w:r w:rsidR="003A7745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y </w:t>
      </w:r>
      <w:r w:rsidR="003A77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Jefa del Departamento de Relaciones Institucionales </w:t>
      </w:r>
      <w:r w:rsidR="003A7745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del Instituto de Políticas Públicas de Derechos Humanos (IPPDDHH).</w:t>
      </w:r>
    </w:p>
    <w:p w14:paraId="630EE456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4D5A9700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Lista de Participantes consta en el 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Anexo I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. </w:t>
      </w:r>
    </w:p>
    <w:p w14:paraId="275FBA16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1E72A4BA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Agenda consta en el </w:t>
      </w:r>
      <w:bookmarkStart w:id="0" w:name="_Hlk9347199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Anexo II</w:t>
      </w:r>
      <w:bookmarkEnd w:id="0"/>
      <w:r w:rsidRPr="003A77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2F263908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6866A9FE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26" w:hanging="426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Resumen del Acta consta en el 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Anexo III</w:t>
      </w:r>
      <w:r w:rsidRPr="003A77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4594570E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66DC8F7F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Fueron tratados los siguientes temas:</w:t>
      </w:r>
    </w:p>
    <w:p w14:paraId="3679EC0E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E61A4A8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CB6CB9C" w14:textId="529CFDB2" w:rsidR="00904324" w:rsidRPr="003A7745" w:rsidRDefault="00904324" w:rsidP="003A774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SECRETARÍA DEL MERCOSUR (SM)</w:t>
      </w:r>
    </w:p>
    <w:p w14:paraId="4BADF278" w14:textId="2A307025" w:rsidR="00904324" w:rsidRPr="00904324" w:rsidRDefault="005916DA" w:rsidP="003A774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Ejecució</w:t>
      </w:r>
      <w:r w:rsidR="00FF0100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n presupuestaria </w:t>
      </w: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al 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3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09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2</w:t>
      </w:r>
    </w:p>
    <w:p w14:paraId="6B3BB46A" w14:textId="77777777" w:rsidR="00904324" w:rsidRPr="00904324" w:rsidRDefault="00904324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53C9805E" w14:textId="415DAD09" w:rsidR="000C1257" w:rsidRDefault="00904324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recibió el informe de </w:t>
      </w:r>
      <w:r w:rsidR="00B813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SM sobre la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ejecución presupuestaria al 3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0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septiembre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de 202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, </w:t>
      </w:r>
      <w:r w:rsidR="00B55E0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remitido por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ota </w:t>
      </w:r>
      <w:r w:rsidRPr="00304EF3">
        <w:rPr>
          <w:rFonts w:eastAsia="Arial Unicode MS" w:cs="Arial Unicode MS"/>
          <w:szCs w:val="24"/>
          <w:u w:color="000000"/>
          <w:bdr w:val="nil"/>
          <w:lang w:val="es-ES_tradnl" w:eastAsia="es-UY"/>
        </w:rPr>
        <w:t>SM/</w:t>
      </w:r>
      <w:r w:rsidR="00536BA7">
        <w:rPr>
          <w:rFonts w:eastAsia="Arial Unicode MS" w:cs="Arial Unicode MS"/>
          <w:szCs w:val="24"/>
          <w:u w:color="000000"/>
          <w:bdr w:val="nil"/>
          <w:lang w:val="es-ES_tradnl" w:eastAsia="es-UY"/>
        </w:rPr>
        <w:t>552</w:t>
      </w:r>
      <w:r w:rsidRPr="00304EF3">
        <w:rPr>
          <w:rFonts w:eastAsia="Arial Unicode MS" w:cs="Arial Unicode MS"/>
          <w:szCs w:val="24"/>
          <w:u w:color="000000"/>
          <w:bdr w:val="nil"/>
          <w:lang w:val="es-ES_tradnl" w:eastAsia="es-UY"/>
        </w:rPr>
        <w:t>/22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, el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cual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alcanzó el </w:t>
      </w:r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71</w:t>
      </w:r>
      <w:r w:rsidR="00CA5280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% del presupuesto</w:t>
      </w:r>
      <w:r w:rsidR="000C1257" w:rsidRPr="00536BA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para el</w:t>
      </w:r>
      <w:r w:rsidR="000C1257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año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2022</w:t>
      </w:r>
      <w:r w:rsid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B443F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B443F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</w:t>
      </w:r>
      <w:r w:rsidR="00B443F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V)</w:t>
      </w:r>
      <w:r w:rsidR="00B443F4"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339482E8" w14:textId="77777777" w:rsidR="00904324" w:rsidRPr="00904324" w:rsidRDefault="00904324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200F0E4E" w14:textId="416395A0" w:rsidR="00FF0100" w:rsidRPr="00E679C6" w:rsidRDefault="00904324" w:rsidP="00E679C6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Situación de las contribuciones de los </w:t>
      </w:r>
      <w:proofErr w:type="gramStart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Estados Partes</w:t>
      </w:r>
      <w:proofErr w:type="gramEnd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y ejecución presupuestaria al 30/0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/2022</w:t>
      </w:r>
    </w:p>
    <w:p w14:paraId="75E0BAF3" w14:textId="64285A75" w:rsidR="00904324" w:rsidRDefault="00FF0100" w:rsidP="00FF01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GAP tomó nota de</w:t>
      </w:r>
      <w:r w:rsidR="003D2F1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l informe de la SM sobre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las contribuciones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los </w:t>
      </w:r>
      <w:proofErr w:type="gramStart"/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Estados Partes</w:t>
      </w:r>
      <w:proofErr w:type="gramEnd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D2F1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y la ejecución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re</w:t>
      </w:r>
      <w:r w:rsidR="003D2F1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supuestaria al 30/09/2022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, </w:t>
      </w:r>
      <w:r w:rsidR="0037279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remitido</w:t>
      </w:r>
      <w:r w:rsidR="003D2F1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por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Nota SM </w:t>
      </w:r>
      <w:proofErr w:type="spellStart"/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536BA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552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/2022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D2F1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del 11 de octubre del corriente año 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FD7439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V)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520DC012" w14:textId="77777777" w:rsidR="00F867B1" w:rsidRDefault="00F867B1" w:rsidP="00FF01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6EA98F0" w14:textId="0F185E06" w:rsidR="00904324" w:rsidRPr="00904324" w:rsidRDefault="00F867B1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ejecución presupuestaria al 30/09/2022 alcanzó, en términos relativos, el </w:t>
      </w:r>
      <w:r w:rsidR="00CF5C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71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% respecto al presupuesto de US$ </w:t>
      </w:r>
      <w:r w:rsidR="00CF5C24" w:rsidRPr="00CF5C24">
        <w:rPr>
          <w:szCs w:val="24"/>
          <w:lang w:val="es-UY" w:eastAsia="es-UY"/>
        </w:rPr>
        <w:t>2.879.926</w:t>
      </w:r>
      <w:r w:rsidR="00E207E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 para este año, lo que representa un monto total ejecutado de US$ </w:t>
      </w:r>
      <w:r w:rsidR="00CF5C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2.038.772</w:t>
      </w:r>
      <w:r w:rsidR="00E207E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08FACBC4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00"/>
          <w:lang w:val="es-ES_tradnl" w:eastAsia="es-UY"/>
        </w:rPr>
      </w:pPr>
    </w:p>
    <w:p w14:paraId="6111FB52" w14:textId="1DFE6898" w:rsidR="00904324" w:rsidRPr="00591B98" w:rsidRDefault="00904324" w:rsidP="00591B9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lastRenderedPageBreak/>
        <w:t>Detalle de los excedentes anuales contables y su utilización al 30/0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/2022 </w:t>
      </w:r>
    </w:p>
    <w:p w14:paraId="09E3727A" w14:textId="21122DF9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tomó nota del informe del estado de los recursos excedentes anuales 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contables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la SM y su utilización ejecutada al 30 de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</w:t>
      </w:r>
      <w:r w:rsidR="003A1E2A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remitido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por Nota SM </w:t>
      </w:r>
      <w:proofErr w:type="spellStart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DD217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552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/202</w:t>
      </w:r>
      <w:r w:rsidR="008878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del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DD217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11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DD217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del corriente año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(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Anexo </w:t>
      </w:r>
      <w:r w:rsidR="00FD7439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V)</w:t>
      </w:r>
      <w:r w:rsidR="00B443F4"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  <w:r w:rsidR="00F867B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La SM cuenta con excedentes líquidos disponibles por un total de </w:t>
      </w:r>
      <w:r w:rsidR="00F867B1" w:rsidRPr="00CF5C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US$ </w:t>
      </w:r>
      <w:r w:rsidR="0081694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2.559.743</w:t>
      </w:r>
      <w:r w:rsidR="00F867B1" w:rsidRPr="00CF5C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75AB6532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bdr w:val="nil"/>
          <w:lang w:val="es-UY" w:eastAsia="es-UY"/>
        </w:rPr>
      </w:pPr>
    </w:p>
    <w:p w14:paraId="4B5615D1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408FC712" w14:textId="77777777" w:rsidR="00904324" w:rsidRPr="00904324" w:rsidRDefault="00904324" w:rsidP="009043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SECRETARÍA DEL TRIBUNAL PERMANENTE DE REVISIÓN (ST)</w:t>
      </w:r>
    </w:p>
    <w:p w14:paraId="718B8937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AB5D39D" w14:textId="617D8023" w:rsidR="00904324" w:rsidRPr="00591B98" w:rsidRDefault="00904324" w:rsidP="00591B9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Ejecución presupuestaria al 3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2</w:t>
      </w:r>
    </w:p>
    <w:p w14:paraId="3F524A98" w14:textId="0346775C" w:rsidR="000C1257" w:rsidRDefault="00904324" w:rsidP="000C1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tomó nota del informe de la ST sobre la ejecución presupuestaria al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30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</w:t>
      </w:r>
      <w:r w:rsidR="00175A5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, remitido por Nota TPR </w:t>
      </w:r>
      <w:proofErr w:type="spellStart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6253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0</w:t>
      </w:r>
      <w:r w:rsidR="00D331B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66</w:t>
      </w:r>
      <w:r w:rsidR="006253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/2022 del </w:t>
      </w:r>
      <w:r w:rsidR="00D331B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12</w:t>
      </w:r>
      <w:r w:rsidR="006253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D331B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octubre </w:t>
      </w:r>
      <w:r w:rsidR="006253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de 2022,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C1257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cual</w:t>
      </w:r>
      <w:r w:rsidR="000C1257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C1257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alcanzó </w:t>
      </w:r>
      <w:r w:rsidR="002241FB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67</w:t>
      </w:r>
      <w:r w:rsidR="00CA5280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% del presupuesto</w:t>
      </w:r>
      <w:r w:rsidR="000C1257" w:rsidRPr="00536BA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</w:t>
      </w:r>
      <w:r w:rsidR="002241FB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para el</w:t>
      </w:r>
      <w:r w:rsidR="000C1257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año</w:t>
      </w:r>
      <w:r w:rsidR="002241FB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2022 por </w:t>
      </w:r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Resolución GMC </w:t>
      </w:r>
      <w:proofErr w:type="spellStart"/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3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8</w:t>
      </w:r>
      <w:r w:rsidR="000C125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/21</w:t>
      </w:r>
      <w:r w:rsidR="000C1257" w:rsidRPr="000C1257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C1257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(Anexo V)</w:t>
      </w:r>
      <w:r w:rsidR="000C1257"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7CA77577" w14:textId="77777777" w:rsidR="000C1257" w:rsidRPr="00904324" w:rsidRDefault="000C1257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260E8F8" w14:textId="03034EF0" w:rsidR="00904324" w:rsidRPr="00591B98" w:rsidRDefault="00904324" w:rsidP="00591B9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Situación de las contribuciones de los </w:t>
      </w:r>
      <w:proofErr w:type="gramStart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Estados</w:t>
      </w:r>
      <w:r w:rsidR="00591B9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Partes</w:t>
      </w:r>
      <w:proofErr w:type="gramEnd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y ejecución presupuestaria al 30/0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/2022</w:t>
      </w:r>
    </w:p>
    <w:p w14:paraId="4AD6330E" w14:textId="67A4F4C1" w:rsid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tomó nota del informe de la ST sobre las contribuciones de los Estados </w:t>
      </w:r>
      <w:proofErr w:type="gramStart"/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Partes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y</w:t>
      </w:r>
      <w:proofErr w:type="gramEnd"/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la ejecución presupuestaria al 30 de </w:t>
      </w:r>
      <w:r w:rsidR="00175A55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remitido por Nota TPR </w:t>
      </w:r>
      <w:proofErr w:type="spellStart"/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030759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066</w:t>
      </w: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/2022</w:t>
      </w:r>
      <w:r w:rsidR="00297D66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ED7FCF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del </w:t>
      </w:r>
      <w:r w:rsidR="00030759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12</w:t>
      </w:r>
      <w:r w:rsidR="00ED7FCF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030759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="00ED7FCF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</w:t>
      </w: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B443F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(</w:t>
      </w:r>
      <w:r w:rsidRPr="00591B9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Anexo V</w:t>
      </w:r>
      <w:r w:rsidRPr="00B443F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. </w:t>
      </w:r>
    </w:p>
    <w:p w14:paraId="7807275C" w14:textId="77777777" w:rsidR="0011586A" w:rsidRDefault="0011586A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0CD0A7DB" w14:textId="2E9B4BDD" w:rsidR="0011586A" w:rsidRPr="00904324" w:rsidRDefault="0011586A" w:rsidP="001158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ejecución presupuestaria al 30/09/2022 alcanzó, en términos relativos, el </w:t>
      </w:r>
      <w:r w:rsidR="00A864E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67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% respecto al presupuesto de US</w:t>
      </w:r>
      <w:r w:rsidRPr="00445DB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$ 468.97</w:t>
      </w:r>
      <w:r w:rsidR="00445DBD" w:rsidRPr="00445DB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4</w:t>
      </w:r>
      <w:r w:rsidRPr="00445DB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para este año, lo que representa un monto total ejecutado de US$ </w:t>
      </w:r>
      <w:r w:rsidR="00445DB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312.413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490249AF" w14:textId="77777777" w:rsidR="00030759" w:rsidRPr="00904324" w:rsidRDefault="00030759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051EE69F" w14:textId="4D5A311A" w:rsidR="00904324" w:rsidRPr="00591B98" w:rsidRDefault="00904324" w:rsidP="00591B9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Detalle de los excedentes anuales contables y su utilización </w:t>
      </w:r>
    </w:p>
    <w:p w14:paraId="6A60802D" w14:textId="4B94BEC9" w:rsidR="003A1E2A" w:rsidRPr="00904324" w:rsidRDefault="003A1E2A" w:rsidP="003A1E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GAP tomó nota del informe del estado de</w:t>
      </w:r>
      <w:r w:rsidR="00904324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los excedentes anuales contables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la ST </w:t>
      </w:r>
      <w:r w:rsidR="00904324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y su utilización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ejecutada al 30 de septiembre de 2022</w:t>
      </w:r>
      <w:r w:rsidR="00904324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, </w:t>
      </w:r>
      <w:r w:rsidR="00591B98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remitido por Nota TPR </w:t>
      </w:r>
      <w:proofErr w:type="spellStart"/>
      <w:r w:rsidR="00591B98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="00591B98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066/2022 del 12 de octubre de 2022</w:t>
      </w:r>
      <w:r w:rsidR="00591B98" w:rsidRPr="00591B9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904324" w:rsidRPr="00591B9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(Anexo V)</w:t>
      </w:r>
      <w:r w:rsidR="00904324" w:rsidRPr="00591B9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.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ST cuenta con excedentes líquidos disponibles por un total de </w:t>
      </w:r>
      <w:r w:rsidRPr="003A1E2A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US$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226.344.</w:t>
      </w:r>
    </w:p>
    <w:p w14:paraId="2EE2D703" w14:textId="5FD6E2CD" w:rsidR="00030759" w:rsidRDefault="00030759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51C7C44A" w14:textId="77777777" w:rsidR="00591B98" w:rsidRPr="00904324" w:rsidRDefault="00591B98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767D02E" w14:textId="647645D9" w:rsidR="00904324" w:rsidRPr="003A7745" w:rsidRDefault="00904324" w:rsidP="003A774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INSTITUTO SOCIAL DEL MERCOSUR (ISM)</w:t>
      </w:r>
    </w:p>
    <w:p w14:paraId="488A96AC" w14:textId="5BF3C728" w:rsidR="0050548F" w:rsidRPr="0050548F" w:rsidRDefault="00904324" w:rsidP="00904324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Ejecución presupuestaria al 3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</w:t>
      </w:r>
      <w:r w:rsidR="00175A55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2</w:t>
      </w:r>
    </w:p>
    <w:p w14:paraId="33E7F05C" w14:textId="473CD1B9" w:rsidR="0050548F" w:rsidRDefault="00036F69" w:rsidP="00505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036F69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tomó nota del informe del ISM sobre la ejecución presupuestaria al 30 de septiembre de 2022, remitido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por </w:t>
      </w:r>
      <w:r w:rsidR="0050548F" w:rsidRP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Nota ISM</w:t>
      </w:r>
      <w:r w:rsidR="009E51F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-</w:t>
      </w:r>
      <w:r w:rsidR="0050548F" w:rsidRP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DAF 10/2022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</w:t>
      </w:r>
      <w:r w:rsidRPr="00036F69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12 de octubre de 2022, </w:t>
      </w:r>
      <w:r w:rsidR="0050548F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cual</w:t>
      </w:r>
      <w:r w:rsidR="0050548F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50548F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alcanzó el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42.67</w:t>
      </w:r>
      <w:r w:rsidR="00CA5280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% del presupuesto</w:t>
      </w:r>
      <w:r w:rsidR="0050548F" w:rsidRPr="00536BA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</w:t>
      </w:r>
      <w:r w:rsidR="00FD6F1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para el</w:t>
      </w:r>
      <w:r w:rsidR="0050548F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año</w:t>
      </w:r>
      <w:r w:rsidR="00FD6F1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2022</w:t>
      </w:r>
      <w:r w:rsidR="0050548F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FD6F1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por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Resolución GMC </w:t>
      </w:r>
      <w:proofErr w:type="spellStart"/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37/21</w:t>
      </w:r>
      <w:r w:rsidR="0050548F" w:rsidRPr="000C1257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50548F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(Anexo V)</w:t>
      </w:r>
      <w:r w:rsidR="0050548F"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3DE6933A" w14:textId="246FED66" w:rsidR="00CA5280" w:rsidRDefault="00CA5280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4F32676" w14:textId="2F1776DA" w:rsidR="00E679C6" w:rsidRDefault="00E679C6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23757F2" w14:textId="1035B516" w:rsidR="00E679C6" w:rsidRDefault="00E679C6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770BC1E" w14:textId="3AEDD4C4" w:rsidR="00E679C6" w:rsidRDefault="00E679C6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5108456F" w14:textId="455C922F" w:rsidR="00E679C6" w:rsidRDefault="00E679C6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0B60ED45" w14:textId="77777777" w:rsidR="00E679C6" w:rsidRPr="00904324" w:rsidRDefault="00E679C6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0B107F78" w14:textId="6CF4DBE6" w:rsidR="00904324" w:rsidRPr="00904324" w:rsidRDefault="00904324" w:rsidP="00130CF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lastRenderedPageBreak/>
        <w:t xml:space="preserve">Situación de las contribuciones de los </w:t>
      </w:r>
      <w:proofErr w:type="gramStart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Estados</w:t>
      </w:r>
      <w:r w:rsidR="00CA5280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Partes</w:t>
      </w:r>
      <w:proofErr w:type="gramEnd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y ejecución presupuestaria al 30/0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/2022</w:t>
      </w:r>
    </w:p>
    <w:p w14:paraId="200B838D" w14:textId="0A87238D" w:rsid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tomó nota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del informe del ISM sobre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las contribuciones de los </w:t>
      </w:r>
      <w:proofErr w:type="gramStart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Estados Partes</w:t>
      </w:r>
      <w:proofErr w:type="gramEnd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y la ejecución presupuestaria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al 30 de 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remitido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por Notas ISM-DAF N°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10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/2022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8B54E9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fecha 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12</w:t>
      </w:r>
      <w:r w:rsidR="008B54E9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="008B54E9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2022 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VI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47AD6E44" w14:textId="77777777" w:rsidR="00360737" w:rsidRDefault="00360737" w:rsidP="0036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636BF59A" w14:textId="380B753F" w:rsidR="00360737" w:rsidRPr="00904324" w:rsidRDefault="00360737" w:rsidP="0036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ejecución presupuestaria al 30/09/2022 alcanzó, en términos relativos, el </w:t>
      </w:r>
      <w:r w:rsidR="00CA5280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42.67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% respecto al presupuesto de US$ </w:t>
      </w:r>
      <w:r w:rsidR="00CA5280" w:rsidRPr="00CA5280">
        <w:rPr>
          <w:szCs w:val="24"/>
          <w:lang w:val="es-UY" w:eastAsia="es-UY"/>
        </w:rPr>
        <w:t>480.680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 para este año, lo que representa un monto total ejecutado de US$ </w:t>
      </w:r>
      <w:r w:rsidR="00CA5280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205.087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7A22412E" w14:textId="77777777" w:rsidR="00ED5282" w:rsidRPr="00904324" w:rsidRDefault="00ED5282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5E7767FA" w14:textId="1A6CA729" w:rsidR="00904324" w:rsidRPr="00904324" w:rsidRDefault="00904324" w:rsidP="00130CF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Detalle de los excedentes anuales contables y su utilización </w:t>
      </w:r>
    </w:p>
    <w:p w14:paraId="3F5F0FEE" w14:textId="2B2C0238" w:rsidR="00904324" w:rsidRPr="00360737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GAP tomó nota del inf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orme del estado de los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excedentes anuales contables del ISM y su utilización al 30 de 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remitido por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Nota ISM-DAF </w:t>
      </w:r>
      <w:proofErr w:type="spellStart"/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10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20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="00360737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del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12</w:t>
      </w:r>
      <w:r w:rsidR="002471B7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ED528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="002471B7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de 2022 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VI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360737">
        <w:rPr>
          <w:rFonts w:eastAsia="Arial Unicode MS" w:cs="Arial Unicode MS"/>
          <w:bCs/>
          <w:color w:val="000000"/>
          <w:szCs w:val="24"/>
          <w:u w:color="000000"/>
          <w:bdr w:val="nil"/>
          <w:lang w:val="es-ES_tradnl" w:eastAsia="es-UY"/>
        </w:rPr>
        <w:t xml:space="preserve">El ISM cuenta con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excedentes líquidos disponibles</w:t>
      </w:r>
      <w:r w:rsidR="00916D1A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por un total de US$ de 107.403.</w:t>
      </w:r>
    </w:p>
    <w:p w14:paraId="4E626987" w14:textId="5B0DE6B0" w:rsid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F57CF6B" w14:textId="77777777" w:rsidR="00916D1A" w:rsidRPr="00904324" w:rsidRDefault="00916D1A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7F4B2FDC" w14:textId="05FBD6F5" w:rsidR="00904324" w:rsidRPr="00FF0A45" w:rsidRDefault="00904324" w:rsidP="00FF0A4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INSTITUTO DE POLÍTICAS PÚBLICAS DE DERECHOS HUMANOS (IPPDDHH)</w:t>
      </w:r>
    </w:p>
    <w:p w14:paraId="02781907" w14:textId="4D2DBC83" w:rsidR="00904324" w:rsidRPr="00904324" w:rsidRDefault="00904324" w:rsidP="00130CF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Ejecución presupuestaria al 3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09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2</w:t>
      </w:r>
    </w:p>
    <w:p w14:paraId="0FCC4D1D" w14:textId="70C3F81A" w:rsidR="000912CC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GAP tomó nota del informe del IPPDDHH sobre la ejecución presupuestaria al 3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0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mbre de 202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="000912CC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, remitido por N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ota </w:t>
      </w:r>
      <w:r w:rsidR="006105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MERCOSUR/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IPPDDHH</w:t>
      </w:r>
      <w:r w:rsidR="006105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/NOTA-S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proofErr w:type="spellStart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412</w:t>
      </w:r>
      <w:r w:rsidR="000912CC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/2022 del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13</w:t>
      </w:r>
      <w:r w:rsidR="006105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octubre</w:t>
      </w:r>
      <w:r w:rsidR="006105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2022, el cual alcanzó el </w:t>
      </w:r>
      <w:r w:rsidR="00036F69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54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% del </w:t>
      </w:r>
      <w:r w:rsidR="000912CC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presupuesto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 para el año 202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</w:t>
      </w:r>
      <w:r w:rsidR="000912CC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por </w:t>
      </w:r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Resolución GMC </w:t>
      </w:r>
      <w:proofErr w:type="spellStart"/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N°</w:t>
      </w:r>
      <w:proofErr w:type="spellEnd"/>
      <w:r w:rsidR="0050548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40/21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VII</w:t>
      </w:r>
      <w:r w:rsidRPr="00B1568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2F67FF42" w14:textId="77777777" w:rsidR="000912CC" w:rsidRPr="00904324" w:rsidRDefault="000912CC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CE57C43" w14:textId="4EE09E73" w:rsidR="00904324" w:rsidRPr="00251BE2" w:rsidRDefault="00904324" w:rsidP="00251BE2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Situación de las contribuciones de los </w:t>
      </w:r>
      <w:proofErr w:type="gramStart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Estados Partes</w:t>
      </w:r>
      <w:proofErr w:type="gramEnd"/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y ejecución presupuestaria al 30/0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9</w:t>
      </w: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/2022</w:t>
      </w:r>
    </w:p>
    <w:p w14:paraId="4ADCEDC8" w14:textId="6B701AC0" w:rsidR="00904324" w:rsidRDefault="00436A73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El GAP tomó nota del informe de informe del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IPPDDHH sobre las contribuciones de los </w:t>
      </w:r>
      <w:proofErr w:type="gramStart"/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Estados Partes</w:t>
      </w:r>
      <w:proofErr w:type="gramEnd"/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y la ejecución presupuestaria al 30 de </w:t>
      </w:r>
      <w:r w:rsidR="000118A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</w:t>
      </w:r>
      <w:r w:rsidR="002577EE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remitido por la nota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MERCOSUR/</w:t>
      </w:r>
      <w:r w:rsidR="002577EE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IPPDDHH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/NOTA-S</w:t>
      </w:r>
      <w:r w:rsidR="002577EE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proofErr w:type="spellStart"/>
      <w:r w:rsidR="002577EE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="002577EE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412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/2022 del </w:t>
      </w:r>
      <w:r w:rsid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13 de octubre de </w:t>
      </w:r>
      <w:r w:rsidR="002577EE" w:rsidRPr="00B15688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2022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0118A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VII</w:t>
      </w:r>
      <w:r w:rsidR="00904324"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="00904324"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3ACBDD29" w14:textId="77777777" w:rsidR="00436A73" w:rsidRDefault="00436A73" w:rsidP="00436A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9F02F75" w14:textId="27FC61A4" w:rsidR="00436A73" w:rsidRPr="00904324" w:rsidRDefault="00436A73" w:rsidP="00436A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tLeast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La ejecución presupuestaria al 30/09/2022 alcanzó, en términos relativos, el </w:t>
      </w:r>
      <w:r w:rsidR="007317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54 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% respecto al presupuesto de US$ </w:t>
      </w:r>
      <w:r w:rsidR="00731765" w:rsidRPr="00731765">
        <w:rPr>
          <w:szCs w:val="24"/>
          <w:lang w:val="es-UY" w:eastAsia="es-UY"/>
        </w:rPr>
        <w:t>564.852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aprobado para este año, lo que representa un monto total ejecutado de US$ </w:t>
      </w:r>
      <w:r w:rsidR="007317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306.738</w:t>
      </w:r>
      <w:r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313F7A79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219B5BED" w14:textId="5135668A" w:rsidR="00904324" w:rsidRPr="00130CF7" w:rsidRDefault="00904324" w:rsidP="00130CF7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96"/>
          <w:tab w:val="clear" w:pos="8504"/>
          <w:tab w:val="clear" w:pos="8520"/>
        </w:tabs>
        <w:spacing w:after="160" w:line="259" w:lineRule="auto"/>
        <w:ind w:left="1134" w:hanging="632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Detalle de los excedentes anuales contables y su utilización </w:t>
      </w:r>
    </w:p>
    <w:p w14:paraId="37903C48" w14:textId="27698AE0" w:rsidR="00436A73" w:rsidRPr="00436A73" w:rsidRDefault="00904324" w:rsidP="00D331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Cs/>
          <w:color w:val="000000"/>
          <w:szCs w:val="24"/>
          <w:u w:color="000000"/>
          <w:bdr w:val="nil"/>
          <w:lang w:val="es-ES_tradnl" w:eastAsia="es-UY"/>
        </w:rPr>
      </w:pPr>
      <w:r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El GAP tomó nota del informe del estado de los excedentes anuales contables del IPPDDHH y su utilización al 30 de </w:t>
      </w:r>
      <w:r w:rsidR="000118A4"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septiembre</w:t>
      </w:r>
      <w:r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de 2022, </w:t>
      </w:r>
      <w:r w:rsidR="002577EE"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remitido por la nota MERCOSUR/IPPDDHH/NOTA-S </w:t>
      </w:r>
      <w:proofErr w:type="spellStart"/>
      <w:r w:rsidR="002577EE"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Nº</w:t>
      </w:r>
      <w:proofErr w:type="spellEnd"/>
      <w:r w:rsidR="002577EE"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412</w:t>
      </w:r>
      <w:r w:rsidR="00436A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/2022 del</w:t>
      </w:r>
      <w:r w:rsidR="002577EE"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13 de octubre de 2022</w:t>
      </w:r>
      <w:r w:rsidRPr="002577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Pr="002577E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(Anexo </w:t>
      </w:r>
      <w:r w:rsidR="000118A4" w:rsidRPr="002577E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VII</w:t>
      </w:r>
      <w:r w:rsidRPr="002577E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)</w:t>
      </w:r>
      <w:r w:rsidRPr="00B443F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  <w:r w:rsidRPr="002577E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 xml:space="preserve"> </w:t>
      </w:r>
      <w:r w:rsidR="00436A73">
        <w:rPr>
          <w:rFonts w:eastAsia="Arial Unicode MS" w:cs="Arial Unicode MS"/>
          <w:bCs/>
          <w:color w:val="000000"/>
          <w:szCs w:val="24"/>
          <w:u w:color="000000"/>
          <w:bdr w:val="nil"/>
          <w:lang w:val="es-ES_tradnl" w:eastAsia="es-UY"/>
        </w:rPr>
        <w:t xml:space="preserve">El IPPDDHH cuenta con excedentes líquidos disponibles por un total de </w:t>
      </w:r>
      <w:r w:rsidR="00B4789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US$ de </w:t>
      </w:r>
      <w:r w:rsidR="00251BE2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755.764</w:t>
      </w:r>
      <w:r w:rsidR="00B4789F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3365571F" w14:textId="207B1B87" w:rsidR="00436A73" w:rsidRDefault="00436A73" w:rsidP="00D331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2DDBCB02" w14:textId="6407D1B5" w:rsidR="00E679C6" w:rsidRDefault="00E679C6" w:rsidP="00D331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1B04FF9F" w14:textId="77777777" w:rsidR="00E679C6" w:rsidRPr="00904324" w:rsidRDefault="00E679C6" w:rsidP="00D331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bookmarkStart w:id="1" w:name="_GoBack"/>
      <w:bookmarkEnd w:id="1"/>
    </w:p>
    <w:p w14:paraId="488F4E29" w14:textId="77777777" w:rsidR="00904324" w:rsidRPr="00904324" w:rsidRDefault="00904324" w:rsidP="009043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lastRenderedPageBreak/>
        <w:t>PRÓXIMA REUNIÓN</w:t>
      </w:r>
    </w:p>
    <w:p w14:paraId="3CB64B11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386AB2A7" w14:textId="184B7F1C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La próxima Reunión Ordinaria del GAP será convocada oportunamente por la PPT</w:t>
      </w:r>
      <w:r w:rsidR="00F576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U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.</w:t>
      </w:r>
    </w:p>
    <w:p w14:paraId="70548496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756F591D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4BBA99A8" w14:textId="2358110B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  <w:t>ANEXOS</w:t>
      </w:r>
    </w:p>
    <w:p w14:paraId="50A5A011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es-ES_tradnl" w:eastAsia="es-UY"/>
        </w:rPr>
      </w:pPr>
    </w:p>
    <w:p w14:paraId="7CFA8470" w14:textId="6CA91036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Los Anexos que forman parte de</w:t>
      </w:r>
      <w:r w:rsidR="005D35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 xml:space="preserve">l </w:t>
      </w:r>
      <w:r w:rsidRPr="00904324"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  <w:t>Acta son los siguientes:</w:t>
      </w:r>
    </w:p>
    <w:p w14:paraId="31B7BBD8" w14:textId="77777777" w:rsidR="00904324" w:rsidRPr="00904324" w:rsidRDefault="00904324" w:rsidP="009043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8478"/>
          <w:tab w:val="left" w:pos="8496"/>
          <w:tab w:val="left" w:pos="8520"/>
        </w:tabs>
        <w:jc w:val="both"/>
        <w:rPr>
          <w:rFonts w:eastAsia="Arial Unicode MS" w:cs="Arial Unicode MS"/>
          <w:color w:val="FF0000"/>
          <w:szCs w:val="24"/>
          <w:u w:color="FF0000"/>
          <w:bdr w:val="nil"/>
          <w:lang w:val="es-ES_tradnl" w:eastAsia="es-UY"/>
        </w:rPr>
      </w:pPr>
    </w:p>
    <w:tbl>
      <w:tblPr>
        <w:tblStyle w:val="TableNormal"/>
        <w:tblW w:w="92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3"/>
        <w:gridCol w:w="7796"/>
      </w:tblGrid>
      <w:tr w:rsidR="00904324" w:rsidRPr="00904324" w14:paraId="7A5C131A" w14:textId="77777777" w:rsidTr="00F5766D">
        <w:trPr>
          <w:trHeight w:val="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0A62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val="pt-PT" w:eastAsia="es-UY"/>
              </w:rPr>
              <w:t>Anexo 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454A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Lista de Participantes</w:t>
            </w:r>
          </w:p>
        </w:tc>
      </w:tr>
      <w:tr w:rsidR="00904324" w:rsidRPr="00904324" w14:paraId="2FFB3AFF" w14:textId="77777777" w:rsidTr="00F5766D">
        <w:trPr>
          <w:trHeight w:val="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C9E0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Anexo II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72EA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Agenda</w:t>
            </w:r>
          </w:p>
        </w:tc>
      </w:tr>
      <w:tr w:rsidR="00904324" w:rsidRPr="00904324" w14:paraId="496255E2" w14:textId="77777777" w:rsidTr="00F5766D">
        <w:trPr>
          <w:trHeight w:val="14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271F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Anexo III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ABF8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Resumen del Acta</w:t>
            </w:r>
          </w:p>
        </w:tc>
      </w:tr>
      <w:tr w:rsidR="00904324" w:rsidRPr="00E679C6" w14:paraId="205B160B" w14:textId="77777777" w:rsidTr="00F5766D">
        <w:trPr>
          <w:trHeight w:val="11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A4A1" w14:textId="77777777" w:rsidR="00904324" w:rsidRPr="00A42A1E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ascii="Times New Roman" w:hAnsi="Times New Roman" w:cs="Arial Unicode MS"/>
                <w:color w:val="000000"/>
                <w:szCs w:val="24"/>
                <w:u w:color="000000"/>
                <w:lang w:val="es-MX" w:eastAsia="es-UY"/>
              </w:rPr>
            </w:pPr>
            <w:r w:rsidRPr="00A42A1E">
              <w:rPr>
                <w:rFonts w:cs="Arial Unicode MS"/>
                <w:b/>
                <w:bCs/>
                <w:color w:val="000000"/>
                <w:szCs w:val="24"/>
                <w:u w:color="000000"/>
                <w:lang w:val="es-MX" w:eastAsia="es-UY"/>
              </w:rPr>
              <w:t>Anexo IV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930D" w14:textId="15812C6A" w:rsidR="00904324" w:rsidRPr="00A42A1E" w:rsidRDefault="001E7387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ascii="Times New Roman" w:hAnsi="Times New Roman" w:cs="Arial Unicode MS"/>
                <w:color w:val="000000"/>
                <w:szCs w:val="24"/>
                <w:u w:color="000000"/>
                <w:lang w:val="es-MX" w:eastAsia="es-UY"/>
              </w:rPr>
            </w:pPr>
            <w:r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E</w:t>
            </w:r>
            <w:r w:rsidR="00FD7439"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jecuciones presupuestarias de la SM</w:t>
            </w:r>
          </w:p>
        </w:tc>
      </w:tr>
      <w:tr w:rsidR="00904324" w:rsidRPr="00E679C6" w14:paraId="647A4D85" w14:textId="77777777" w:rsidTr="00F5766D">
        <w:trPr>
          <w:trHeight w:val="1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5FF0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Anexo V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6004" w14:textId="73E22D69" w:rsidR="00904324" w:rsidRPr="00904324" w:rsidRDefault="001E7387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E</w:t>
            </w: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jecuciones presupuestarias de la ST</w:t>
            </w:r>
          </w:p>
        </w:tc>
      </w:tr>
      <w:tr w:rsidR="00904324" w:rsidRPr="006C52B1" w14:paraId="0A805475" w14:textId="77777777" w:rsidTr="00F5766D">
        <w:trPr>
          <w:trHeight w:val="22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DFE0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Anexo VI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782D" w14:textId="53B998C9" w:rsidR="00904324" w:rsidRPr="00904324" w:rsidRDefault="001E7387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Ejecuciones presupuestarias del ISM</w:t>
            </w:r>
          </w:p>
        </w:tc>
      </w:tr>
      <w:tr w:rsidR="00904324" w:rsidRPr="006C52B1" w14:paraId="5271B8B7" w14:textId="77777777" w:rsidTr="00F5766D">
        <w:trPr>
          <w:trHeight w:val="5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B496" w14:textId="77777777" w:rsidR="00904324" w:rsidRPr="00904324" w:rsidRDefault="00904324" w:rsidP="00FD7439">
            <w:pPr>
              <w:tabs>
                <w:tab w:val="left" w:pos="708"/>
                <w:tab w:val="left" w:pos="1416"/>
                <w:tab w:val="left" w:pos="144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val="pt-PT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Anexo VII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E584" w14:textId="24E7D14F" w:rsidR="00904324" w:rsidRPr="00904324" w:rsidRDefault="001E7387" w:rsidP="00FD7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</w:tabs>
              <w:jc w:val="both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E</w:t>
            </w: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jecuciones presupuestarias del IPPDDHH</w:t>
            </w:r>
          </w:p>
        </w:tc>
      </w:tr>
    </w:tbl>
    <w:p w14:paraId="3EC37779" w14:textId="6BCB3CF0" w:rsidR="00904324" w:rsidRPr="00904324" w:rsidRDefault="00904324" w:rsidP="00F576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UY" w:eastAsia="es-UY"/>
        </w:rPr>
      </w:pPr>
    </w:p>
    <w:p w14:paraId="6EEDB72D" w14:textId="235CAB86" w:rsidR="00904324" w:rsidRDefault="00904324" w:rsidP="00F576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352CE5E2" w14:textId="77777777" w:rsidR="005D354E" w:rsidRDefault="005D354E" w:rsidP="00F576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p w14:paraId="7C8A5E48" w14:textId="77777777" w:rsidR="00904324" w:rsidRPr="00904324" w:rsidRDefault="00904324" w:rsidP="00F576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es-UY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04324" w:rsidRPr="00904324" w14:paraId="2DF4BA48" w14:textId="77777777" w:rsidTr="005D354E">
        <w:trPr>
          <w:trHeight w:val="20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3B77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37CEAEBE" w14:textId="77777777" w:rsidR="00904324" w:rsidRPr="00904324" w:rsidRDefault="00904324" w:rsidP="005D354E">
            <w:pPr>
              <w:tabs>
                <w:tab w:val="left" w:pos="1418"/>
                <w:tab w:val="right" w:pos="8478"/>
              </w:tabs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0F1278E8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______________________________</w:t>
            </w:r>
          </w:p>
          <w:p w14:paraId="52B51381" w14:textId="77777777" w:rsidR="00904324" w:rsidRPr="00904324" w:rsidRDefault="00904324" w:rsidP="00904324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outlineLvl w:val="0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Por la Delegación de Argentina</w:t>
            </w:r>
          </w:p>
          <w:p w14:paraId="389BB389" w14:textId="77777777" w:rsidR="002559B3" w:rsidRPr="00D331BF" w:rsidRDefault="002559B3" w:rsidP="002559B3">
            <w:pPr>
              <w:widowControl w:val="0"/>
              <w:jc w:val="center"/>
              <w:rPr>
                <w:rFonts w:cs="Arial"/>
                <w:b/>
                <w:bCs/>
                <w:szCs w:val="24"/>
                <w:lang w:eastAsia="pt-BR"/>
              </w:rPr>
            </w:pPr>
            <w:r w:rsidRPr="00D331BF">
              <w:rPr>
                <w:rFonts w:cs="Arial"/>
                <w:b/>
                <w:bCs/>
                <w:szCs w:val="24"/>
                <w:lang w:eastAsia="pt-BR"/>
              </w:rPr>
              <w:t>Pedro Marotta</w:t>
            </w:r>
          </w:p>
          <w:p w14:paraId="07BA10B0" w14:textId="17A1E35A" w:rsidR="00904324" w:rsidRPr="00904324" w:rsidRDefault="00904324" w:rsidP="005D354E">
            <w:pPr>
              <w:tabs>
                <w:tab w:val="left" w:pos="3015"/>
                <w:tab w:val="left" w:pos="3540"/>
                <w:tab w:val="left" w:pos="4248"/>
                <w:tab w:val="left" w:pos="4320"/>
              </w:tabs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D4BB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71CC5653" w14:textId="77777777" w:rsidR="00904324" w:rsidRPr="00904324" w:rsidRDefault="00904324" w:rsidP="005D354E">
            <w:pPr>
              <w:tabs>
                <w:tab w:val="left" w:pos="1418"/>
                <w:tab w:val="right" w:pos="8478"/>
              </w:tabs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47189E78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____________________________</w:t>
            </w:r>
          </w:p>
          <w:p w14:paraId="1684463A" w14:textId="77777777" w:rsidR="00904324" w:rsidRPr="00904324" w:rsidRDefault="00904324" w:rsidP="009043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Por la Delegación de Brasil</w:t>
            </w:r>
          </w:p>
          <w:p w14:paraId="6B86D05F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color w:val="000000"/>
                <w:szCs w:val="24"/>
                <w:u w:color="000000"/>
                <w:lang w:val="pt-BR"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val="pt-BR" w:eastAsia="es-UY"/>
              </w:rPr>
              <w:t xml:space="preserve">Francisco Luiz Pinto da Rocha Santos </w:t>
            </w:r>
          </w:p>
        </w:tc>
      </w:tr>
      <w:tr w:rsidR="00904324" w:rsidRPr="00E679C6" w14:paraId="38CA287A" w14:textId="77777777" w:rsidTr="005D354E">
        <w:trPr>
          <w:trHeight w:val="2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6C9A" w14:textId="77777777" w:rsidR="00904324" w:rsidRPr="00E679C6" w:rsidRDefault="00904324" w:rsidP="005D354E">
            <w:pPr>
              <w:tabs>
                <w:tab w:val="left" w:pos="1418"/>
                <w:tab w:val="right" w:pos="8478"/>
              </w:tabs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3F154AAE" w14:textId="77777777" w:rsidR="00904324" w:rsidRPr="00E679C6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2EDEBCEB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______________________________</w:t>
            </w:r>
          </w:p>
          <w:p w14:paraId="320256B1" w14:textId="77777777" w:rsidR="00904324" w:rsidRPr="00904324" w:rsidRDefault="00904324" w:rsidP="009043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Por la Delegación de Paraguay</w:t>
            </w:r>
          </w:p>
          <w:p w14:paraId="1EC49D8B" w14:textId="3BA24950" w:rsidR="00904324" w:rsidRPr="00904324" w:rsidRDefault="00130CF7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Juan Verón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0B01" w14:textId="77777777" w:rsidR="00904324" w:rsidRPr="00904324" w:rsidRDefault="00904324" w:rsidP="005D354E">
            <w:pPr>
              <w:tabs>
                <w:tab w:val="left" w:pos="1418"/>
                <w:tab w:val="right" w:pos="8478"/>
              </w:tabs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09111EFA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</w:p>
          <w:p w14:paraId="70DE08BA" w14:textId="77777777" w:rsidR="00904324" w:rsidRPr="00904324" w:rsidRDefault="00904324" w:rsidP="00904324">
            <w:pPr>
              <w:tabs>
                <w:tab w:val="left" w:pos="1418"/>
                <w:tab w:val="right" w:pos="8478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____________________________</w:t>
            </w:r>
          </w:p>
          <w:p w14:paraId="1101B259" w14:textId="77777777" w:rsidR="00904324" w:rsidRPr="00904324" w:rsidRDefault="00904324" w:rsidP="009043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cs="Arial Unicode MS"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color w:val="000000"/>
                <w:szCs w:val="24"/>
                <w:u w:color="000000"/>
                <w:lang w:eastAsia="es-UY"/>
              </w:rPr>
              <w:t>Por la Delegación de Uruguay</w:t>
            </w:r>
          </w:p>
          <w:p w14:paraId="0923ADAB" w14:textId="77777777" w:rsidR="00904324" w:rsidRPr="00904324" w:rsidRDefault="00904324" w:rsidP="009043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</w:pPr>
            <w:r w:rsidRPr="00904324">
              <w:rPr>
                <w:rFonts w:cs="Arial Unicode MS"/>
                <w:b/>
                <w:bCs/>
                <w:color w:val="000000"/>
                <w:szCs w:val="24"/>
                <w:u w:color="000000"/>
                <w:lang w:eastAsia="es-UY"/>
              </w:rPr>
              <w:t>Florencia Rizzo</w:t>
            </w:r>
          </w:p>
        </w:tc>
      </w:tr>
    </w:tbl>
    <w:p w14:paraId="3E7FA25E" w14:textId="77777777" w:rsidR="00904324" w:rsidRPr="00AB408A" w:rsidRDefault="00904324" w:rsidP="00904324">
      <w:pPr>
        <w:spacing w:after="160" w:line="259" w:lineRule="auto"/>
        <w:rPr>
          <w:rFonts w:ascii="Calibri" w:eastAsia="Calibri" w:hAnsi="Calibri"/>
          <w:sz w:val="22"/>
          <w:szCs w:val="22"/>
          <w:lang w:val="es-AR" w:eastAsia="en-US"/>
        </w:rPr>
      </w:pPr>
    </w:p>
    <w:p w14:paraId="23C0FE97" w14:textId="77777777" w:rsidR="00A84354" w:rsidRPr="00AB408A" w:rsidRDefault="00A84354" w:rsidP="00430305">
      <w:pPr>
        <w:jc w:val="both"/>
        <w:rPr>
          <w:rFonts w:cs="Arial"/>
          <w:szCs w:val="24"/>
          <w:lang w:val="es-AR"/>
        </w:rPr>
      </w:pPr>
    </w:p>
    <w:sectPr w:rsidR="00A84354" w:rsidRPr="00AB408A" w:rsidSect="00F5766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701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E11F" w14:textId="77777777" w:rsidR="00924540" w:rsidRDefault="00924540">
      <w:r>
        <w:separator/>
      </w:r>
    </w:p>
  </w:endnote>
  <w:endnote w:type="continuationSeparator" w:id="0">
    <w:p w14:paraId="0F3DFB4E" w14:textId="77777777" w:rsidR="00924540" w:rsidRDefault="009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7441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32721" w:rsidRPr="00032721">
      <w:rPr>
        <w:noProof/>
        <w:lang w:val="es-ES"/>
      </w:rPr>
      <w:t>2</w:t>
    </w:r>
    <w:r>
      <w:fldChar w:fldCharType="end"/>
    </w:r>
  </w:p>
  <w:p w14:paraId="0BEAB084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3088" w14:textId="77777777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</w:t>
    </w:r>
    <w:r w:rsidR="003D3F82" w:rsidRPr="00C93E80">
      <w:rPr>
        <w:b/>
        <w:i/>
        <w:sz w:val="16"/>
      </w:rPr>
      <w:t>i</w:t>
    </w:r>
    <w:r w:rsidRPr="00C93E80">
      <w:rPr>
        <w:b/>
        <w:i/>
        <w:sz w:val="16"/>
      </w:rPr>
      <w:t>a d</w:t>
    </w:r>
    <w:r w:rsidR="003D3F82" w:rsidRPr="00C93E80">
      <w:rPr>
        <w:b/>
        <w:i/>
        <w:sz w:val="16"/>
      </w:rPr>
      <w:t>o</w:t>
    </w:r>
    <w:r w:rsidRPr="00C93E80">
      <w:rPr>
        <w:b/>
        <w:i/>
        <w:sz w:val="16"/>
      </w:rPr>
      <w:t xml:space="preserve"> MERCOSU</w:t>
    </w:r>
    <w:r w:rsidR="003D3F82" w:rsidRPr="00C93E80">
      <w:rPr>
        <w:b/>
        <w:i/>
        <w:sz w:val="16"/>
      </w:rPr>
      <w:t>L</w:t>
    </w:r>
  </w:p>
  <w:p w14:paraId="59DA870E" w14:textId="77777777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</w:t>
    </w:r>
    <w:r w:rsidR="003D3F82" w:rsidRPr="00C93E80">
      <w:rPr>
        <w:b/>
        <w:sz w:val="16"/>
      </w:rPr>
      <w:t>qu</w:t>
    </w:r>
    <w:r w:rsidRPr="00C93E80">
      <w:rPr>
        <w:b/>
        <w:sz w:val="16"/>
      </w:rPr>
      <w:t>ivo Oficial</w:t>
    </w:r>
  </w:p>
  <w:p w14:paraId="2F7C1705" w14:textId="77777777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AD29FF">
      <w:rPr>
        <w:sz w:val="16"/>
      </w:rPr>
      <w:t xml:space="preserve">  www.mercosu</w:t>
    </w:r>
    <w:r w:rsidR="00662FCC" w:rsidRPr="00AD29FF">
      <w:rPr>
        <w:sz w:val="16"/>
      </w:rPr>
      <w:t>l</w:t>
    </w:r>
    <w:r w:rsidRPr="00AD29FF">
      <w:rPr>
        <w:sz w:val="16"/>
      </w:rPr>
      <w:t xml:space="preserve">.int </w:t>
    </w:r>
  </w:p>
  <w:p w14:paraId="468BD76F" w14:textId="77777777" w:rsidR="00D129F9" w:rsidRPr="00C93E80" w:rsidRDefault="00D129F9" w:rsidP="00870C4E">
    <w:pPr>
      <w:tabs>
        <w:tab w:val="center" w:pos="4419"/>
        <w:tab w:val="right" w:pos="8838"/>
      </w:tabs>
    </w:pPr>
  </w:p>
  <w:p w14:paraId="7DD49523" w14:textId="77777777" w:rsidR="00D129F9" w:rsidRPr="00C93E80" w:rsidRDefault="00D129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4D7C" w14:textId="77777777" w:rsidR="00924540" w:rsidRDefault="00924540">
      <w:r>
        <w:separator/>
      </w:r>
    </w:p>
  </w:footnote>
  <w:footnote w:type="continuationSeparator" w:id="0">
    <w:p w14:paraId="3A9636FF" w14:textId="77777777" w:rsidR="00924540" w:rsidRDefault="0092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5168" w14:textId="77777777" w:rsidR="00D129F9" w:rsidRDefault="00E679C6">
    <w:pPr>
      <w:pStyle w:val="Encabezado"/>
    </w:pPr>
    <w:r>
      <w:rPr>
        <w:noProof/>
        <w:snapToGrid/>
        <w:lang w:val="es-UY" w:eastAsia="es-UY"/>
      </w:rPr>
      <w:pict w14:anchorId="18016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C200" w14:textId="77777777" w:rsidR="00D129F9" w:rsidRDefault="00E679C6">
    <w:pPr>
      <w:pStyle w:val="Encabezado"/>
    </w:pPr>
    <w:r>
      <w:rPr>
        <w:noProof/>
        <w:snapToGrid/>
        <w:lang w:val="es-UY" w:eastAsia="es-UY"/>
      </w:rPr>
      <w:pict w14:anchorId="09455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FAEA" w14:textId="77777777" w:rsidR="00D129F9" w:rsidRDefault="00E679C6">
    <w:pPr>
      <w:pStyle w:val="Encabezado"/>
    </w:pPr>
    <w:r>
      <w:rPr>
        <w:noProof/>
        <w:snapToGrid/>
        <w:lang w:val="es-UY" w:eastAsia="es-UY"/>
      </w:rPr>
      <w:pict w14:anchorId="433E0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A363F3"/>
    <w:multiLevelType w:val="hybridMultilevel"/>
    <w:tmpl w:val="ED9C41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ECB"/>
    <w:multiLevelType w:val="hybridMultilevel"/>
    <w:tmpl w:val="2812A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06F7"/>
    <w:multiLevelType w:val="hybridMultilevel"/>
    <w:tmpl w:val="9288D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CA7"/>
    <w:multiLevelType w:val="multilevel"/>
    <w:tmpl w:val="1506ED8A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5E6033F"/>
    <w:multiLevelType w:val="hybridMultilevel"/>
    <w:tmpl w:val="03F87FA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522ED"/>
    <w:multiLevelType w:val="hybridMultilevel"/>
    <w:tmpl w:val="ED9C41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63A4"/>
    <w:multiLevelType w:val="multilevel"/>
    <w:tmpl w:val="BABC3A9A"/>
    <w:styleLink w:val="ImportedStyle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708" w:hanging="2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366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1416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124" w:hanging="5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124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832" w:hanging="5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2832" w:hanging="1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504"/>
          <w:tab w:val="left" w:pos="8520"/>
        </w:tabs>
        <w:ind w:left="3540" w:hanging="5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52245F"/>
    <w:multiLevelType w:val="hybridMultilevel"/>
    <w:tmpl w:val="3732C36E"/>
    <w:lvl w:ilvl="0" w:tplc="3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39252CD"/>
    <w:multiLevelType w:val="multilevel"/>
    <w:tmpl w:val="BABC3A9A"/>
    <w:numStyleLink w:val="ImportedStyle1"/>
  </w:abstractNum>
  <w:abstractNum w:abstractNumId="10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1" w15:restartNumberingAfterBreak="0">
    <w:nsid w:val="5B4707F1"/>
    <w:multiLevelType w:val="hybridMultilevel"/>
    <w:tmpl w:val="3DD47A40"/>
    <w:lvl w:ilvl="0" w:tplc="6170A09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62A8"/>
    <w:multiLevelType w:val="hybridMultilevel"/>
    <w:tmpl w:val="93F816DE"/>
    <w:lvl w:ilvl="0" w:tplc="37AE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D0517"/>
    <w:multiLevelType w:val="hybridMultilevel"/>
    <w:tmpl w:val="ED9C41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388"/>
    <w:rsid w:val="000003B2"/>
    <w:rsid w:val="000010EE"/>
    <w:rsid w:val="000024A0"/>
    <w:rsid w:val="00003A45"/>
    <w:rsid w:val="0000489F"/>
    <w:rsid w:val="0000498D"/>
    <w:rsid w:val="000059C8"/>
    <w:rsid w:val="00010710"/>
    <w:rsid w:val="000108BE"/>
    <w:rsid w:val="00010F9F"/>
    <w:rsid w:val="000118A4"/>
    <w:rsid w:val="00022AA2"/>
    <w:rsid w:val="00026AE5"/>
    <w:rsid w:val="00030759"/>
    <w:rsid w:val="00032721"/>
    <w:rsid w:val="00036F69"/>
    <w:rsid w:val="00040BA1"/>
    <w:rsid w:val="00052F5D"/>
    <w:rsid w:val="00053704"/>
    <w:rsid w:val="00056DDA"/>
    <w:rsid w:val="00057860"/>
    <w:rsid w:val="00060138"/>
    <w:rsid w:val="00061EB7"/>
    <w:rsid w:val="00063C64"/>
    <w:rsid w:val="000646EA"/>
    <w:rsid w:val="0008210E"/>
    <w:rsid w:val="00084BE2"/>
    <w:rsid w:val="000912CC"/>
    <w:rsid w:val="00091DC1"/>
    <w:rsid w:val="00094D3D"/>
    <w:rsid w:val="00096D07"/>
    <w:rsid w:val="000A0F67"/>
    <w:rsid w:val="000A4775"/>
    <w:rsid w:val="000A510A"/>
    <w:rsid w:val="000B019A"/>
    <w:rsid w:val="000B4538"/>
    <w:rsid w:val="000C1257"/>
    <w:rsid w:val="000C3FDF"/>
    <w:rsid w:val="000C4B5D"/>
    <w:rsid w:val="000C5F37"/>
    <w:rsid w:val="000C78B1"/>
    <w:rsid w:val="000D0DBA"/>
    <w:rsid w:val="000D233F"/>
    <w:rsid w:val="000D2BAE"/>
    <w:rsid w:val="000D3BCB"/>
    <w:rsid w:val="000D64D8"/>
    <w:rsid w:val="000E0A7F"/>
    <w:rsid w:val="000E5EE3"/>
    <w:rsid w:val="000E6E60"/>
    <w:rsid w:val="000F70A6"/>
    <w:rsid w:val="00100DCE"/>
    <w:rsid w:val="001046FA"/>
    <w:rsid w:val="00105503"/>
    <w:rsid w:val="0011542A"/>
    <w:rsid w:val="0011586A"/>
    <w:rsid w:val="001220EA"/>
    <w:rsid w:val="00122C9D"/>
    <w:rsid w:val="001240E9"/>
    <w:rsid w:val="001260F1"/>
    <w:rsid w:val="00127411"/>
    <w:rsid w:val="00127623"/>
    <w:rsid w:val="00130CF7"/>
    <w:rsid w:val="00131748"/>
    <w:rsid w:val="00131895"/>
    <w:rsid w:val="00131F75"/>
    <w:rsid w:val="00136BA8"/>
    <w:rsid w:val="00136C51"/>
    <w:rsid w:val="00137038"/>
    <w:rsid w:val="0014095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727EA"/>
    <w:rsid w:val="00175A55"/>
    <w:rsid w:val="00180C5E"/>
    <w:rsid w:val="00185B10"/>
    <w:rsid w:val="00186C18"/>
    <w:rsid w:val="00192E0F"/>
    <w:rsid w:val="00194CA5"/>
    <w:rsid w:val="00196367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1FE0"/>
    <w:rsid w:val="001D290B"/>
    <w:rsid w:val="001D3C1C"/>
    <w:rsid w:val="001D6388"/>
    <w:rsid w:val="001E0AF3"/>
    <w:rsid w:val="001E0BDD"/>
    <w:rsid w:val="001E295E"/>
    <w:rsid w:val="001E3E71"/>
    <w:rsid w:val="001E7387"/>
    <w:rsid w:val="001F2A59"/>
    <w:rsid w:val="00202234"/>
    <w:rsid w:val="00204449"/>
    <w:rsid w:val="00204679"/>
    <w:rsid w:val="00206720"/>
    <w:rsid w:val="00211A88"/>
    <w:rsid w:val="00213792"/>
    <w:rsid w:val="00214487"/>
    <w:rsid w:val="0021691F"/>
    <w:rsid w:val="00220A0D"/>
    <w:rsid w:val="00221657"/>
    <w:rsid w:val="00222AA0"/>
    <w:rsid w:val="002241FB"/>
    <w:rsid w:val="00230751"/>
    <w:rsid w:val="00230E41"/>
    <w:rsid w:val="00234CC2"/>
    <w:rsid w:val="00236D1D"/>
    <w:rsid w:val="00237FA0"/>
    <w:rsid w:val="0024313F"/>
    <w:rsid w:val="00244C62"/>
    <w:rsid w:val="002471B7"/>
    <w:rsid w:val="00251BE2"/>
    <w:rsid w:val="002544BC"/>
    <w:rsid w:val="002559B3"/>
    <w:rsid w:val="00256BC3"/>
    <w:rsid w:val="002577EE"/>
    <w:rsid w:val="0026356C"/>
    <w:rsid w:val="0026553B"/>
    <w:rsid w:val="0027184D"/>
    <w:rsid w:val="002739D0"/>
    <w:rsid w:val="00275D10"/>
    <w:rsid w:val="00275D91"/>
    <w:rsid w:val="00276F4B"/>
    <w:rsid w:val="002776F3"/>
    <w:rsid w:val="002838D9"/>
    <w:rsid w:val="002909AC"/>
    <w:rsid w:val="00297D66"/>
    <w:rsid w:val="00297F24"/>
    <w:rsid w:val="002A1B34"/>
    <w:rsid w:val="002B7A6E"/>
    <w:rsid w:val="002C3E04"/>
    <w:rsid w:val="002C6DB7"/>
    <w:rsid w:val="002D1397"/>
    <w:rsid w:val="002D4431"/>
    <w:rsid w:val="002D7B65"/>
    <w:rsid w:val="002E3288"/>
    <w:rsid w:val="002E3B95"/>
    <w:rsid w:val="002E4927"/>
    <w:rsid w:val="002F0425"/>
    <w:rsid w:val="002F6FD0"/>
    <w:rsid w:val="002F7033"/>
    <w:rsid w:val="002F7942"/>
    <w:rsid w:val="00304728"/>
    <w:rsid w:val="00304EF3"/>
    <w:rsid w:val="003073AB"/>
    <w:rsid w:val="00313F74"/>
    <w:rsid w:val="003158C9"/>
    <w:rsid w:val="003164E9"/>
    <w:rsid w:val="00320A28"/>
    <w:rsid w:val="003225CE"/>
    <w:rsid w:val="00322B85"/>
    <w:rsid w:val="00325EB5"/>
    <w:rsid w:val="0032767E"/>
    <w:rsid w:val="00327A21"/>
    <w:rsid w:val="00330F07"/>
    <w:rsid w:val="00335C19"/>
    <w:rsid w:val="00335FB0"/>
    <w:rsid w:val="003376EA"/>
    <w:rsid w:val="00340BA2"/>
    <w:rsid w:val="00341944"/>
    <w:rsid w:val="00343525"/>
    <w:rsid w:val="00345189"/>
    <w:rsid w:val="00346AF3"/>
    <w:rsid w:val="00350F5F"/>
    <w:rsid w:val="00355FC6"/>
    <w:rsid w:val="00360737"/>
    <w:rsid w:val="00360DA9"/>
    <w:rsid w:val="00370862"/>
    <w:rsid w:val="0037279F"/>
    <w:rsid w:val="00372CAF"/>
    <w:rsid w:val="0037371D"/>
    <w:rsid w:val="00374568"/>
    <w:rsid w:val="00374587"/>
    <w:rsid w:val="00375D59"/>
    <w:rsid w:val="00377A3E"/>
    <w:rsid w:val="0038357F"/>
    <w:rsid w:val="0038602C"/>
    <w:rsid w:val="003903E8"/>
    <w:rsid w:val="00392A24"/>
    <w:rsid w:val="00394484"/>
    <w:rsid w:val="00395580"/>
    <w:rsid w:val="003979BE"/>
    <w:rsid w:val="003A0566"/>
    <w:rsid w:val="003A1E2A"/>
    <w:rsid w:val="003A1F68"/>
    <w:rsid w:val="003A619B"/>
    <w:rsid w:val="003A7745"/>
    <w:rsid w:val="003B2E4D"/>
    <w:rsid w:val="003B3F9E"/>
    <w:rsid w:val="003B606B"/>
    <w:rsid w:val="003B64BB"/>
    <w:rsid w:val="003C3A98"/>
    <w:rsid w:val="003C41B6"/>
    <w:rsid w:val="003D2449"/>
    <w:rsid w:val="003D2F16"/>
    <w:rsid w:val="003D3F82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0F72"/>
    <w:rsid w:val="00405BED"/>
    <w:rsid w:val="00405EEA"/>
    <w:rsid w:val="00425043"/>
    <w:rsid w:val="00425D12"/>
    <w:rsid w:val="004301A2"/>
    <w:rsid w:val="00430305"/>
    <w:rsid w:val="00430962"/>
    <w:rsid w:val="00436A73"/>
    <w:rsid w:val="00436C19"/>
    <w:rsid w:val="00440984"/>
    <w:rsid w:val="0044188F"/>
    <w:rsid w:val="0044404B"/>
    <w:rsid w:val="00445DBD"/>
    <w:rsid w:val="00450060"/>
    <w:rsid w:val="0045039E"/>
    <w:rsid w:val="004506A3"/>
    <w:rsid w:val="00454BBF"/>
    <w:rsid w:val="0045564D"/>
    <w:rsid w:val="00460ED4"/>
    <w:rsid w:val="00460F80"/>
    <w:rsid w:val="00461B95"/>
    <w:rsid w:val="004644D1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10CC"/>
    <w:rsid w:val="00496E5F"/>
    <w:rsid w:val="004A0685"/>
    <w:rsid w:val="004A06BC"/>
    <w:rsid w:val="004B1795"/>
    <w:rsid w:val="004B5563"/>
    <w:rsid w:val="004C1285"/>
    <w:rsid w:val="004C6D96"/>
    <w:rsid w:val="004D2E9A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48F"/>
    <w:rsid w:val="00505559"/>
    <w:rsid w:val="00505858"/>
    <w:rsid w:val="00514ACD"/>
    <w:rsid w:val="0052292A"/>
    <w:rsid w:val="00523FF6"/>
    <w:rsid w:val="00533313"/>
    <w:rsid w:val="00536BA7"/>
    <w:rsid w:val="00542475"/>
    <w:rsid w:val="00544557"/>
    <w:rsid w:val="00546210"/>
    <w:rsid w:val="00550C46"/>
    <w:rsid w:val="00553609"/>
    <w:rsid w:val="00554223"/>
    <w:rsid w:val="00554550"/>
    <w:rsid w:val="005579EF"/>
    <w:rsid w:val="00560CB9"/>
    <w:rsid w:val="0056233F"/>
    <w:rsid w:val="005655D9"/>
    <w:rsid w:val="00571B0E"/>
    <w:rsid w:val="00571F26"/>
    <w:rsid w:val="00573CF8"/>
    <w:rsid w:val="00586CAB"/>
    <w:rsid w:val="00590573"/>
    <w:rsid w:val="00590CEB"/>
    <w:rsid w:val="005916DA"/>
    <w:rsid w:val="00591B98"/>
    <w:rsid w:val="005923AC"/>
    <w:rsid w:val="00595563"/>
    <w:rsid w:val="005A18A8"/>
    <w:rsid w:val="005A2048"/>
    <w:rsid w:val="005A3F3D"/>
    <w:rsid w:val="005A5153"/>
    <w:rsid w:val="005A676D"/>
    <w:rsid w:val="005A6E28"/>
    <w:rsid w:val="005B136C"/>
    <w:rsid w:val="005B290E"/>
    <w:rsid w:val="005B40F9"/>
    <w:rsid w:val="005B7151"/>
    <w:rsid w:val="005B7D6B"/>
    <w:rsid w:val="005C662F"/>
    <w:rsid w:val="005D0E7C"/>
    <w:rsid w:val="005D354E"/>
    <w:rsid w:val="005D6706"/>
    <w:rsid w:val="005F1FCA"/>
    <w:rsid w:val="005F42F5"/>
    <w:rsid w:val="005F5FFB"/>
    <w:rsid w:val="005F619C"/>
    <w:rsid w:val="005F6EE5"/>
    <w:rsid w:val="005F71F8"/>
    <w:rsid w:val="00601947"/>
    <w:rsid w:val="00602B01"/>
    <w:rsid w:val="00607BA1"/>
    <w:rsid w:val="00610571"/>
    <w:rsid w:val="00613D7C"/>
    <w:rsid w:val="006144F2"/>
    <w:rsid w:val="0061591D"/>
    <w:rsid w:val="006253E1"/>
    <w:rsid w:val="00635D4B"/>
    <w:rsid w:val="0063607B"/>
    <w:rsid w:val="006371F2"/>
    <w:rsid w:val="00643F58"/>
    <w:rsid w:val="00645D46"/>
    <w:rsid w:val="00651B2B"/>
    <w:rsid w:val="006530A5"/>
    <w:rsid w:val="00654DDD"/>
    <w:rsid w:val="006578A9"/>
    <w:rsid w:val="00657E9F"/>
    <w:rsid w:val="00660831"/>
    <w:rsid w:val="00662FCC"/>
    <w:rsid w:val="00670249"/>
    <w:rsid w:val="00670A49"/>
    <w:rsid w:val="00671528"/>
    <w:rsid w:val="00671C89"/>
    <w:rsid w:val="00672695"/>
    <w:rsid w:val="00683160"/>
    <w:rsid w:val="00683794"/>
    <w:rsid w:val="006847A9"/>
    <w:rsid w:val="0068707F"/>
    <w:rsid w:val="00690CAC"/>
    <w:rsid w:val="006933CF"/>
    <w:rsid w:val="006961C6"/>
    <w:rsid w:val="00696CF5"/>
    <w:rsid w:val="006A153A"/>
    <w:rsid w:val="006A2DB7"/>
    <w:rsid w:val="006A53EA"/>
    <w:rsid w:val="006B208A"/>
    <w:rsid w:val="006B75FE"/>
    <w:rsid w:val="006B7DEB"/>
    <w:rsid w:val="006C218D"/>
    <w:rsid w:val="006C52B1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2CC8"/>
    <w:rsid w:val="006F684B"/>
    <w:rsid w:val="007003E1"/>
    <w:rsid w:val="00700E4F"/>
    <w:rsid w:val="00702306"/>
    <w:rsid w:val="00702A29"/>
    <w:rsid w:val="00705087"/>
    <w:rsid w:val="007069D0"/>
    <w:rsid w:val="00712697"/>
    <w:rsid w:val="0071573C"/>
    <w:rsid w:val="00715EDF"/>
    <w:rsid w:val="00717840"/>
    <w:rsid w:val="007207D2"/>
    <w:rsid w:val="00724149"/>
    <w:rsid w:val="00724302"/>
    <w:rsid w:val="00730D81"/>
    <w:rsid w:val="00731696"/>
    <w:rsid w:val="00731765"/>
    <w:rsid w:val="00733CFF"/>
    <w:rsid w:val="007376DE"/>
    <w:rsid w:val="00751FF5"/>
    <w:rsid w:val="00760805"/>
    <w:rsid w:val="0076251A"/>
    <w:rsid w:val="00764CAC"/>
    <w:rsid w:val="00766DDF"/>
    <w:rsid w:val="0077332F"/>
    <w:rsid w:val="007740E4"/>
    <w:rsid w:val="00775A74"/>
    <w:rsid w:val="0078044D"/>
    <w:rsid w:val="00784E8C"/>
    <w:rsid w:val="007A4CAD"/>
    <w:rsid w:val="007A6FF6"/>
    <w:rsid w:val="007B2C56"/>
    <w:rsid w:val="007B5EC7"/>
    <w:rsid w:val="007C01B4"/>
    <w:rsid w:val="007C02D1"/>
    <w:rsid w:val="007C1AB2"/>
    <w:rsid w:val="007C2380"/>
    <w:rsid w:val="007C5017"/>
    <w:rsid w:val="007C5C25"/>
    <w:rsid w:val="007D04D1"/>
    <w:rsid w:val="007D0694"/>
    <w:rsid w:val="007D0958"/>
    <w:rsid w:val="007D0A82"/>
    <w:rsid w:val="007D28F7"/>
    <w:rsid w:val="007D2D1A"/>
    <w:rsid w:val="007D5E8F"/>
    <w:rsid w:val="007D6ACA"/>
    <w:rsid w:val="007D71B8"/>
    <w:rsid w:val="007E4D89"/>
    <w:rsid w:val="007E693A"/>
    <w:rsid w:val="007E6CB3"/>
    <w:rsid w:val="007F0C32"/>
    <w:rsid w:val="007F1C24"/>
    <w:rsid w:val="007F3982"/>
    <w:rsid w:val="007F778F"/>
    <w:rsid w:val="00802028"/>
    <w:rsid w:val="00806DBC"/>
    <w:rsid w:val="008077BF"/>
    <w:rsid w:val="00807BF6"/>
    <w:rsid w:val="0081694F"/>
    <w:rsid w:val="008173C5"/>
    <w:rsid w:val="00820E9D"/>
    <w:rsid w:val="00822ED9"/>
    <w:rsid w:val="00823626"/>
    <w:rsid w:val="00823F09"/>
    <w:rsid w:val="00825455"/>
    <w:rsid w:val="0083653E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50B1"/>
    <w:rsid w:val="00856105"/>
    <w:rsid w:val="0086194F"/>
    <w:rsid w:val="008663E9"/>
    <w:rsid w:val="008664C4"/>
    <w:rsid w:val="00866625"/>
    <w:rsid w:val="00867E6D"/>
    <w:rsid w:val="00870C4E"/>
    <w:rsid w:val="00872420"/>
    <w:rsid w:val="0087287A"/>
    <w:rsid w:val="00873BDD"/>
    <w:rsid w:val="00875DCB"/>
    <w:rsid w:val="00880643"/>
    <w:rsid w:val="00882950"/>
    <w:rsid w:val="00885077"/>
    <w:rsid w:val="00887186"/>
    <w:rsid w:val="008878DE"/>
    <w:rsid w:val="0088797D"/>
    <w:rsid w:val="008928A6"/>
    <w:rsid w:val="008933B4"/>
    <w:rsid w:val="008942FB"/>
    <w:rsid w:val="00894B4C"/>
    <w:rsid w:val="00894C16"/>
    <w:rsid w:val="00894F28"/>
    <w:rsid w:val="00896C8E"/>
    <w:rsid w:val="008A3E6D"/>
    <w:rsid w:val="008A52A4"/>
    <w:rsid w:val="008A5837"/>
    <w:rsid w:val="008A67CF"/>
    <w:rsid w:val="008A79AB"/>
    <w:rsid w:val="008B14DB"/>
    <w:rsid w:val="008B54E9"/>
    <w:rsid w:val="008D1E2C"/>
    <w:rsid w:val="008D5F93"/>
    <w:rsid w:val="008D621D"/>
    <w:rsid w:val="008D7720"/>
    <w:rsid w:val="008E0F01"/>
    <w:rsid w:val="008E14AE"/>
    <w:rsid w:val="008E1FF4"/>
    <w:rsid w:val="008E2C78"/>
    <w:rsid w:val="008E58B9"/>
    <w:rsid w:val="008F4976"/>
    <w:rsid w:val="008F5A5C"/>
    <w:rsid w:val="008F76CA"/>
    <w:rsid w:val="00900EF4"/>
    <w:rsid w:val="00902BA3"/>
    <w:rsid w:val="00904324"/>
    <w:rsid w:val="00906CE8"/>
    <w:rsid w:val="009074AA"/>
    <w:rsid w:val="009111EC"/>
    <w:rsid w:val="00911427"/>
    <w:rsid w:val="00915369"/>
    <w:rsid w:val="00915FA4"/>
    <w:rsid w:val="00916D1A"/>
    <w:rsid w:val="00917130"/>
    <w:rsid w:val="009235D8"/>
    <w:rsid w:val="00924540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2CB1"/>
    <w:rsid w:val="009743D1"/>
    <w:rsid w:val="00974D97"/>
    <w:rsid w:val="00974ED5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51F2"/>
    <w:rsid w:val="009E606F"/>
    <w:rsid w:val="009E6AD8"/>
    <w:rsid w:val="009E7EAB"/>
    <w:rsid w:val="009F1AFD"/>
    <w:rsid w:val="009F70CD"/>
    <w:rsid w:val="009F7F12"/>
    <w:rsid w:val="00A0221E"/>
    <w:rsid w:val="00A03DE1"/>
    <w:rsid w:val="00A1418A"/>
    <w:rsid w:val="00A14715"/>
    <w:rsid w:val="00A15BB2"/>
    <w:rsid w:val="00A1600D"/>
    <w:rsid w:val="00A17B86"/>
    <w:rsid w:val="00A25E92"/>
    <w:rsid w:val="00A26B46"/>
    <w:rsid w:val="00A27D9A"/>
    <w:rsid w:val="00A30829"/>
    <w:rsid w:val="00A33AA0"/>
    <w:rsid w:val="00A33BC1"/>
    <w:rsid w:val="00A34B15"/>
    <w:rsid w:val="00A371E9"/>
    <w:rsid w:val="00A42A1E"/>
    <w:rsid w:val="00A42CF9"/>
    <w:rsid w:val="00A44A7B"/>
    <w:rsid w:val="00A45B43"/>
    <w:rsid w:val="00A46EC7"/>
    <w:rsid w:val="00A51A85"/>
    <w:rsid w:val="00A52CB7"/>
    <w:rsid w:val="00A54119"/>
    <w:rsid w:val="00A61553"/>
    <w:rsid w:val="00A65205"/>
    <w:rsid w:val="00A70040"/>
    <w:rsid w:val="00A73BC1"/>
    <w:rsid w:val="00A73C22"/>
    <w:rsid w:val="00A7764A"/>
    <w:rsid w:val="00A776EA"/>
    <w:rsid w:val="00A808A4"/>
    <w:rsid w:val="00A81208"/>
    <w:rsid w:val="00A81730"/>
    <w:rsid w:val="00A82523"/>
    <w:rsid w:val="00A83204"/>
    <w:rsid w:val="00A84354"/>
    <w:rsid w:val="00A84CBC"/>
    <w:rsid w:val="00A853EA"/>
    <w:rsid w:val="00A85B6F"/>
    <w:rsid w:val="00A864E5"/>
    <w:rsid w:val="00A87DF4"/>
    <w:rsid w:val="00A914B2"/>
    <w:rsid w:val="00A92B7B"/>
    <w:rsid w:val="00AA2E5F"/>
    <w:rsid w:val="00AA3FFF"/>
    <w:rsid w:val="00AB0BF7"/>
    <w:rsid w:val="00AB408A"/>
    <w:rsid w:val="00AB59BE"/>
    <w:rsid w:val="00AB5D06"/>
    <w:rsid w:val="00AB6FE0"/>
    <w:rsid w:val="00AB7229"/>
    <w:rsid w:val="00AC014C"/>
    <w:rsid w:val="00AC1249"/>
    <w:rsid w:val="00AC3E83"/>
    <w:rsid w:val="00AC5DDF"/>
    <w:rsid w:val="00AD29FF"/>
    <w:rsid w:val="00AD50F0"/>
    <w:rsid w:val="00AD611A"/>
    <w:rsid w:val="00AD6F47"/>
    <w:rsid w:val="00AE1116"/>
    <w:rsid w:val="00AE55C6"/>
    <w:rsid w:val="00AE6599"/>
    <w:rsid w:val="00AE668B"/>
    <w:rsid w:val="00AE7205"/>
    <w:rsid w:val="00B15688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2653"/>
    <w:rsid w:val="00B443F4"/>
    <w:rsid w:val="00B44DF1"/>
    <w:rsid w:val="00B459A2"/>
    <w:rsid w:val="00B472D3"/>
    <w:rsid w:val="00B4789F"/>
    <w:rsid w:val="00B517BA"/>
    <w:rsid w:val="00B51D11"/>
    <w:rsid w:val="00B53531"/>
    <w:rsid w:val="00B53D55"/>
    <w:rsid w:val="00B54483"/>
    <w:rsid w:val="00B55E07"/>
    <w:rsid w:val="00B649B5"/>
    <w:rsid w:val="00B65CD4"/>
    <w:rsid w:val="00B6602F"/>
    <w:rsid w:val="00B70A20"/>
    <w:rsid w:val="00B71D6C"/>
    <w:rsid w:val="00B73873"/>
    <w:rsid w:val="00B75190"/>
    <w:rsid w:val="00B76C1F"/>
    <w:rsid w:val="00B807DA"/>
    <w:rsid w:val="00B81357"/>
    <w:rsid w:val="00B81439"/>
    <w:rsid w:val="00B82E3C"/>
    <w:rsid w:val="00B83E7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26E8"/>
    <w:rsid w:val="00C13AF3"/>
    <w:rsid w:val="00C14CBA"/>
    <w:rsid w:val="00C1528F"/>
    <w:rsid w:val="00C15414"/>
    <w:rsid w:val="00C178A0"/>
    <w:rsid w:val="00C231B3"/>
    <w:rsid w:val="00C2553F"/>
    <w:rsid w:val="00C272B7"/>
    <w:rsid w:val="00C33540"/>
    <w:rsid w:val="00C34C57"/>
    <w:rsid w:val="00C4040A"/>
    <w:rsid w:val="00C51509"/>
    <w:rsid w:val="00C53D28"/>
    <w:rsid w:val="00C6704D"/>
    <w:rsid w:val="00C70C7A"/>
    <w:rsid w:val="00C71CB2"/>
    <w:rsid w:val="00C75CA8"/>
    <w:rsid w:val="00C76FAE"/>
    <w:rsid w:val="00C77EA4"/>
    <w:rsid w:val="00C80E86"/>
    <w:rsid w:val="00C81BC7"/>
    <w:rsid w:val="00C82008"/>
    <w:rsid w:val="00C832BD"/>
    <w:rsid w:val="00C83788"/>
    <w:rsid w:val="00C87281"/>
    <w:rsid w:val="00C87BF8"/>
    <w:rsid w:val="00C912BE"/>
    <w:rsid w:val="00C92618"/>
    <w:rsid w:val="00C93217"/>
    <w:rsid w:val="00C93E80"/>
    <w:rsid w:val="00C94798"/>
    <w:rsid w:val="00C958BB"/>
    <w:rsid w:val="00C95A71"/>
    <w:rsid w:val="00C963A5"/>
    <w:rsid w:val="00CA1A8F"/>
    <w:rsid w:val="00CA2AE9"/>
    <w:rsid w:val="00CA5280"/>
    <w:rsid w:val="00CA52E9"/>
    <w:rsid w:val="00CB2300"/>
    <w:rsid w:val="00CB686A"/>
    <w:rsid w:val="00CC6E5D"/>
    <w:rsid w:val="00CC721C"/>
    <w:rsid w:val="00CD0D8A"/>
    <w:rsid w:val="00CD4A29"/>
    <w:rsid w:val="00CE6A22"/>
    <w:rsid w:val="00CE70D0"/>
    <w:rsid w:val="00CF2AD9"/>
    <w:rsid w:val="00CF4689"/>
    <w:rsid w:val="00CF5C24"/>
    <w:rsid w:val="00D049A2"/>
    <w:rsid w:val="00D04AC5"/>
    <w:rsid w:val="00D109B3"/>
    <w:rsid w:val="00D1289B"/>
    <w:rsid w:val="00D129F9"/>
    <w:rsid w:val="00D306CD"/>
    <w:rsid w:val="00D331BF"/>
    <w:rsid w:val="00D36F92"/>
    <w:rsid w:val="00D4193A"/>
    <w:rsid w:val="00D41CCC"/>
    <w:rsid w:val="00D47F80"/>
    <w:rsid w:val="00D517C6"/>
    <w:rsid w:val="00D5344F"/>
    <w:rsid w:val="00D5665E"/>
    <w:rsid w:val="00D56780"/>
    <w:rsid w:val="00D63E39"/>
    <w:rsid w:val="00D65787"/>
    <w:rsid w:val="00D660F7"/>
    <w:rsid w:val="00D71E0F"/>
    <w:rsid w:val="00D737AE"/>
    <w:rsid w:val="00D74EA4"/>
    <w:rsid w:val="00D75D17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5A3E"/>
    <w:rsid w:val="00DA62A7"/>
    <w:rsid w:val="00DA661D"/>
    <w:rsid w:val="00DA6E87"/>
    <w:rsid w:val="00DB08E9"/>
    <w:rsid w:val="00DB0CF3"/>
    <w:rsid w:val="00DB1A6D"/>
    <w:rsid w:val="00DB23BC"/>
    <w:rsid w:val="00DB7BB7"/>
    <w:rsid w:val="00DC054E"/>
    <w:rsid w:val="00DC143B"/>
    <w:rsid w:val="00DC2A4C"/>
    <w:rsid w:val="00DC75DC"/>
    <w:rsid w:val="00DD217D"/>
    <w:rsid w:val="00DD2ACD"/>
    <w:rsid w:val="00DD569D"/>
    <w:rsid w:val="00DE13E9"/>
    <w:rsid w:val="00DE5572"/>
    <w:rsid w:val="00DF04D0"/>
    <w:rsid w:val="00DF0857"/>
    <w:rsid w:val="00DF3435"/>
    <w:rsid w:val="00DF3DE7"/>
    <w:rsid w:val="00DF574F"/>
    <w:rsid w:val="00E022FB"/>
    <w:rsid w:val="00E031F0"/>
    <w:rsid w:val="00E04FF5"/>
    <w:rsid w:val="00E060C3"/>
    <w:rsid w:val="00E10278"/>
    <w:rsid w:val="00E1266F"/>
    <w:rsid w:val="00E133AB"/>
    <w:rsid w:val="00E14A66"/>
    <w:rsid w:val="00E175FC"/>
    <w:rsid w:val="00E207E4"/>
    <w:rsid w:val="00E229FC"/>
    <w:rsid w:val="00E23178"/>
    <w:rsid w:val="00E27A07"/>
    <w:rsid w:val="00E30565"/>
    <w:rsid w:val="00E30DF5"/>
    <w:rsid w:val="00E368BE"/>
    <w:rsid w:val="00E37B81"/>
    <w:rsid w:val="00E400E9"/>
    <w:rsid w:val="00E40FA1"/>
    <w:rsid w:val="00E44DC9"/>
    <w:rsid w:val="00E45895"/>
    <w:rsid w:val="00E50037"/>
    <w:rsid w:val="00E5536C"/>
    <w:rsid w:val="00E659F1"/>
    <w:rsid w:val="00E679C6"/>
    <w:rsid w:val="00E72723"/>
    <w:rsid w:val="00E76F80"/>
    <w:rsid w:val="00E80569"/>
    <w:rsid w:val="00E828E4"/>
    <w:rsid w:val="00E94018"/>
    <w:rsid w:val="00E94D13"/>
    <w:rsid w:val="00E967BF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FCF"/>
    <w:rsid w:val="00ED5282"/>
    <w:rsid w:val="00ED7FCF"/>
    <w:rsid w:val="00EE291F"/>
    <w:rsid w:val="00EE30F0"/>
    <w:rsid w:val="00EE311E"/>
    <w:rsid w:val="00EE4D1E"/>
    <w:rsid w:val="00EE5BAB"/>
    <w:rsid w:val="00EE6256"/>
    <w:rsid w:val="00EE67BE"/>
    <w:rsid w:val="00EF279D"/>
    <w:rsid w:val="00EF7021"/>
    <w:rsid w:val="00F02C4E"/>
    <w:rsid w:val="00F03AA7"/>
    <w:rsid w:val="00F06DB0"/>
    <w:rsid w:val="00F071A4"/>
    <w:rsid w:val="00F077D2"/>
    <w:rsid w:val="00F07F27"/>
    <w:rsid w:val="00F1357B"/>
    <w:rsid w:val="00F14792"/>
    <w:rsid w:val="00F2009A"/>
    <w:rsid w:val="00F225C6"/>
    <w:rsid w:val="00F2260F"/>
    <w:rsid w:val="00F22C93"/>
    <w:rsid w:val="00F32707"/>
    <w:rsid w:val="00F374AE"/>
    <w:rsid w:val="00F4265E"/>
    <w:rsid w:val="00F44C43"/>
    <w:rsid w:val="00F50BC5"/>
    <w:rsid w:val="00F51B5C"/>
    <w:rsid w:val="00F54267"/>
    <w:rsid w:val="00F5766D"/>
    <w:rsid w:val="00F60F1C"/>
    <w:rsid w:val="00F6216D"/>
    <w:rsid w:val="00F6564A"/>
    <w:rsid w:val="00F65BA5"/>
    <w:rsid w:val="00F75A84"/>
    <w:rsid w:val="00F76B41"/>
    <w:rsid w:val="00F77040"/>
    <w:rsid w:val="00F80C6E"/>
    <w:rsid w:val="00F825F3"/>
    <w:rsid w:val="00F867B1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6F17"/>
    <w:rsid w:val="00FD7439"/>
    <w:rsid w:val="00FD74AD"/>
    <w:rsid w:val="00FE055F"/>
    <w:rsid w:val="00FE2D93"/>
    <w:rsid w:val="00FE3DE5"/>
    <w:rsid w:val="00FF0100"/>
    <w:rsid w:val="00FF0A45"/>
    <w:rsid w:val="00FF2439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3C58FD5"/>
  <w15:docId w15:val="{47DBD887-6771-468D-AC1A-6F7D335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843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1"/>
      </w:numPr>
    </w:pPr>
  </w:style>
  <w:style w:type="character" w:customStyle="1" w:styleId="MenoPendente1">
    <w:name w:val="Menção Pendente1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character" w:customStyle="1" w:styleId="Ttulo9Car">
    <w:name w:val="Título 9 Car"/>
    <w:basedOn w:val="Fuentedeprrafopredeter"/>
    <w:link w:val="Ttulo9"/>
    <w:semiHidden/>
    <w:rsid w:val="00A84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customStyle="1" w:styleId="Ttulo2Car">
    <w:name w:val="Título 2 Car"/>
    <w:link w:val="Ttulo2"/>
    <w:rsid w:val="00A84354"/>
    <w:rPr>
      <w:rFonts w:ascii="Arial" w:hAnsi="Arial"/>
      <w:b/>
      <w:sz w:val="24"/>
      <w:lang w:val="es-MX" w:eastAsia="es-ES"/>
    </w:rPr>
  </w:style>
  <w:style w:type="character" w:customStyle="1" w:styleId="EncabezadoCar">
    <w:name w:val="Encabezado Car"/>
    <w:link w:val="Encabezado"/>
    <w:uiPriority w:val="99"/>
    <w:rsid w:val="00A84354"/>
    <w:rPr>
      <w:rFonts w:ascii="Arial" w:hAnsi="Arial"/>
      <w:snapToGrid w:val="0"/>
      <w:sz w:val="24"/>
      <w:lang w:val="es-ES_tradnl" w:eastAsia="es-ES"/>
    </w:rPr>
  </w:style>
  <w:style w:type="paragraph" w:customStyle="1" w:styleId="xs2">
    <w:name w:val="x_s2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xapple-converted-space">
    <w:name w:val="x_apple-converted-space"/>
    <w:rsid w:val="00A84354"/>
  </w:style>
  <w:style w:type="character" w:customStyle="1" w:styleId="xs5">
    <w:name w:val="x_s5"/>
    <w:rsid w:val="00A84354"/>
  </w:style>
  <w:style w:type="paragraph" w:customStyle="1" w:styleId="xmsonormal">
    <w:name w:val="x_msonormal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customStyle="1" w:styleId="xmsolistparagraph">
    <w:name w:val="x_msolistparagraph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86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30472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9043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UY" w:eastAsia="es-UY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904324"/>
    <w:pPr>
      <w:numPr>
        <w:numId w:val="12"/>
      </w:numPr>
    </w:pPr>
  </w:style>
  <w:style w:type="character" w:styleId="Textoennegrita">
    <w:name w:val="Strong"/>
    <w:basedOn w:val="Fuentedeprrafopredeter"/>
    <w:qFormat/>
    <w:rsid w:val="00DA6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2266-E41D-46F6-A506-8A5F70D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1029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María Eugenia Gómez Urbieta</cp:lastModifiedBy>
  <cp:revision>10</cp:revision>
  <cp:lastPrinted>2022-10-14T18:00:00Z</cp:lastPrinted>
  <dcterms:created xsi:type="dcterms:W3CDTF">2022-10-17T13:58:00Z</dcterms:created>
  <dcterms:modified xsi:type="dcterms:W3CDTF">2022-10-17T17:50:00Z</dcterms:modified>
</cp:coreProperties>
</file>