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BA563" w14:textId="77777777" w:rsidR="001C133E" w:rsidRPr="001C133E" w:rsidRDefault="001C133E" w:rsidP="001C133E">
      <w:pPr>
        <w:tabs>
          <w:tab w:val="left" w:pos="6401"/>
        </w:tabs>
        <w:spacing w:after="0" w:line="240" w:lineRule="auto"/>
        <w:rPr>
          <w:rFonts w:ascii="Arial" w:hAnsi="Arial" w:cs="Arial"/>
          <w:b/>
          <w:sz w:val="24"/>
          <w:szCs w:val="24"/>
          <w:lang w:val="pt-BR"/>
        </w:rPr>
      </w:pPr>
    </w:p>
    <w:p w14:paraId="73FA0EC9" w14:textId="77777777" w:rsidR="00AB49CF" w:rsidRDefault="00AB49CF" w:rsidP="001C133E">
      <w:pPr>
        <w:tabs>
          <w:tab w:val="left" w:pos="6401"/>
        </w:tabs>
        <w:spacing w:after="0" w:line="240" w:lineRule="auto"/>
        <w:rPr>
          <w:rFonts w:ascii="Arial" w:hAnsi="Arial" w:cs="Arial"/>
          <w:b/>
          <w:sz w:val="24"/>
          <w:szCs w:val="24"/>
          <w:lang w:val="pt-BR"/>
        </w:rPr>
      </w:pPr>
    </w:p>
    <w:p w14:paraId="6AA49EB4" w14:textId="792DFAC3" w:rsidR="001C133E" w:rsidRPr="001C133E" w:rsidRDefault="001C133E" w:rsidP="001C133E">
      <w:pPr>
        <w:tabs>
          <w:tab w:val="left" w:pos="6401"/>
        </w:tabs>
        <w:spacing w:after="0" w:line="240" w:lineRule="auto"/>
        <w:rPr>
          <w:rFonts w:ascii="Arial" w:hAnsi="Arial" w:cs="Arial"/>
          <w:b/>
          <w:sz w:val="24"/>
          <w:szCs w:val="24"/>
          <w:lang w:val="pt-BR"/>
        </w:rPr>
      </w:pPr>
      <w:r w:rsidRPr="001C133E">
        <w:rPr>
          <w:rFonts w:ascii="Arial" w:hAnsi="Arial" w:cs="Arial"/>
          <w:b/>
          <w:sz w:val="24"/>
          <w:szCs w:val="24"/>
          <w:lang w:val="pt-BR"/>
        </w:rPr>
        <w:t>MERCOSUR/REMPM/CT/</w:t>
      </w:r>
      <w:r w:rsidR="00AB49CF">
        <w:rPr>
          <w:rFonts w:ascii="Arial" w:hAnsi="Arial" w:cs="Arial"/>
          <w:b/>
          <w:sz w:val="24"/>
          <w:szCs w:val="24"/>
          <w:lang w:val="pt-BR"/>
        </w:rPr>
        <w:t>CCOT/</w:t>
      </w:r>
      <w:r>
        <w:rPr>
          <w:rFonts w:ascii="Arial" w:hAnsi="Arial" w:cs="Arial"/>
          <w:b/>
          <w:sz w:val="24"/>
          <w:szCs w:val="24"/>
          <w:lang w:val="pt-BR"/>
        </w:rPr>
        <w:t>SCTN</w:t>
      </w:r>
      <w:r w:rsidRPr="001C133E">
        <w:rPr>
          <w:rFonts w:ascii="Arial" w:hAnsi="Arial" w:cs="Arial"/>
          <w:b/>
          <w:sz w:val="24"/>
          <w:szCs w:val="24"/>
          <w:lang w:val="pt-BR"/>
        </w:rPr>
        <w:t>/ACTA Nº 01/22</w:t>
      </w:r>
    </w:p>
    <w:p w14:paraId="48695421" w14:textId="77777777" w:rsidR="001C133E" w:rsidRPr="001C133E" w:rsidRDefault="001C133E" w:rsidP="001C133E">
      <w:pPr>
        <w:spacing w:after="0" w:line="240" w:lineRule="auto"/>
        <w:jc w:val="center"/>
        <w:rPr>
          <w:rFonts w:ascii="Arial" w:eastAsia="Calibri" w:hAnsi="Arial" w:cs="Arial"/>
          <w:b/>
          <w:sz w:val="24"/>
          <w:szCs w:val="24"/>
          <w:lang w:val="pt-BR"/>
        </w:rPr>
      </w:pPr>
    </w:p>
    <w:p w14:paraId="0BCD4FAE" w14:textId="2C8F70CB" w:rsidR="001C133E" w:rsidRPr="001C133E" w:rsidRDefault="001C133E" w:rsidP="001C133E">
      <w:pPr>
        <w:spacing w:after="0" w:line="240" w:lineRule="auto"/>
        <w:jc w:val="center"/>
        <w:rPr>
          <w:rFonts w:ascii="Arial" w:eastAsia="Calibri" w:hAnsi="Arial" w:cs="Arial"/>
          <w:b/>
          <w:sz w:val="24"/>
          <w:szCs w:val="24"/>
        </w:rPr>
      </w:pPr>
      <w:r w:rsidRPr="001C133E">
        <w:rPr>
          <w:rFonts w:ascii="Arial" w:eastAsia="Calibri" w:hAnsi="Arial" w:cs="Arial"/>
          <w:b/>
          <w:sz w:val="24"/>
          <w:szCs w:val="24"/>
        </w:rPr>
        <w:t xml:space="preserve">REUNIÓN DE LA SUBCOMISIÓN DE </w:t>
      </w:r>
      <w:r>
        <w:rPr>
          <w:rFonts w:ascii="Arial" w:eastAsia="Calibri" w:hAnsi="Arial" w:cs="Arial"/>
          <w:b/>
          <w:sz w:val="24"/>
          <w:szCs w:val="24"/>
        </w:rPr>
        <w:t>TRABAJO DE NARCOCRIMINALIDAD</w:t>
      </w:r>
      <w:r w:rsidRPr="001C133E">
        <w:rPr>
          <w:rFonts w:ascii="Arial" w:eastAsia="Calibri" w:hAnsi="Arial" w:cs="Arial"/>
          <w:b/>
          <w:sz w:val="24"/>
          <w:szCs w:val="24"/>
        </w:rPr>
        <w:t xml:space="preserve"> (SC</w:t>
      </w:r>
      <w:r>
        <w:rPr>
          <w:rFonts w:ascii="Arial" w:eastAsia="Calibri" w:hAnsi="Arial" w:cs="Arial"/>
          <w:b/>
          <w:sz w:val="24"/>
          <w:szCs w:val="24"/>
        </w:rPr>
        <w:t>TN</w:t>
      </w:r>
      <w:r w:rsidRPr="001C133E">
        <w:rPr>
          <w:rFonts w:ascii="Arial" w:eastAsia="Calibri" w:hAnsi="Arial" w:cs="Arial"/>
          <w:b/>
          <w:sz w:val="24"/>
          <w:szCs w:val="24"/>
        </w:rPr>
        <w:t>)</w:t>
      </w:r>
    </w:p>
    <w:p w14:paraId="5E7689F2" w14:textId="77777777" w:rsidR="001C133E" w:rsidRPr="001C133E" w:rsidRDefault="001C133E" w:rsidP="001C133E">
      <w:pPr>
        <w:spacing w:after="0" w:line="240" w:lineRule="auto"/>
        <w:jc w:val="center"/>
        <w:rPr>
          <w:rFonts w:ascii="Arial" w:eastAsia="Calibri" w:hAnsi="Arial" w:cs="Arial"/>
          <w:b/>
          <w:sz w:val="24"/>
          <w:szCs w:val="24"/>
        </w:rPr>
      </w:pPr>
    </w:p>
    <w:p w14:paraId="4A0A203F" w14:textId="694CB1FF" w:rsidR="001C133E" w:rsidRPr="007E5675" w:rsidRDefault="001C133E" w:rsidP="001C133E">
      <w:pPr>
        <w:spacing w:after="0" w:line="240" w:lineRule="auto"/>
        <w:jc w:val="both"/>
        <w:rPr>
          <w:rFonts w:ascii="Arial" w:hAnsi="Arial" w:cs="Arial"/>
          <w:sz w:val="24"/>
          <w:szCs w:val="24"/>
          <w:lang w:val="es-ES"/>
        </w:rPr>
      </w:pPr>
      <w:r w:rsidRPr="001C133E">
        <w:rPr>
          <w:rFonts w:ascii="Arial" w:hAnsi="Arial" w:cs="Arial"/>
          <w:sz w:val="24"/>
          <w:szCs w:val="24"/>
          <w:lang w:val="es-ES"/>
        </w:rPr>
        <w:t xml:space="preserve">Se realizó entre los días </w:t>
      </w:r>
      <w:r w:rsidR="00AB49CF">
        <w:rPr>
          <w:rFonts w:ascii="Arial" w:hAnsi="Arial" w:cs="Arial"/>
          <w:sz w:val="24"/>
          <w:szCs w:val="24"/>
          <w:lang w:val="es-ES"/>
        </w:rPr>
        <w:t>18</w:t>
      </w:r>
      <w:r w:rsidRPr="001C133E">
        <w:rPr>
          <w:rFonts w:ascii="Arial" w:hAnsi="Arial" w:cs="Arial"/>
          <w:sz w:val="24"/>
          <w:szCs w:val="24"/>
          <w:lang w:val="es-ES"/>
        </w:rPr>
        <w:t xml:space="preserve"> de octubre de 2022, en ejercicio de la Presidencia </w:t>
      </w:r>
      <w:r w:rsidRPr="001C133E">
        <w:rPr>
          <w:rFonts w:ascii="Arial" w:hAnsi="Arial" w:cs="Arial"/>
          <w:i/>
          <w:iCs/>
          <w:sz w:val="24"/>
          <w:szCs w:val="24"/>
          <w:lang w:val="es-ES"/>
        </w:rPr>
        <w:t>Pro Tempore</w:t>
      </w:r>
      <w:r w:rsidRPr="001C133E">
        <w:rPr>
          <w:rFonts w:ascii="Arial" w:hAnsi="Arial" w:cs="Arial"/>
          <w:sz w:val="24"/>
          <w:szCs w:val="24"/>
          <w:lang w:val="es-ES"/>
        </w:rPr>
        <w:t xml:space="preserve"> de Uruguay (PPTU), durante</w:t>
      </w:r>
      <w:r w:rsidRPr="001C133E">
        <w:rPr>
          <w:rFonts w:ascii="Arial" w:eastAsia="Times New Roman" w:hAnsi="Arial" w:cs="Arial"/>
          <w:sz w:val="24"/>
          <w:szCs w:val="24"/>
          <w:lang w:eastAsia="es-ES"/>
        </w:rPr>
        <w:t xml:space="preserve"> la </w:t>
      </w:r>
      <w:r w:rsidRPr="00E255EA">
        <w:rPr>
          <w:rFonts w:ascii="Arial" w:eastAsia="Times New Roman" w:hAnsi="Arial" w:cs="Arial"/>
          <w:sz w:val="24"/>
          <w:szCs w:val="24"/>
          <w:lang w:eastAsia="es-ES"/>
        </w:rPr>
        <w:t>XXXII</w:t>
      </w:r>
      <w:r w:rsidRPr="001C133E">
        <w:rPr>
          <w:rFonts w:ascii="Arial" w:eastAsia="Times New Roman" w:hAnsi="Arial" w:cs="Arial"/>
          <w:sz w:val="24"/>
          <w:szCs w:val="24"/>
          <w:lang w:eastAsia="es-ES"/>
        </w:rPr>
        <w:t xml:space="preserve"> Reunión Especializada de Ministerios Públicos del MERCOSUR, la reunión de la Subcomisión de </w:t>
      </w:r>
      <w:r>
        <w:rPr>
          <w:rFonts w:ascii="Arial" w:eastAsia="Times New Roman" w:hAnsi="Arial" w:cs="Arial"/>
          <w:sz w:val="24"/>
          <w:szCs w:val="24"/>
          <w:lang w:eastAsia="es-ES"/>
        </w:rPr>
        <w:t>Trabajo de Narcocriminalidad</w:t>
      </w:r>
      <w:r w:rsidRPr="001C133E">
        <w:rPr>
          <w:rFonts w:ascii="Arial" w:hAnsi="Arial" w:cs="Arial"/>
          <w:sz w:val="24"/>
          <w:szCs w:val="24"/>
          <w:lang w:val="es-ES"/>
        </w:rPr>
        <w:t>, por sistema de videoconferencia, conforme se establece en la Resolución GMC N° 19/12, con la participación de las delegaciones de Argentina, Brasil, Paraguay y Uruguay</w:t>
      </w:r>
      <w:r w:rsidRPr="007E5675">
        <w:rPr>
          <w:rFonts w:ascii="Arial" w:hAnsi="Arial" w:cs="Arial"/>
          <w:sz w:val="24"/>
          <w:szCs w:val="24"/>
          <w:lang w:val="es-ES"/>
        </w:rPr>
        <w:t>. La delegación de Bolivia participó de conformidad con lo establecido en la Decisión CMC N° 13/15.</w:t>
      </w:r>
      <w:r w:rsidR="007E5675" w:rsidRPr="007E5675">
        <w:rPr>
          <w:rFonts w:ascii="Arial" w:hAnsi="Arial" w:cs="Arial"/>
          <w:sz w:val="24"/>
          <w:szCs w:val="24"/>
          <w:lang w:val="es-ES"/>
        </w:rPr>
        <w:t xml:space="preserve"> </w:t>
      </w:r>
      <w:r w:rsidRPr="007E5675">
        <w:rPr>
          <w:rFonts w:ascii="Arial" w:hAnsi="Arial" w:cs="Arial"/>
          <w:sz w:val="24"/>
          <w:szCs w:val="24"/>
          <w:lang w:val="es-UY"/>
        </w:rPr>
        <w:t>Las delegaciones de Chile</w:t>
      </w:r>
      <w:r w:rsidR="007E5675" w:rsidRPr="007E5675">
        <w:rPr>
          <w:rFonts w:ascii="Arial" w:hAnsi="Arial" w:cs="Arial"/>
          <w:sz w:val="24"/>
          <w:szCs w:val="24"/>
          <w:lang w:val="es-UY"/>
        </w:rPr>
        <w:t>,</w:t>
      </w:r>
      <w:r w:rsidRPr="007E5675">
        <w:rPr>
          <w:rFonts w:ascii="Arial" w:hAnsi="Arial" w:cs="Arial"/>
          <w:sz w:val="24"/>
          <w:szCs w:val="24"/>
          <w:lang w:val="es-UY"/>
        </w:rPr>
        <w:t xml:space="preserve"> Colombia</w:t>
      </w:r>
      <w:r w:rsidR="007E5675" w:rsidRPr="007E5675">
        <w:rPr>
          <w:rFonts w:ascii="Arial" w:hAnsi="Arial" w:cs="Arial"/>
          <w:sz w:val="24"/>
          <w:szCs w:val="24"/>
          <w:lang w:val="es-UY"/>
        </w:rPr>
        <w:t xml:space="preserve"> y Perú</w:t>
      </w:r>
      <w:r w:rsidRPr="007E5675">
        <w:rPr>
          <w:rFonts w:ascii="Arial" w:hAnsi="Arial" w:cs="Arial"/>
          <w:sz w:val="24"/>
          <w:szCs w:val="24"/>
          <w:lang w:val="es-UY"/>
        </w:rPr>
        <w:t xml:space="preserve"> participaron en los términos de la Decisión CMC N°18/04.</w:t>
      </w:r>
    </w:p>
    <w:p w14:paraId="0183F7D8" w14:textId="77777777" w:rsidR="001C133E" w:rsidRPr="001C133E" w:rsidRDefault="001C133E" w:rsidP="001C133E">
      <w:pPr>
        <w:spacing w:after="0" w:line="240" w:lineRule="auto"/>
        <w:jc w:val="both"/>
        <w:rPr>
          <w:rFonts w:ascii="Arial" w:hAnsi="Arial" w:cs="Arial"/>
          <w:bCs/>
          <w:sz w:val="24"/>
          <w:szCs w:val="24"/>
          <w:lang w:val="es-UY"/>
        </w:rPr>
      </w:pPr>
    </w:p>
    <w:p w14:paraId="3EC7BC9C" w14:textId="77777777" w:rsidR="001C133E" w:rsidRPr="001C133E" w:rsidRDefault="001C133E" w:rsidP="001C133E">
      <w:pPr>
        <w:spacing w:after="0" w:line="240" w:lineRule="auto"/>
        <w:jc w:val="both"/>
        <w:rPr>
          <w:rFonts w:ascii="Arial" w:hAnsi="Arial" w:cs="Arial"/>
          <w:b/>
          <w:sz w:val="24"/>
          <w:szCs w:val="24"/>
        </w:rPr>
      </w:pPr>
      <w:r w:rsidRPr="001C133E">
        <w:rPr>
          <w:rFonts w:ascii="Arial" w:hAnsi="Arial" w:cs="Arial"/>
          <w:sz w:val="24"/>
          <w:szCs w:val="24"/>
        </w:rPr>
        <w:t xml:space="preserve">La Lista de Participantes consta como </w:t>
      </w:r>
      <w:r w:rsidRPr="001C133E">
        <w:rPr>
          <w:rFonts w:ascii="Arial" w:hAnsi="Arial" w:cs="Arial"/>
          <w:b/>
          <w:sz w:val="24"/>
          <w:szCs w:val="24"/>
        </w:rPr>
        <w:t>Anexo I</w:t>
      </w:r>
      <w:r w:rsidRPr="001C133E">
        <w:rPr>
          <w:rFonts w:ascii="Arial" w:hAnsi="Arial" w:cs="Arial"/>
          <w:sz w:val="24"/>
          <w:szCs w:val="24"/>
        </w:rPr>
        <w:t>.</w:t>
      </w:r>
    </w:p>
    <w:p w14:paraId="0F9B8DC9" w14:textId="77777777" w:rsidR="001C133E" w:rsidRPr="001C133E" w:rsidRDefault="001C133E" w:rsidP="001C133E">
      <w:pPr>
        <w:spacing w:after="0" w:line="240" w:lineRule="auto"/>
        <w:jc w:val="both"/>
        <w:rPr>
          <w:rFonts w:ascii="Arial" w:hAnsi="Arial" w:cs="Arial"/>
          <w:sz w:val="24"/>
          <w:szCs w:val="24"/>
        </w:rPr>
      </w:pPr>
    </w:p>
    <w:p w14:paraId="5D9B002E" w14:textId="77777777" w:rsidR="001C133E" w:rsidRPr="001C133E" w:rsidRDefault="001C133E" w:rsidP="001C133E">
      <w:pPr>
        <w:spacing w:after="0" w:line="240" w:lineRule="auto"/>
        <w:jc w:val="both"/>
        <w:rPr>
          <w:rFonts w:ascii="Arial" w:hAnsi="Arial" w:cs="Arial"/>
          <w:b/>
          <w:sz w:val="24"/>
          <w:szCs w:val="24"/>
        </w:rPr>
      </w:pPr>
      <w:r w:rsidRPr="001C133E">
        <w:rPr>
          <w:rFonts w:ascii="Arial" w:hAnsi="Arial" w:cs="Arial"/>
          <w:sz w:val="24"/>
          <w:szCs w:val="24"/>
        </w:rPr>
        <w:t xml:space="preserve">La Agenda de la Reunión consta como </w:t>
      </w:r>
      <w:r w:rsidRPr="001C133E">
        <w:rPr>
          <w:rFonts w:ascii="Arial" w:hAnsi="Arial" w:cs="Arial"/>
          <w:b/>
          <w:sz w:val="24"/>
          <w:szCs w:val="24"/>
        </w:rPr>
        <w:t>Anexo II</w:t>
      </w:r>
      <w:r w:rsidRPr="001C133E">
        <w:rPr>
          <w:rFonts w:ascii="Arial" w:hAnsi="Arial" w:cs="Arial"/>
          <w:sz w:val="24"/>
          <w:szCs w:val="24"/>
        </w:rPr>
        <w:t>.</w:t>
      </w:r>
    </w:p>
    <w:p w14:paraId="1E62CC57" w14:textId="77777777" w:rsidR="001C133E" w:rsidRPr="001C133E" w:rsidRDefault="001C133E" w:rsidP="001C133E">
      <w:pPr>
        <w:spacing w:after="0" w:line="240" w:lineRule="auto"/>
        <w:jc w:val="both"/>
        <w:rPr>
          <w:rFonts w:ascii="Arial" w:hAnsi="Arial" w:cs="Arial"/>
          <w:sz w:val="24"/>
          <w:szCs w:val="24"/>
        </w:rPr>
      </w:pPr>
    </w:p>
    <w:p w14:paraId="4F45E119" w14:textId="77777777" w:rsidR="001C133E" w:rsidRPr="001C133E" w:rsidRDefault="001C133E" w:rsidP="001C133E">
      <w:pPr>
        <w:spacing w:after="0" w:line="240" w:lineRule="auto"/>
        <w:jc w:val="both"/>
        <w:rPr>
          <w:rFonts w:ascii="Arial" w:eastAsia="Calibri" w:hAnsi="Arial" w:cs="Arial"/>
          <w:sz w:val="24"/>
          <w:szCs w:val="24"/>
        </w:rPr>
      </w:pPr>
      <w:r w:rsidRPr="001C133E">
        <w:rPr>
          <w:rFonts w:ascii="Arial" w:hAnsi="Arial" w:cs="Arial"/>
          <w:bCs/>
          <w:sz w:val="24"/>
          <w:szCs w:val="24"/>
        </w:rPr>
        <w:t>Fueron tratados los siguientes temas:</w:t>
      </w:r>
    </w:p>
    <w:p w14:paraId="78845693" w14:textId="77777777" w:rsidR="00AE312A" w:rsidRPr="001C133E" w:rsidRDefault="00AE312A" w:rsidP="001C133E">
      <w:pPr>
        <w:spacing w:after="0" w:line="240" w:lineRule="auto"/>
        <w:rPr>
          <w:rFonts w:ascii="Arial" w:hAnsi="Arial" w:cs="Arial"/>
          <w:sz w:val="24"/>
          <w:szCs w:val="24"/>
        </w:rPr>
      </w:pPr>
    </w:p>
    <w:p w14:paraId="3F8DE1CE" w14:textId="77777777" w:rsidR="00463F54" w:rsidRPr="001C133E" w:rsidRDefault="00463F54" w:rsidP="001C133E">
      <w:pPr>
        <w:spacing w:after="0" w:line="240" w:lineRule="auto"/>
        <w:jc w:val="both"/>
        <w:rPr>
          <w:rFonts w:ascii="Arial" w:hAnsi="Arial" w:cs="Arial"/>
          <w:sz w:val="24"/>
          <w:szCs w:val="24"/>
        </w:rPr>
      </w:pPr>
    </w:p>
    <w:p w14:paraId="7B31A725" w14:textId="5A22C85F" w:rsidR="00463F54" w:rsidRPr="001C133E" w:rsidRDefault="00463F54" w:rsidP="001C133E">
      <w:pPr>
        <w:pStyle w:val="Prrafodelista"/>
        <w:numPr>
          <w:ilvl w:val="0"/>
          <w:numId w:val="1"/>
        </w:numPr>
        <w:spacing w:after="0" w:line="240" w:lineRule="auto"/>
        <w:ind w:left="284" w:hanging="284"/>
        <w:jc w:val="both"/>
        <w:rPr>
          <w:rFonts w:ascii="Arial" w:hAnsi="Arial" w:cs="Arial"/>
          <w:b/>
          <w:bCs/>
          <w:sz w:val="24"/>
          <w:szCs w:val="24"/>
        </w:rPr>
      </w:pPr>
      <w:r w:rsidRPr="001C133E">
        <w:rPr>
          <w:rFonts w:ascii="Arial" w:hAnsi="Arial" w:cs="Arial"/>
          <w:b/>
          <w:bCs/>
          <w:sz w:val="24"/>
          <w:szCs w:val="24"/>
        </w:rPr>
        <w:t>IMPULSO DE LA COOPERACIÓN DE ENTRE FISCALES EN MATERIA DE TRÁFICO DE DROGAS Y SUS DELITOS CONEXOS</w:t>
      </w:r>
    </w:p>
    <w:p w14:paraId="2EAB342B" w14:textId="77777777" w:rsidR="00463F54" w:rsidRPr="001C133E" w:rsidRDefault="00463F54" w:rsidP="001C133E">
      <w:pPr>
        <w:spacing w:after="0" w:line="240" w:lineRule="auto"/>
        <w:jc w:val="both"/>
        <w:rPr>
          <w:rFonts w:ascii="Arial" w:hAnsi="Arial" w:cs="Arial"/>
          <w:sz w:val="24"/>
          <w:szCs w:val="24"/>
        </w:rPr>
      </w:pPr>
    </w:p>
    <w:p w14:paraId="6CCC9C07" w14:textId="052733B0" w:rsidR="00463F54" w:rsidRPr="001C133E" w:rsidRDefault="00463F54" w:rsidP="001C133E">
      <w:pPr>
        <w:spacing w:after="0" w:line="240" w:lineRule="auto"/>
        <w:jc w:val="both"/>
        <w:rPr>
          <w:rFonts w:ascii="Arial" w:hAnsi="Arial" w:cs="Arial"/>
          <w:sz w:val="24"/>
          <w:szCs w:val="24"/>
        </w:rPr>
      </w:pPr>
      <w:bookmarkStart w:id="0" w:name="_Hlk117004146"/>
      <w:r w:rsidRPr="001C133E">
        <w:rPr>
          <w:rFonts w:ascii="Arial" w:hAnsi="Arial" w:cs="Arial"/>
          <w:sz w:val="24"/>
          <w:szCs w:val="24"/>
        </w:rPr>
        <w:t xml:space="preserve">La Subcomisión de Narcocriminalidad </w:t>
      </w:r>
      <w:bookmarkEnd w:id="0"/>
      <w:r w:rsidR="00033E0E" w:rsidRPr="001C133E">
        <w:rPr>
          <w:rFonts w:ascii="Arial" w:hAnsi="Arial" w:cs="Arial"/>
          <w:sz w:val="24"/>
          <w:szCs w:val="24"/>
        </w:rPr>
        <w:t xml:space="preserve">viene trabajando en el impulso de la cooperación de entre fiscales en materia de tráfico de drogas y sus delitos conexos. En ese sentido, se encuentra funcionando el primer ECI constituido en materia de drogas en base al Acuerdo Marco del MERCOSUR. </w:t>
      </w:r>
    </w:p>
    <w:p w14:paraId="4BF69458" w14:textId="79857601" w:rsidR="00E26A4A" w:rsidRDefault="00E26A4A" w:rsidP="001C133E">
      <w:pPr>
        <w:spacing w:after="0" w:line="240" w:lineRule="auto"/>
        <w:jc w:val="both"/>
        <w:rPr>
          <w:rFonts w:ascii="Arial" w:hAnsi="Arial" w:cs="Arial"/>
          <w:sz w:val="24"/>
          <w:szCs w:val="24"/>
        </w:rPr>
      </w:pPr>
    </w:p>
    <w:p w14:paraId="100CEBFE" w14:textId="77777777" w:rsidR="001C133E" w:rsidRPr="001C133E" w:rsidRDefault="001C133E" w:rsidP="001C133E">
      <w:pPr>
        <w:spacing w:after="0" w:line="240" w:lineRule="auto"/>
        <w:jc w:val="both"/>
        <w:rPr>
          <w:rFonts w:ascii="Arial" w:hAnsi="Arial" w:cs="Arial"/>
          <w:sz w:val="24"/>
          <w:szCs w:val="24"/>
        </w:rPr>
      </w:pPr>
    </w:p>
    <w:p w14:paraId="60C7F835" w14:textId="76A49004" w:rsidR="00463F54" w:rsidRPr="001C133E" w:rsidRDefault="00E26A4A" w:rsidP="001C133E">
      <w:pPr>
        <w:pStyle w:val="Prrafodelista"/>
        <w:numPr>
          <w:ilvl w:val="0"/>
          <w:numId w:val="1"/>
        </w:numPr>
        <w:spacing w:after="0" w:line="240" w:lineRule="auto"/>
        <w:ind w:left="284" w:hanging="284"/>
        <w:jc w:val="both"/>
        <w:rPr>
          <w:rFonts w:ascii="Arial" w:hAnsi="Arial" w:cs="Arial"/>
          <w:b/>
          <w:bCs/>
          <w:sz w:val="24"/>
          <w:szCs w:val="24"/>
        </w:rPr>
      </w:pPr>
      <w:r w:rsidRPr="001C133E">
        <w:rPr>
          <w:rFonts w:ascii="Arial" w:hAnsi="Arial" w:cs="Arial"/>
          <w:b/>
          <w:bCs/>
          <w:sz w:val="24"/>
          <w:szCs w:val="24"/>
        </w:rPr>
        <w:t>CAPACITACIÓN</w:t>
      </w:r>
    </w:p>
    <w:p w14:paraId="2235CDDC" w14:textId="77777777" w:rsidR="00E26A4A" w:rsidRPr="001C133E" w:rsidRDefault="00E26A4A" w:rsidP="001C133E">
      <w:pPr>
        <w:pStyle w:val="Prrafodelista"/>
        <w:spacing w:after="0" w:line="240" w:lineRule="auto"/>
        <w:ind w:left="0"/>
        <w:jc w:val="both"/>
        <w:rPr>
          <w:rFonts w:ascii="Arial" w:hAnsi="Arial" w:cs="Arial"/>
          <w:sz w:val="24"/>
          <w:szCs w:val="24"/>
        </w:rPr>
      </w:pPr>
    </w:p>
    <w:p w14:paraId="30697AE1" w14:textId="46014217" w:rsidR="00463F54" w:rsidRPr="001C133E" w:rsidRDefault="00E26A4A" w:rsidP="001C133E">
      <w:pPr>
        <w:spacing w:after="0" w:line="240" w:lineRule="auto"/>
        <w:jc w:val="both"/>
        <w:rPr>
          <w:rFonts w:ascii="Arial" w:hAnsi="Arial" w:cs="Arial"/>
          <w:sz w:val="24"/>
          <w:szCs w:val="24"/>
        </w:rPr>
      </w:pPr>
      <w:r w:rsidRPr="001C133E">
        <w:rPr>
          <w:rFonts w:ascii="Arial" w:hAnsi="Arial" w:cs="Arial"/>
          <w:sz w:val="24"/>
          <w:szCs w:val="24"/>
        </w:rPr>
        <w:t xml:space="preserve">Las delegaciones intercambiaron comentarios sobre las actividades que se vienen </w:t>
      </w:r>
      <w:r w:rsidR="00033E0E" w:rsidRPr="001C133E">
        <w:rPr>
          <w:rFonts w:ascii="Arial" w:hAnsi="Arial" w:cs="Arial"/>
          <w:sz w:val="24"/>
          <w:szCs w:val="24"/>
        </w:rPr>
        <w:t xml:space="preserve">desarrollando </w:t>
      </w:r>
      <w:r w:rsidRPr="001C133E">
        <w:rPr>
          <w:rFonts w:ascii="Arial" w:hAnsi="Arial" w:cs="Arial"/>
          <w:sz w:val="24"/>
          <w:szCs w:val="24"/>
        </w:rPr>
        <w:t xml:space="preserve">con relación a la </w:t>
      </w:r>
      <w:r w:rsidR="00033E0E" w:rsidRPr="001C133E">
        <w:rPr>
          <w:rFonts w:ascii="Arial" w:hAnsi="Arial" w:cs="Arial"/>
          <w:sz w:val="24"/>
          <w:szCs w:val="24"/>
        </w:rPr>
        <w:t xml:space="preserve">capacitación y difusión de buenas prácticas en coordinación de la RFAI de la AIAMP. </w:t>
      </w:r>
    </w:p>
    <w:p w14:paraId="2446DC84" w14:textId="77777777" w:rsidR="001C133E" w:rsidRPr="001C133E" w:rsidRDefault="001C133E" w:rsidP="001C133E">
      <w:pPr>
        <w:spacing w:after="0" w:line="240" w:lineRule="auto"/>
        <w:rPr>
          <w:rFonts w:ascii="Arial" w:eastAsia="Calibri" w:hAnsi="Arial" w:cs="Arial"/>
          <w:sz w:val="24"/>
          <w:szCs w:val="24"/>
          <w:lang w:val="es" w:eastAsia="es-UY"/>
        </w:rPr>
      </w:pPr>
    </w:p>
    <w:p w14:paraId="4D866854" w14:textId="74250E8D" w:rsidR="001C133E" w:rsidRPr="00E255EA" w:rsidRDefault="001C133E" w:rsidP="001C133E">
      <w:pPr>
        <w:pStyle w:val="Prrafodelista"/>
        <w:numPr>
          <w:ilvl w:val="0"/>
          <w:numId w:val="1"/>
        </w:numPr>
        <w:spacing w:after="0" w:line="240" w:lineRule="auto"/>
        <w:ind w:left="284"/>
        <w:jc w:val="both"/>
        <w:rPr>
          <w:rFonts w:ascii="Arial" w:eastAsia="Calibri" w:hAnsi="Arial" w:cs="Arial"/>
          <w:sz w:val="24"/>
          <w:szCs w:val="24"/>
          <w:lang w:val="es" w:eastAsia="es-UY"/>
        </w:rPr>
      </w:pPr>
      <w:r w:rsidRPr="00E255EA">
        <w:rPr>
          <w:rFonts w:ascii="Arial" w:eastAsia="Calibri" w:hAnsi="Arial" w:cs="Arial"/>
          <w:b/>
          <w:bCs/>
          <w:sz w:val="24"/>
          <w:szCs w:val="24"/>
          <w:lang w:val="es" w:eastAsia="es-UY"/>
        </w:rPr>
        <w:t xml:space="preserve">INFORME </w:t>
      </w:r>
      <w:r w:rsidR="00215F32">
        <w:rPr>
          <w:rFonts w:ascii="Arial" w:hAnsi="Arial" w:cs="Arial"/>
          <w:b/>
          <w:bCs/>
          <w:sz w:val="24"/>
          <w:szCs w:val="24"/>
        </w:rPr>
        <w:t>DE CUMPLIMIENTO</w:t>
      </w:r>
      <w:r w:rsidRPr="00E255EA">
        <w:rPr>
          <w:rFonts w:ascii="Arial" w:eastAsia="Calibri" w:hAnsi="Arial" w:cs="Arial"/>
          <w:b/>
          <w:bCs/>
          <w:sz w:val="24"/>
          <w:szCs w:val="24"/>
          <w:lang w:val="es" w:eastAsia="es-UY"/>
        </w:rPr>
        <w:t xml:space="preserve"> DEL PROGRAMA DE TRABAJO 2021-2022</w:t>
      </w:r>
    </w:p>
    <w:p w14:paraId="385D3715" w14:textId="77777777" w:rsidR="001C133E" w:rsidRPr="00E255EA" w:rsidRDefault="001C133E" w:rsidP="001C133E">
      <w:pPr>
        <w:spacing w:after="0" w:line="240" w:lineRule="auto"/>
        <w:jc w:val="both"/>
        <w:rPr>
          <w:rFonts w:ascii="Arial" w:eastAsia="Arial" w:hAnsi="Arial" w:cs="Arial"/>
          <w:kern w:val="1"/>
          <w:sz w:val="24"/>
          <w:szCs w:val="24"/>
          <w:lang w:val="es" w:eastAsia="es-UY"/>
        </w:rPr>
      </w:pPr>
    </w:p>
    <w:p w14:paraId="6B16EEED" w14:textId="26BA894B" w:rsidR="001C133E" w:rsidRPr="00E255EA" w:rsidRDefault="001C133E" w:rsidP="001C133E">
      <w:pPr>
        <w:spacing w:after="0" w:line="240" w:lineRule="auto"/>
        <w:jc w:val="both"/>
        <w:rPr>
          <w:rFonts w:ascii="Arial" w:eastAsia="Arial" w:hAnsi="Arial" w:cs="Arial"/>
          <w:kern w:val="1"/>
          <w:sz w:val="24"/>
          <w:szCs w:val="24"/>
          <w:lang w:val="es" w:eastAsia="es-UY"/>
        </w:rPr>
      </w:pPr>
      <w:r w:rsidRPr="00E255EA">
        <w:rPr>
          <w:rFonts w:ascii="Arial" w:eastAsia="Arial" w:hAnsi="Arial" w:cs="Arial"/>
          <w:kern w:val="1"/>
          <w:sz w:val="24"/>
          <w:szCs w:val="24"/>
          <w:lang w:val="es" w:eastAsia="es-UY"/>
        </w:rPr>
        <w:t xml:space="preserve">El informe </w:t>
      </w:r>
      <w:r w:rsidR="00215F32">
        <w:rPr>
          <w:rFonts w:ascii="Arial" w:eastAsia="Arial" w:hAnsi="Arial" w:cs="Arial"/>
          <w:kern w:val="1"/>
          <w:sz w:val="24"/>
          <w:szCs w:val="24"/>
          <w:lang w:val="es" w:eastAsia="es-UY"/>
        </w:rPr>
        <w:t>de cumplimiento</w:t>
      </w:r>
      <w:r w:rsidRPr="00E255EA">
        <w:rPr>
          <w:rFonts w:ascii="Arial" w:eastAsia="Arial" w:hAnsi="Arial" w:cs="Arial"/>
          <w:kern w:val="1"/>
          <w:sz w:val="24"/>
          <w:szCs w:val="24"/>
          <w:lang w:val="es" w:eastAsia="es-UY"/>
        </w:rPr>
        <w:t xml:space="preserve"> del Programa de Trabajo 2021 – 2022 de la SCTN, consta en el </w:t>
      </w:r>
      <w:r w:rsidRPr="00E255EA">
        <w:rPr>
          <w:rFonts w:ascii="Arial" w:eastAsia="Arial" w:hAnsi="Arial" w:cs="Arial"/>
          <w:b/>
          <w:bCs/>
          <w:kern w:val="1"/>
          <w:sz w:val="24"/>
          <w:szCs w:val="24"/>
          <w:lang w:val="es" w:eastAsia="es-UY"/>
        </w:rPr>
        <w:t xml:space="preserve">Anexo </w:t>
      </w:r>
      <w:r w:rsidRPr="00E255EA">
        <w:rPr>
          <w:rFonts w:ascii="Arial" w:eastAsia="Arial" w:hAnsi="Arial" w:cs="Arial"/>
          <w:b/>
          <w:bCs/>
          <w:kern w:val="1"/>
          <w:sz w:val="24"/>
          <w:szCs w:val="24"/>
          <w:lang w:val="es" w:eastAsia="es-UY"/>
        </w:rPr>
        <w:tab/>
      </w:r>
      <w:r w:rsidR="00E255EA" w:rsidRPr="00E255EA">
        <w:rPr>
          <w:rFonts w:ascii="Arial" w:eastAsia="Arial" w:hAnsi="Arial" w:cs="Arial"/>
          <w:b/>
          <w:bCs/>
          <w:kern w:val="1"/>
          <w:sz w:val="24"/>
          <w:szCs w:val="24"/>
          <w:lang w:val="es" w:eastAsia="es-UY"/>
        </w:rPr>
        <w:t>III</w:t>
      </w:r>
      <w:r w:rsidRPr="00E255EA">
        <w:rPr>
          <w:rFonts w:ascii="Arial" w:eastAsia="Arial" w:hAnsi="Arial" w:cs="Arial"/>
          <w:b/>
          <w:bCs/>
          <w:kern w:val="1"/>
          <w:sz w:val="24"/>
          <w:szCs w:val="24"/>
          <w:lang w:val="es" w:eastAsia="es-UY"/>
        </w:rPr>
        <w:t xml:space="preserve"> </w:t>
      </w:r>
      <w:r w:rsidRPr="00E255EA">
        <w:rPr>
          <w:rFonts w:ascii="Arial" w:eastAsia="Arial" w:hAnsi="Arial" w:cs="Arial"/>
          <w:kern w:val="1"/>
          <w:sz w:val="24"/>
          <w:szCs w:val="24"/>
          <w:lang w:val="es" w:eastAsia="es-UY"/>
        </w:rPr>
        <w:t xml:space="preserve">y se eleva a </w:t>
      </w:r>
      <w:r w:rsidR="00E255EA">
        <w:rPr>
          <w:rFonts w:ascii="Arial" w:eastAsia="Arial" w:hAnsi="Arial" w:cs="Arial"/>
          <w:kern w:val="1"/>
          <w:sz w:val="24"/>
          <w:szCs w:val="24"/>
          <w:lang w:val="es" w:eastAsia="es-UY"/>
        </w:rPr>
        <w:t xml:space="preserve">los </w:t>
      </w:r>
      <w:r w:rsidRPr="00E255EA">
        <w:rPr>
          <w:rFonts w:ascii="Arial" w:eastAsia="Arial" w:hAnsi="Arial" w:cs="Arial"/>
          <w:kern w:val="1"/>
          <w:sz w:val="24"/>
          <w:szCs w:val="24"/>
          <w:lang w:val="es" w:eastAsia="es-UY"/>
        </w:rPr>
        <w:t>Coordinadores Nacionales para su consideración.</w:t>
      </w:r>
    </w:p>
    <w:p w14:paraId="69D8F32E" w14:textId="5D31BC8A" w:rsidR="001C133E" w:rsidRDefault="001C133E" w:rsidP="001C133E">
      <w:pPr>
        <w:spacing w:after="0" w:line="240" w:lineRule="auto"/>
        <w:jc w:val="both"/>
        <w:rPr>
          <w:rFonts w:ascii="Arial" w:eastAsia="Arial" w:hAnsi="Arial" w:cs="Arial"/>
          <w:kern w:val="1"/>
          <w:sz w:val="24"/>
          <w:szCs w:val="24"/>
          <w:lang w:val="es" w:eastAsia="es-UY"/>
        </w:rPr>
      </w:pPr>
    </w:p>
    <w:p w14:paraId="581AE01C" w14:textId="372B0B2F" w:rsidR="00215F32" w:rsidRDefault="00215F32" w:rsidP="001C133E">
      <w:pPr>
        <w:spacing w:after="0" w:line="240" w:lineRule="auto"/>
        <w:jc w:val="both"/>
        <w:rPr>
          <w:rFonts w:ascii="Arial" w:eastAsia="Arial" w:hAnsi="Arial" w:cs="Arial"/>
          <w:kern w:val="1"/>
          <w:sz w:val="24"/>
          <w:szCs w:val="24"/>
          <w:lang w:val="es" w:eastAsia="es-UY"/>
        </w:rPr>
      </w:pPr>
    </w:p>
    <w:p w14:paraId="0958E4BE" w14:textId="324BF842" w:rsidR="007E5675" w:rsidRDefault="007E5675" w:rsidP="001C133E">
      <w:pPr>
        <w:spacing w:after="0" w:line="240" w:lineRule="auto"/>
        <w:jc w:val="both"/>
        <w:rPr>
          <w:rFonts w:ascii="Arial" w:eastAsia="Arial" w:hAnsi="Arial" w:cs="Arial"/>
          <w:kern w:val="1"/>
          <w:sz w:val="24"/>
          <w:szCs w:val="24"/>
          <w:lang w:val="es" w:eastAsia="es-UY"/>
        </w:rPr>
      </w:pPr>
    </w:p>
    <w:p w14:paraId="277FCE66" w14:textId="77777777" w:rsidR="007E5675" w:rsidRPr="00E255EA" w:rsidRDefault="007E5675" w:rsidP="001C133E">
      <w:pPr>
        <w:spacing w:after="0" w:line="240" w:lineRule="auto"/>
        <w:jc w:val="both"/>
        <w:rPr>
          <w:rFonts w:ascii="Arial" w:eastAsia="Arial" w:hAnsi="Arial" w:cs="Arial"/>
          <w:kern w:val="1"/>
          <w:sz w:val="24"/>
          <w:szCs w:val="24"/>
          <w:lang w:val="es" w:eastAsia="es-UY"/>
        </w:rPr>
      </w:pPr>
    </w:p>
    <w:p w14:paraId="764DA0B7" w14:textId="77777777" w:rsidR="001C133E" w:rsidRPr="00E255EA" w:rsidRDefault="001C133E" w:rsidP="001C133E">
      <w:pPr>
        <w:numPr>
          <w:ilvl w:val="0"/>
          <w:numId w:val="1"/>
        </w:numPr>
        <w:spacing w:after="0" w:line="240" w:lineRule="auto"/>
        <w:ind w:left="567" w:hanging="567"/>
        <w:contextualSpacing/>
        <w:rPr>
          <w:rFonts w:ascii="Arial" w:eastAsia="Calibri" w:hAnsi="Arial" w:cs="Arial"/>
          <w:sz w:val="24"/>
          <w:szCs w:val="24"/>
          <w:lang w:val="es" w:eastAsia="es-UY"/>
        </w:rPr>
      </w:pPr>
      <w:r w:rsidRPr="00E255EA">
        <w:rPr>
          <w:rFonts w:ascii="Arial" w:eastAsia="Calibri" w:hAnsi="Arial" w:cs="Arial"/>
          <w:b/>
          <w:bCs/>
          <w:sz w:val="24"/>
          <w:szCs w:val="24"/>
          <w:lang w:val="es" w:eastAsia="es-UY"/>
        </w:rPr>
        <w:lastRenderedPageBreak/>
        <w:t>PROGRAMA DE TRABAJO PARA EL BIENIO 2023-2024</w:t>
      </w:r>
    </w:p>
    <w:p w14:paraId="1B1B83D8" w14:textId="77777777" w:rsidR="001C133E" w:rsidRPr="00E255EA" w:rsidRDefault="001C133E" w:rsidP="001C133E">
      <w:pPr>
        <w:spacing w:after="0" w:line="240" w:lineRule="auto"/>
        <w:rPr>
          <w:rFonts w:ascii="Arial" w:eastAsia="Arial" w:hAnsi="Arial" w:cs="Arial"/>
          <w:sz w:val="24"/>
          <w:szCs w:val="24"/>
          <w:lang w:val="es" w:eastAsia="es-UY"/>
        </w:rPr>
      </w:pPr>
    </w:p>
    <w:p w14:paraId="099DB696" w14:textId="7AF15964" w:rsidR="001C133E" w:rsidRPr="001C133E" w:rsidRDefault="001C133E" w:rsidP="001C133E">
      <w:pPr>
        <w:spacing w:after="0" w:line="240" w:lineRule="auto"/>
        <w:jc w:val="both"/>
        <w:rPr>
          <w:rFonts w:ascii="Arial" w:eastAsia="Arial" w:hAnsi="Arial" w:cs="Arial"/>
          <w:sz w:val="24"/>
          <w:szCs w:val="24"/>
          <w:lang w:val="es" w:eastAsia="es-UY"/>
        </w:rPr>
      </w:pPr>
      <w:r w:rsidRPr="00E255EA">
        <w:rPr>
          <w:rFonts w:ascii="Arial" w:eastAsia="Arial" w:hAnsi="Arial" w:cs="Arial"/>
          <w:sz w:val="24"/>
          <w:szCs w:val="24"/>
          <w:lang w:val="es" w:eastAsia="es-UY"/>
        </w:rPr>
        <w:t xml:space="preserve">La SCTN elaboró el Programa de Trabajo 2023-2024 y elevó a los Coordinadores Nacionales para su consideración y aprobación </w:t>
      </w:r>
      <w:r w:rsidRPr="00E255EA">
        <w:rPr>
          <w:rFonts w:ascii="Arial" w:eastAsia="Arial" w:hAnsi="Arial" w:cs="Arial"/>
          <w:b/>
          <w:bCs/>
          <w:sz w:val="24"/>
          <w:szCs w:val="24"/>
          <w:lang w:val="es" w:eastAsia="es-UY"/>
        </w:rPr>
        <w:t xml:space="preserve">(Anexo </w:t>
      </w:r>
      <w:r w:rsidR="00E255EA" w:rsidRPr="00E255EA">
        <w:rPr>
          <w:rFonts w:ascii="Arial" w:eastAsia="Arial" w:hAnsi="Arial" w:cs="Arial"/>
          <w:b/>
          <w:bCs/>
          <w:sz w:val="24"/>
          <w:szCs w:val="24"/>
          <w:lang w:val="es" w:eastAsia="es-UY"/>
        </w:rPr>
        <w:t>IV</w:t>
      </w:r>
      <w:r w:rsidRPr="00E255EA">
        <w:rPr>
          <w:rFonts w:ascii="Arial" w:eastAsia="Arial" w:hAnsi="Arial" w:cs="Arial"/>
          <w:b/>
          <w:bCs/>
          <w:sz w:val="24"/>
          <w:szCs w:val="24"/>
          <w:lang w:val="es" w:eastAsia="es-UY"/>
        </w:rPr>
        <w:t>)</w:t>
      </w:r>
      <w:r w:rsidRPr="00E255EA">
        <w:rPr>
          <w:rFonts w:ascii="Arial" w:eastAsia="Arial" w:hAnsi="Arial" w:cs="Arial"/>
          <w:sz w:val="24"/>
          <w:szCs w:val="24"/>
          <w:lang w:val="es" w:eastAsia="es-UY"/>
        </w:rPr>
        <w:t>.</w:t>
      </w:r>
    </w:p>
    <w:p w14:paraId="0272460D" w14:textId="6CDB0949" w:rsidR="001C133E" w:rsidRDefault="001C133E" w:rsidP="001C133E">
      <w:pPr>
        <w:spacing w:after="0" w:line="240" w:lineRule="auto"/>
        <w:jc w:val="both"/>
        <w:rPr>
          <w:rFonts w:ascii="Arial" w:eastAsia="Arial" w:hAnsi="Arial" w:cs="Arial"/>
          <w:sz w:val="24"/>
          <w:szCs w:val="24"/>
          <w:lang w:val="es" w:eastAsia="es-UY"/>
        </w:rPr>
      </w:pPr>
    </w:p>
    <w:p w14:paraId="2A001D72" w14:textId="77777777" w:rsidR="001C133E" w:rsidRPr="001C133E" w:rsidRDefault="001C133E" w:rsidP="001C133E">
      <w:pPr>
        <w:spacing w:after="0" w:line="240" w:lineRule="auto"/>
        <w:jc w:val="both"/>
        <w:rPr>
          <w:rFonts w:ascii="Arial" w:eastAsia="Arial" w:hAnsi="Arial" w:cs="Arial"/>
          <w:sz w:val="24"/>
          <w:szCs w:val="24"/>
          <w:lang w:val="es" w:eastAsia="es-UY"/>
        </w:rPr>
      </w:pPr>
    </w:p>
    <w:p w14:paraId="0A3C6A92" w14:textId="77777777" w:rsidR="001C133E" w:rsidRPr="001C133E" w:rsidRDefault="001C133E" w:rsidP="001C133E">
      <w:pPr>
        <w:pStyle w:val="Prrafodelista"/>
        <w:numPr>
          <w:ilvl w:val="0"/>
          <w:numId w:val="1"/>
        </w:numPr>
        <w:spacing w:after="0" w:line="240" w:lineRule="auto"/>
        <w:ind w:left="284" w:hanging="284"/>
        <w:jc w:val="both"/>
        <w:rPr>
          <w:rFonts w:ascii="Arial" w:hAnsi="Arial" w:cs="Arial"/>
          <w:sz w:val="24"/>
          <w:szCs w:val="24"/>
        </w:rPr>
      </w:pPr>
      <w:r w:rsidRPr="001C133E">
        <w:rPr>
          <w:rFonts w:ascii="Arial" w:hAnsi="Arial" w:cs="Arial"/>
          <w:b/>
          <w:bCs/>
          <w:sz w:val="24"/>
          <w:szCs w:val="24"/>
        </w:rPr>
        <w:t>PRÓXIMA REUNIÓN</w:t>
      </w:r>
      <w:r w:rsidRPr="001C133E">
        <w:rPr>
          <w:rFonts w:ascii="Arial" w:hAnsi="Arial" w:cs="Arial"/>
          <w:sz w:val="24"/>
          <w:szCs w:val="24"/>
        </w:rPr>
        <w:t xml:space="preserve"> </w:t>
      </w:r>
    </w:p>
    <w:p w14:paraId="4AD1140B" w14:textId="77777777" w:rsidR="001C133E" w:rsidRPr="001C133E" w:rsidRDefault="001C133E" w:rsidP="001C133E">
      <w:pPr>
        <w:spacing w:after="0" w:line="240" w:lineRule="auto"/>
        <w:jc w:val="both"/>
        <w:rPr>
          <w:rFonts w:ascii="Arial" w:hAnsi="Arial" w:cs="Arial"/>
          <w:sz w:val="24"/>
          <w:szCs w:val="24"/>
        </w:rPr>
      </w:pPr>
    </w:p>
    <w:p w14:paraId="51FABBE4" w14:textId="77777777" w:rsidR="001C133E" w:rsidRDefault="001C133E" w:rsidP="001C133E">
      <w:pPr>
        <w:spacing w:after="0" w:line="240" w:lineRule="auto"/>
        <w:jc w:val="both"/>
        <w:rPr>
          <w:rFonts w:ascii="Arial" w:hAnsi="Arial" w:cs="Arial"/>
          <w:sz w:val="24"/>
          <w:szCs w:val="24"/>
        </w:rPr>
      </w:pPr>
      <w:r w:rsidRPr="001C133E">
        <w:rPr>
          <w:rFonts w:ascii="Arial" w:hAnsi="Arial" w:cs="Arial"/>
          <w:sz w:val="24"/>
          <w:szCs w:val="24"/>
        </w:rPr>
        <w:t>En línea con el mandato de la REMPM, se ha previsto para el mes de noviembre la celebración de una reunión para abordar la problemática del tráfico de drogas desde establecimientos penitenciarios y analizar el estado de situación y experiencia en cada uno de los países.</w:t>
      </w:r>
    </w:p>
    <w:p w14:paraId="74F624FB" w14:textId="1B070820" w:rsidR="001C133E" w:rsidRDefault="001C133E" w:rsidP="001C133E">
      <w:pPr>
        <w:spacing w:after="0" w:line="240" w:lineRule="auto"/>
        <w:rPr>
          <w:rFonts w:ascii="Arial" w:eastAsia="Arial" w:hAnsi="Arial" w:cs="Arial"/>
          <w:sz w:val="24"/>
          <w:szCs w:val="24"/>
          <w:lang w:eastAsia="es-UY"/>
        </w:rPr>
      </w:pPr>
    </w:p>
    <w:p w14:paraId="77CF757C" w14:textId="77777777" w:rsidR="001C133E" w:rsidRPr="001C133E" w:rsidRDefault="001C133E" w:rsidP="001C133E">
      <w:pPr>
        <w:spacing w:after="0" w:line="240" w:lineRule="auto"/>
        <w:rPr>
          <w:rFonts w:ascii="Arial" w:eastAsia="Arial" w:hAnsi="Arial" w:cs="Arial"/>
          <w:sz w:val="24"/>
          <w:szCs w:val="24"/>
          <w:lang w:eastAsia="es-UY"/>
        </w:rPr>
      </w:pPr>
    </w:p>
    <w:p w14:paraId="21F59D3C" w14:textId="77777777" w:rsidR="001C133E" w:rsidRPr="001C133E" w:rsidRDefault="001C133E" w:rsidP="001C133E">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after="0" w:line="240" w:lineRule="auto"/>
        <w:jc w:val="both"/>
        <w:rPr>
          <w:rFonts w:ascii="Arial" w:eastAsia="Arial" w:hAnsi="Arial" w:cs="Arial"/>
          <w:b/>
          <w:sz w:val="24"/>
          <w:szCs w:val="24"/>
          <w:lang w:val="es" w:eastAsia="es-UY"/>
        </w:rPr>
      </w:pPr>
      <w:r w:rsidRPr="001C133E">
        <w:rPr>
          <w:rFonts w:ascii="Arial" w:eastAsia="Arial" w:hAnsi="Arial" w:cs="Arial"/>
          <w:b/>
          <w:sz w:val="24"/>
          <w:szCs w:val="24"/>
          <w:lang w:val="es" w:eastAsia="es-UY"/>
        </w:rPr>
        <w:t>LISTA DE ANEXOS</w:t>
      </w:r>
    </w:p>
    <w:p w14:paraId="669DCE80" w14:textId="77777777" w:rsidR="001C133E" w:rsidRPr="001C133E" w:rsidRDefault="001C133E" w:rsidP="001C133E">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after="0" w:line="240" w:lineRule="auto"/>
        <w:jc w:val="both"/>
        <w:rPr>
          <w:rFonts w:ascii="Arial" w:eastAsia="Arial" w:hAnsi="Arial" w:cs="Arial"/>
          <w:sz w:val="24"/>
          <w:szCs w:val="24"/>
          <w:lang w:val="es" w:eastAsia="es-UY"/>
        </w:rPr>
      </w:pPr>
    </w:p>
    <w:p w14:paraId="4F07FE2F" w14:textId="77777777" w:rsidR="001C133E" w:rsidRPr="001C133E" w:rsidRDefault="001C133E" w:rsidP="001C133E">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after="0" w:line="240" w:lineRule="auto"/>
        <w:jc w:val="both"/>
        <w:rPr>
          <w:rFonts w:ascii="Arial" w:eastAsia="Arial" w:hAnsi="Arial" w:cs="Arial"/>
          <w:sz w:val="24"/>
          <w:szCs w:val="24"/>
          <w:lang w:val="es" w:eastAsia="es-UY"/>
        </w:rPr>
      </w:pPr>
      <w:r w:rsidRPr="001C133E">
        <w:rPr>
          <w:rFonts w:ascii="Arial" w:eastAsia="Arial" w:hAnsi="Arial" w:cs="Arial"/>
          <w:sz w:val="24"/>
          <w:szCs w:val="24"/>
          <w:lang w:val="es" w:eastAsia="es-UY"/>
        </w:rPr>
        <w:t xml:space="preserve">Los Anexos que forman parte del Acta son los siguientes: </w:t>
      </w:r>
    </w:p>
    <w:p w14:paraId="00AF2A51" w14:textId="77777777" w:rsidR="001C133E" w:rsidRPr="001C133E" w:rsidRDefault="001C133E" w:rsidP="001C133E">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after="0" w:line="240" w:lineRule="auto"/>
        <w:jc w:val="both"/>
        <w:rPr>
          <w:rFonts w:ascii="Arial" w:eastAsia="Arial" w:hAnsi="Arial" w:cs="Arial"/>
          <w:sz w:val="24"/>
          <w:szCs w:val="24"/>
          <w:lang w:val="es" w:eastAsia="es-UY"/>
        </w:rPr>
      </w:pPr>
    </w:p>
    <w:tbl>
      <w:tblPr>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230"/>
      </w:tblGrid>
      <w:tr w:rsidR="001C133E" w:rsidRPr="001C133E" w14:paraId="6F9B6C03" w14:textId="77777777" w:rsidTr="00AB49CF">
        <w:trPr>
          <w:trHeight w:val="340"/>
        </w:trPr>
        <w:tc>
          <w:tcPr>
            <w:tcW w:w="1413" w:type="dxa"/>
            <w:shd w:val="clear" w:color="auto" w:fill="auto"/>
          </w:tcPr>
          <w:p w14:paraId="5AF725B7" w14:textId="77777777" w:rsidR="001C133E" w:rsidRPr="001C133E" w:rsidRDefault="001C133E" w:rsidP="001C133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after="0" w:line="240" w:lineRule="auto"/>
              <w:jc w:val="both"/>
              <w:rPr>
                <w:rFonts w:ascii="Arial" w:eastAsia="Arial" w:hAnsi="Arial" w:cs="Arial"/>
                <w:sz w:val="24"/>
                <w:szCs w:val="24"/>
                <w:lang w:val="es" w:eastAsia="es-UY"/>
              </w:rPr>
            </w:pPr>
            <w:r w:rsidRPr="001C133E">
              <w:rPr>
                <w:rFonts w:ascii="Arial" w:eastAsia="Arial" w:hAnsi="Arial" w:cs="Arial"/>
                <w:b/>
                <w:sz w:val="24"/>
                <w:szCs w:val="24"/>
                <w:lang w:val="es" w:eastAsia="es-UY"/>
              </w:rPr>
              <w:t>Anexo I</w:t>
            </w:r>
          </w:p>
        </w:tc>
        <w:tc>
          <w:tcPr>
            <w:tcW w:w="7230" w:type="dxa"/>
            <w:shd w:val="clear" w:color="auto" w:fill="auto"/>
          </w:tcPr>
          <w:p w14:paraId="566EB17A" w14:textId="77777777" w:rsidR="001C133E" w:rsidRPr="001C133E" w:rsidRDefault="001C133E" w:rsidP="001C133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after="0" w:line="240" w:lineRule="auto"/>
              <w:jc w:val="both"/>
              <w:rPr>
                <w:rFonts w:ascii="Arial" w:eastAsia="Arial" w:hAnsi="Arial" w:cs="Arial"/>
                <w:sz w:val="24"/>
                <w:szCs w:val="24"/>
                <w:lang w:val="es" w:eastAsia="es-UY"/>
              </w:rPr>
            </w:pPr>
            <w:r w:rsidRPr="001C133E">
              <w:rPr>
                <w:rFonts w:ascii="Arial" w:eastAsia="Arial" w:hAnsi="Arial" w:cs="Arial"/>
                <w:sz w:val="24"/>
                <w:szCs w:val="24"/>
                <w:lang w:val="es" w:eastAsia="es-UY"/>
              </w:rPr>
              <w:t>Lista de Participantes</w:t>
            </w:r>
          </w:p>
        </w:tc>
      </w:tr>
      <w:tr w:rsidR="001C133E" w:rsidRPr="001C133E" w14:paraId="735446E2" w14:textId="77777777" w:rsidTr="00AB49CF">
        <w:trPr>
          <w:trHeight w:val="340"/>
        </w:trPr>
        <w:tc>
          <w:tcPr>
            <w:tcW w:w="1413" w:type="dxa"/>
            <w:shd w:val="clear" w:color="auto" w:fill="auto"/>
          </w:tcPr>
          <w:p w14:paraId="388B8F00" w14:textId="77777777" w:rsidR="001C133E" w:rsidRPr="001C133E" w:rsidRDefault="001C133E" w:rsidP="001C133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after="0" w:line="240" w:lineRule="auto"/>
              <w:jc w:val="both"/>
              <w:rPr>
                <w:rFonts w:ascii="Arial" w:eastAsia="Arial" w:hAnsi="Arial" w:cs="Arial"/>
                <w:b/>
                <w:sz w:val="24"/>
                <w:szCs w:val="24"/>
                <w:lang w:val="es" w:eastAsia="es-UY"/>
              </w:rPr>
            </w:pPr>
            <w:r w:rsidRPr="001C133E">
              <w:rPr>
                <w:rFonts w:ascii="Arial" w:eastAsia="Arial" w:hAnsi="Arial" w:cs="Arial"/>
                <w:b/>
                <w:sz w:val="24"/>
                <w:szCs w:val="24"/>
                <w:lang w:val="es" w:eastAsia="es-UY"/>
              </w:rPr>
              <w:t>Anexo II</w:t>
            </w:r>
          </w:p>
        </w:tc>
        <w:tc>
          <w:tcPr>
            <w:tcW w:w="7230" w:type="dxa"/>
            <w:shd w:val="clear" w:color="auto" w:fill="auto"/>
          </w:tcPr>
          <w:p w14:paraId="5CF9B9A8" w14:textId="77777777" w:rsidR="001C133E" w:rsidRPr="001C133E" w:rsidRDefault="001C133E" w:rsidP="001C133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after="0" w:line="240" w:lineRule="auto"/>
              <w:jc w:val="both"/>
              <w:rPr>
                <w:rFonts w:ascii="Arial" w:eastAsia="Arial" w:hAnsi="Arial" w:cs="Arial"/>
                <w:sz w:val="24"/>
                <w:szCs w:val="24"/>
                <w:lang w:val="es" w:eastAsia="es-UY"/>
              </w:rPr>
            </w:pPr>
            <w:r w:rsidRPr="001C133E">
              <w:rPr>
                <w:rFonts w:ascii="Arial" w:eastAsia="Arial" w:hAnsi="Arial" w:cs="Arial"/>
                <w:sz w:val="24"/>
                <w:szCs w:val="24"/>
                <w:lang w:val="es" w:eastAsia="es-UY"/>
              </w:rPr>
              <w:t>Agenda de la Reunión</w:t>
            </w:r>
          </w:p>
        </w:tc>
      </w:tr>
      <w:tr w:rsidR="001C133E" w:rsidRPr="001C133E" w14:paraId="173A8CA3" w14:textId="77777777" w:rsidTr="00AB49CF">
        <w:trPr>
          <w:trHeight w:val="340"/>
        </w:trPr>
        <w:tc>
          <w:tcPr>
            <w:tcW w:w="1413" w:type="dxa"/>
            <w:shd w:val="clear" w:color="auto" w:fill="auto"/>
          </w:tcPr>
          <w:p w14:paraId="033038AD" w14:textId="77777777" w:rsidR="001C133E" w:rsidRPr="001C133E" w:rsidRDefault="001C133E" w:rsidP="001C133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after="0" w:line="240" w:lineRule="auto"/>
              <w:jc w:val="both"/>
              <w:rPr>
                <w:rFonts w:ascii="Arial" w:eastAsia="Arial" w:hAnsi="Arial" w:cs="Arial"/>
                <w:b/>
                <w:sz w:val="24"/>
                <w:szCs w:val="24"/>
                <w:lang w:val="es" w:eastAsia="es-UY"/>
              </w:rPr>
            </w:pPr>
            <w:r w:rsidRPr="001C133E">
              <w:rPr>
                <w:rFonts w:ascii="Arial" w:eastAsia="Arial" w:hAnsi="Arial" w:cs="Arial"/>
                <w:b/>
                <w:sz w:val="24"/>
                <w:szCs w:val="24"/>
                <w:lang w:val="es" w:eastAsia="es-UY"/>
              </w:rPr>
              <w:t>Anexo III</w:t>
            </w:r>
          </w:p>
        </w:tc>
        <w:tc>
          <w:tcPr>
            <w:tcW w:w="7230" w:type="dxa"/>
            <w:shd w:val="clear" w:color="auto" w:fill="auto"/>
          </w:tcPr>
          <w:p w14:paraId="6BFAFFF7" w14:textId="6D1DF166" w:rsidR="001C133E" w:rsidRPr="001C133E" w:rsidRDefault="001C133E" w:rsidP="001C133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after="0" w:line="240" w:lineRule="auto"/>
              <w:jc w:val="both"/>
              <w:rPr>
                <w:rFonts w:ascii="Arial" w:eastAsia="Arial" w:hAnsi="Arial" w:cs="Arial"/>
                <w:sz w:val="24"/>
                <w:szCs w:val="24"/>
                <w:lang w:val="es" w:eastAsia="es-UY"/>
              </w:rPr>
            </w:pPr>
            <w:r w:rsidRPr="001C133E">
              <w:rPr>
                <w:rFonts w:ascii="Arial" w:eastAsia="Arial" w:hAnsi="Arial" w:cs="Arial"/>
                <w:sz w:val="24"/>
                <w:szCs w:val="24"/>
                <w:lang w:val="es" w:eastAsia="es-UY"/>
              </w:rPr>
              <w:t xml:space="preserve">Informe </w:t>
            </w:r>
            <w:r w:rsidR="00E255EA">
              <w:rPr>
                <w:rFonts w:ascii="Arial" w:eastAsia="Arial" w:hAnsi="Arial" w:cs="Arial"/>
                <w:sz w:val="24"/>
                <w:szCs w:val="24"/>
                <w:lang w:val="es" w:eastAsia="es-UY"/>
              </w:rPr>
              <w:t>de cumplimiento</w:t>
            </w:r>
            <w:r w:rsidRPr="001C133E">
              <w:rPr>
                <w:rFonts w:ascii="Arial" w:eastAsia="Arial" w:hAnsi="Arial" w:cs="Arial"/>
                <w:sz w:val="24"/>
                <w:szCs w:val="24"/>
                <w:lang w:val="es" w:eastAsia="es-UY"/>
              </w:rPr>
              <w:t xml:space="preserve"> del programa de trabajo </w:t>
            </w:r>
            <w:bookmarkStart w:id="1" w:name="_GoBack"/>
            <w:bookmarkEnd w:id="1"/>
            <w:r w:rsidRPr="001C133E">
              <w:rPr>
                <w:rFonts w:ascii="Arial" w:eastAsia="Arial" w:hAnsi="Arial" w:cs="Arial"/>
                <w:sz w:val="24"/>
                <w:szCs w:val="24"/>
                <w:lang w:val="es" w:eastAsia="es-UY"/>
              </w:rPr>
              <w:t>2021-2022</w:t>
            </w:r>
          </w:p>
        </w:tc>
      </w:tr>
      <w:tr w:rsidR="001C133E" w:rsidRPr="001C133E" w14:paraId="0ECFA56D" w14:textId="77777777" w:rsidTr="00AB49CF">
        <w:trPr>
          <w:trHeight w:val="340"/>
        </w:trPr>
        <w:tc>
          <w:tcPr>
            <w:tcW w:w="1413" w:type="dxa"/>
            <w:shd w:val="clear" w:color="auto" w:fill="auto"/>
          </w:tcPr>
          <w:p w14:paraId="3C3214F8" w14:textId="77777777" w:rsidR="001C133E" w:rsidRPr="001C133E" w:rsidRDefault="001C133E" w:rsidP="001C133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after="0" w:line="240" w:lineRule="auto"/>
              <w:jc w:val="both"/>
              <w:rPr>
                <w:rFonts w:ascii="Arial" w:eastAsia="Arial" w:hAnsi="Arial" w:cs="Arial"/>
                <w:sz w:val="24"/>
                <w:szCs w:val="24"/>
                <w:lang w:val="es" w:eastAsia="es-UY"/>
              </w:rPr>
            </w:pPr>
            <w:r w:rsidRPr="001C133E">
              <w:rPr>
                <w:rFonts w:ascii="Arial" w:eastAsia="Arial" w:hAnsi="Arial" w:cs="Arial"/>
                <w:b/>
                <w:sz w:val="24"/>
                <w:szCs w:val="24"/>
                <w:lang w:val="es" w:eastAsia="es-UY"/>
              </w:rPr>
              <w:t>Anexo IV</w:t>
            </w:r>
          </w:p>
        </w:tc>
        <w:tc>
          <w:tcPr>
            <w:tcW w:w="7230" w:type="dxa"/>
            <w:shd w:val="clear" w:color="auto" w:fill="auto"/>
          </w:tcPr>
          <w:p w14:paraId="685B3A12" w14:textId="28D9A102" w:rsidR="001C133E" w:rsidRPr="001C133E" w:rsidRDefault="001C133E" w:rsidP="001C133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after="0" w:line="240" w:lineRule="auto"/>
              <w:jc w:val="both"/>
              <w:rPr>
                <w:rFonts w:ascii="Arial" w:eastAsia="Arial" w:hAnsi="Arial" w:cs="Arial"/>
                <w:sz w:val="24"/>
                <w:szCs w:val="24"/>
                <w:lang w:val="es" w:eastAsia="es-UY"/>
              </w:rPr>
            </w:pPr>
            <w:r w:rsidRPr="001C133E">
              <w:rPr>
                <w:rFonts w:ascii="Arial" w:eastAsia="Arial" w:hAnsi="Arial" w:cs="Arial"/>
                <w:sz w:val="24"/>
                <w:szCs w:val="24"/>
                <w:lang w:val="es" w:eastAsia="es-UY"/>
              </w:rPr>
              <w:t>Programa de Trabajo 2023-2024</w:t>
            </w:r>
          </w:p>
        </w:tc>
      </w:tr>
    </w:tbl>
    <w:p w14:paraId="6C199922" w14:textId="77777777" w:rsidR="001C133E" w:rsidRPr="001C133E" w:rsidRDefault="001C133E" w:rsidP="001C133E">
      <w:pPr>
        <w:spacing w:after="0" w:line="240" w:lineRule="auto"/>
        <w:rPr>
          <w:rFonts w:ascii="Arial" w:eastAsia="Arial" w:hAnsi="Arial" w:cs="Arial"/>
          <w:sz w:val="24"/>
          <w:szCs w:val="24"/>
          <w:lang w:val="es" w:eastAsia="es-UY"/>
        </w:rPr>
      </w:pPr>
    </w:p>
    <w:p w14:paraId="2D14986D" w14:textId="77777777" w:rsidR="001C133E" w:rsidRPr="001C133E" w:rsidRDefault="001C133E" w:rsidP="001C133E">
      <w:pPr>
        <w:spacing w:after="0" w:line="240" w:lineRule="auto"/>
        <w:rPr>
          <w:rFonts w:ascii="Arial" w:eastAsia="Arial" w:hAnsi="Arial" w:cs="Arial"/>
          <w:sz w:val="24"/>
          <w:szCs w:val="24"/>
          <w:lang w:val="es" w:eastAsia="es-UY"/>
        </w:rPr>
      </w:pPr>
    </w:p>
    <w:p w14:paraId="12180917" w14:textId="41D8C4A3" w:rsidR="00501C07" w:rsidRDefault="00501C07" w:rsidP="00E255EA">
      <w:pPr>
        <w:spacing w:after="0" w:line="240" w:lineRule="auto"/>
        <w:jc w:val="center"/>
        <w:rPr>
          <w:rFonts w:ascii="Arial" w:hAnsi="Arial" w:cs="Arial"/>
          <w:sz w:val="24"/>
          <w:szCs w:val="24"/>
          <w:lang w:val="es"/>
        </w:rPr>
      </w:pPr>
    </w:p>
    <w:p w14:paraId="33FC7FDA" w14:textId="78C1917A" w:rsidR="00E255EA" w:rsidRDefault="00E255EA" w:rsidP="00E255EA">
      <w:pPr>
        <w:spacing w:after="0" w:line="240" w:lineRule="auto"/>
        <w:jc w:val="center"/>
        <w:rPr>
          <w:rFonts w:ascii="Arial" w:hAnsi="Arial" w:cs="Arial"/>
          <w:sz w:val="24"/>
          <w:szCs w:val="24"/>
          <w:lang w:val="es"/>
        </w:rPr>
      </w:pPr>
    </w:p>
    <w:p w14:paraId="34F6F9DF" w14:textId="01DC9FEE" w:rsidR="00E255EA" w:rsidRDefault="00E255EA" w:rsidP="00E255EA">
      <w:pPr>
        <w:spacing w:after="0" w:line="240" w:lineRule="auto"/>
        <w:jc w:val="center"/>
        <w:rPr>
          <w:rFonts w:ascii="Arial" w:hAnsi="Arial" w:cs="Arial"/>
          <w:sz w:val="24"/>
          <w:szCs w:val="24"/>
          <w:lang w:val="es"/>
        </w:rPr>
      </w:pPr>
    </w:p>
    <w:p w14:paraId="07F01E9E" w14:textId="77777777" w:rsidR="00E255EA" w:rsidRPr="001C133E" w:rsidRDefault="00E255EA" w:rsidP="00E255EA">
      <w:pPr>
        <w:spacing w:after="0" w:line="240" w:lineRule="auto"/>
        <w:jc w:val="center"/>
        <w:rPr>
          <w:rFonts w:ascii="Arial" w:hAnsi="Arial" w:cs="Arial"/>
          <w:sz w:val="24"/>
          <w:szCs w:val="24"/>
          <w:lang w:val="es"/>
        </w:rPr>
      </w:pPr>
    </w:p>
    <w:p w14:paraId="21D34CDF" w14:textId="77777777" w:rsidR="00E255EA" w:rsidRPr="00E255EA" w:rsidRDefault="00E255EA" w:rsidP="00E255EA">
      <w:pPr>
        <w:spacing w:after="0" w:line="240" w:lineRule="auto"/>
        <w:rPr>
          <w:rFonts w:ascii="Arial" w:eastAsia="Arial" w:hAnsi="Arial" w:cs="Arial"/>
          <w:sz w:val="24"/>
          <w:szCs w:val="24"/>
          <w:lang w:val="es" w:eastAsia="es-UY"/>
        </w:rPr>
      </w:pPr>
    </w:p>
    <w:p w14:paraId="4238DDB2" w14:textId="77777777" w:rsidR="00E255EA" w:rsidRPr="00E255EA" w:rsidRDefault="00E255EA" w:rsidP="00E255E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after="0" w:line="240" w:lineRule="auto"/>
        <w:jc w:val="center"/>
        <w:rPr>
          <w:rFonts w:ascii="Arial" w:eastAsia="Arial" w:hAnsi="Arial" w:cs="Arial"/>
          <w:b/>
          <w:bCs/>
          <w:sz w:val="24"/>
          <w:szCs w:val="24"/>
          <w:lang w:val="es" w:eastAsia="es-UY"/>
        </w:rPr>
      </w:pPr>
      <w:r w:rsidRPr="00E255EA">
        <w:rPr>
          <w:rFonts w:ascii="Arial" w:eastAsia="Arial" w:hAnsi="Arial" w:cs="Arial"/>
          <w:b/>
          <w:bCs/>
          <w:sz w:val="24"/>
          <w:szCs w:val="24"/>
          <w:lang w:val="es" w:eastAsia="es-UY"/>
        </w:rPr>
        <w:t>__________________________</w:t>
      </w:r>
    </w:p>
    <w:p w14:paraId="1A9DC654" w14:textId="77777777" w:rsidR="00E255EA" w:rsidRPr="00E255EA" w:rsidRDefault="00E255EA" w:rsidP="00E255E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after="0" w:line="240" w:lineRule="auto"/>
        <w:jc w:val="center"/>
        <w:rPr>
          <w:rFonts w:ascii="Arial" w:eastAsia="Arial" w:hAnsi="Arial" w:cs="Arial"/>
          <w:sz w:val="24"/>
          <w:szCs w:val="24"/>
          <w:lang w:val="es" w:eastAsia="es-UY"/>
        </w:rPr>
      </w:pPr>
      <w:r w:rsidRPr="00E255EA">
        <w:rPr>
          <w:rFonts w:ascii="Arial" w:eastAsia="Arial" w:hAnsi="Arial" w:cs="Arial"/>
          <w:sz w:val="24"/>
          <w:szCs w:val="24"/>
          <w:lang w:val="es" w:eastAsia="es-UY"/>
        </w:rPr>
        <w:t>Gabriela Aguirre</w:t>
      </w:r>
    </w:p>
    <w:p w14:paraId="31CE396B" w14:textId="77777777" w:rsidR="00E255EA" w:rsidRPr="00E255EA" w:rsidRDefault="00E255EA" w:rsidP="00E255EA">
      <w:pPr>
        <w:spacing w:after="0" w:line="276" w:lineRule="auto"/>
        <w:jc w:val="center"/>
        <w:rPr>
          <w:rFonts w:ascii="Arial" w:eastAsia="Arial" w:hAnsi="Arial" w:cs="Arial"/>
          <w:sz w:val="24"/>
          <w:szCs w:val="24"/>
          <w:lang w:val="pt-BR" w:eastAsia="es-UY"/>
        </w:rPr>
      </w:pPr>
      <w:r w:rsidRPr="007E5675">
        <w:rPr>
          <w:rFonts w:ascii="Arial" w:eastAsia="Arial" w:hAnsi="Arial" w:cs="Arial"/>
          <w:b/>
          <w:bCs/>
          <w:sz w:val="24"/>
          <w:szCs w:val="24"/>
          <w:lang w:val="pt-BR" w:eastAsia="es-UY"/>
        </w:rPr>
        <w:t>Presidencia Pro Tempore Uruguay (PPTU</w:t>
      </w:r>
      <w:r w:rsidRPr="00E255EA">
        <w:rPr>
          <w:rFonts w:ascii="Arial" w:eastAsia="Arial" w:hAnsi="Arial" w:cs="Arial"/>
          <w:b/>
          <w:bCs/>
          <w:sz w:val="24"/>
          <w:szCs w:val="24"/>
          <w:lang w:val="pt-BR" w:eastAsia="es-UY"/>
        </w:rPr>
        <w:t>)</w:t>
      </w:r>
    </w:p>
    <w:p w14:paraId="7F666373" w14:textId="77777777" w:rsidR="001C133E" w:rsidRPr="007E5675" w:rsidRDefault="001C133E" w:rsidP="001C133E">
      <w:pPr>
        <w:spacing w:after="0" w:line="240" w:lineRule="auto"/>
        <w:jc w:val="both"/>
        <w:rPr>
          <w:rFonts w:ascii="Arial" w:hAnsi="Arial" w:cs="Arial"/>
          <w:sz w:val="24"/>
          <w:szCs w:val="24"/>
          <w:lang w:val="pt-BR"/>
        </w:rPr>
      </w:pPr>
    </w:p>
    <w:p w14:paraId="00B9EF6E" w14:textId="7822F698" w:rsidR="001C133E" w:rsidRPr="007E5675" w:rsidRDefault="001C133E" w:rsidP="001C133E">
      <w:pPr>
        <w:spacing w:after="0" w:line="240" w:lineRule="auto"/>
        <w:jc w:val="both"/>
        <w:rPr>
          <w:rFonts w:ascii="Arial" w:hAnsi="Arial" w:cs="Arial"/>
          <w:sz w:val="24"/>
          <w:szCs w:val="24"/>
          <w:lang w:val="pt-BR"/>
        </w:rPr>
      </w:pPr>
    </w:p>
    <w:p w14:paraId="705B28CB" w14:textId="77777777" w:rsidR="001C133E" w:rsidRPr="007E5675" w:rsidRDefault="001C133E" w:rsidP="001C133E">
      <w:pPr>
        <w:spacing w:after="0" w:line="240" w:lineRule="auto"/>
        <w:jc w:val="both"/>
        <w:rPr>
          <w:rFonts w:ascii="Arial" w:hAnsi="Arial" w:cs="Arial"/>
          <w:sz w:val="24"/>
          <w:szCs w:val="24"/>
          <w:lang w:val="pt-BR"/>
        </w:rPr>
      </w:pPr>
    </w:p>
    <w:sectPr w:rsidR="001C133E" w:rsidRPr="007E5675" w:rsidSect="00AB49CF">
      <w:headerReference w:type="default" r:id="rId7"/>
      <w:footerReference w:type="default" r:id="rId8"/>
      <w:headerReference w:type="first" r:id="rId9"/>
      <w:footerReference w:type="first" r:id="rId1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49F7A" w14:textId="77777777" w:rsidR="00AB49CF" w:rsidRDefault="00AB49CF" w:rsidP="00AB49CF">
      <w:pPr>
        <w:spacing w:after="0" w:line="240" w:lineRule="auto"/>
      </w:pPr>
      <w:r>
        <w:separator/>
      </w:r>
    </w:p>
  </w:endnote>
  <w:endnote w:type="continuationSeparator" w:id="0">
    <w:p w14:paraId="792E1355" w14:textId="77777777" w:rsidR="00AB49CF" w:rsidRDefault="00AB49CF" w:rsidP="00AB4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178DA" w14:textId="4BEE803E" w:rsidR="00AB49CF" w:rsidRPr="00BA6337" w:rsidRDefault="00AB49CF" w:rsidP="00AB49CF">
    <w:pPr>
      <w:pStyle w:val="Piedepgina"/>
      <w:jc w:val="center"/>
      <w:rPr>
        <w:rFonts w:ascii="Arial" w:hAnsi="Arial" w:cs="Arial"/>
        <w:b/>
        <w:i/>
        <w:sz w:val="16"/>
        <w:lang w:val="es-ES"/>
      </w:rPr>
    </w:pPr>
    <w:r>
      <w:rPr>
        <w:rFonts w:ascii="Arial" w:hAnsi="Arial" w:cs="Arial"/>
        <w:b/>
        <w:i/>
        <w:sz w:val="16"/>
        <w:lang w:val="es-E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AA929" w14:textId="77777777" w:rsidR="00AB49CF" w:rsidRPr="00BA6337" w:rsidRDefault="00AB49CF" w:rsidP="00AB49CF">
    <w:pPr>
      <w:pStyle w:val="Piedepgina"/>
      <w:jc w:val="center"/>
      <w:rPr>
        <w:rFonts w:ascii="Arial" w:hAnsi="Arial" w:cs="Arial"/>
        <w:b/>
        <w:i/>
        <w:sz w:val="16"/>
        <w:lang w:val="es-ES"/>
      </w:rPr>
    </w:pPr>
    <w:r w:rsidRPr="00BA6337">
      <w:rPr>
        <w:rFonts w:ascii="Arial" w:hAnsi="Arial" w:cs="Arial"/>
        <w:b/>
        <w:i/>
        <w:sz w:val="16"/>
        <w:lang w:val="es-ES"/>
      </w:rPr>
      <w:t>Secretaría del MERCOSUR</w:t>
    </w:r>
  </w:p>
  <w:p w14:paraId="6EF84D2D" w14:textId="77777777" w:rsidR="00AB49CF" w:rsidRPr="00BA6337" w:rsidRDefault="00AB49CF" w:rsidP="00AB49CF">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46B5BBE5" w14:textId="77777777" w:rsidR="00AB49CF" w:rsidRPr="00BA6337" w:rsidRDefault="00AB49CF" w:rsidP="00AB49CF">
    <w:pPr>
      <w:pStyle w:val="Piedepgina"/>
      <w:jc w:val="center"/>
      <w:rPr>
        <w:rFonts w:ascii="Arial" w:hAnsi="Arial" w:cs="Arial"/>
        <w:b/>
        <w:i/>
        <w:sz w:val="16"/>
        <w:lang w:val="es-ES"/>
      </w:rPr>
    </w:pPr>
    <w:r w:rsidRPr="00BA6337">
      <w:rPr>
        <w:rFonts w:ascii="Arial" w:hAnsi="Arial" w:cs="Arial"/>
        <w:sz w:val="16"/>
        <w:lang w:val="es-UY"/>
      </w:rPr>
      <w:t xml:space="preserve">      </w:t>
    </w:r>
    <w:r w:rsidRPr="00BA6337">
      <w:rPr>
        <w:rFonts w:ascii="Arial" w:hAnsi="Arial" w:cs="Arial"/>
        <w:sz w:val="16"/>
        <w:lang w:val="fr-FR"/>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551ED" w14:textId="77777777" w:rsidR="00AB49CF" w:rsidRDefault="00AB49CF" w:rsidP="00AB49CF">
      <w:pPr>
        <w:spacing w:after="0" w:line="240" w:lineRule="auto"/>
      </w:pPr>
      <w:r>
        <w:separator/>
      </w:r>
    </w:p>
  </w:footnote>
  <w:footnote w:type="continuationSeparator" w:id="0">
    <w:p w14:paraId="2B793691" w14:textId="77777777" w:rsidR="00AB49CF" w:rsidRDefault="00AB49CF" w:rsidP="00AB4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B9813" w14:textId="6EBDD955" w:rsidR="00AB49CF" w:rsidRDefault="00AB49CF">
    <w:pPr>
      <w:pStyle w:val="Encabezado"/>
    </w:pPr>
    <w:r>
      <w:rPr>
        <w:noProof/>
      </w:rPr>
      <w:drawing>
        <wp:anchor distT="0" distB="0" distL="114300" distR="114300" simplePos="0" relativeHeight="251661312" behindDoc="1" locked="0" layoutInCell="0" allowOverlap="1" wp14:anchorId="22549E6F" wp14:editId="284969CD">
          <wp:simplePos x="0" y="0"/>
          <wp:positionH relativeFrom="margin">
            <wp:posOffset>-304800</wp:posOffset>
          </wp:positionH>
          <wp:positionV relativeFrom="margin">
            <wp:posOffset>2875915</wp:posOffset>
          </wp:positionV>
          <wp:extent cx="5886450" cy="3940175"/>
          <wp:effectExtent l="0" t="0" r="0" b="3175"/>
          <wp:wrapNone/>
          <wp:docPr id="1" name="Imagen 1"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86450"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7A3C" w14:textId="13736873" w:rsidR="00AB49CF" w:rsidRDefault="00AB49CF">
    <w:pPr>
      <w:pStyle w:val="Encabezado"/>
    </w:pPr>
    <w:r>
      <w:rPr>
        <w:noProof/>
      </w:rPr>
      <w:drawing>
        <wp:anchor distT="0" distB="0" distL="114300" distR="114300" simplePos="0" relativeHeight="251665408" behindDoc="1" locked="0" layoutInCell="0" allowOverlap="1" wp14:anchorId="43046E7C" wp14:editId="4D7AC03E">
          <wp:simplePos x="0" y="0"/>
          <wp:positionH relativeFrom="margin">
            <wp:align>center</wp:align>
          </wp:positionH>
          <wp:positionV relativeFrom="margin">
            <wp:align>center</wp:align>
          </wp:positionV>
          <wp:extent cx="5886450" cy="3940175"/>
          <wp:effectExtent l="0" t="0" r="0" b="3175"/>
          <wp:wrapNone/>
          <wp:docPr id="3" name="Imagen 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86450"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0" allowOverlap="1" wp14:anchorId="43FEF7F4" wp14:editId="7263F7C7">
          <wp:simplePos x="0" y="0"/>
          <wp:positionH relativeFrom="margin">
            <wp:align>right</wp:align>
          </wp:positionH>
          <wp:positionV relativeFrom="margin">
            <wp:posOffset>-750570</wp:posOffset>
          </wp:positionV>
          <wp:extent cx="1186180" cy="74803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620D748" wp14:editId="44EFD852">
          <wp:extent cx="1199515" cy="760095"/>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rsidRPr="00AB49CF">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31201E"/>
    <w:multiLevelType w:val="hybridMultilevel"/>
    <w:tmpl w:val="E71A7B14"/>
    <w:lvl w:ilvl="0" w:tplc="2F80AF5C">
      <w:start w:val="1"/>
      <w:numFmt w:val="decimal"/>
      <w:lvlText w:val="%1."/>
      <w:lvlJc w:val="left"/>
      <w:pPr>
        <w:ind w:left="720" w:hanging="360"/>
      </w:pPr>
      <w:rPr>
        <w:rFonts w:hint="default"/>
        <w:b/>
        <w:bCs/>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 w15:restartNumberingAfterBreak="0">
    <w:nsid w:val="58FB5E85"/>
    <w:multiLevelType w:val="multilevel"/>
    <w:tmpl w:val="A13E369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E0E"/>
    <w:rsid w:val="00033E0E"/>
    <w:rsid w:val="0012110C"/>
    <w:rsid w:val="001C133E"/>
    <w:rsid w:val="00215F32"/>
    <w:rsid w:val="00463F54"/>
    <w:rsid w:val="00487A82"/>
    <w:rsid w:val="00501C07"/>
    <w:rsid w:val="007055C7"/>
    <w:rsid w:val="007C79E6"/>
    <w:rsid w:val="007E5675"/>
    <w:rsid w:val="007F587F"/>
    <w:rsid w:val="00AB49CF"/>
    <w:rsid w:val="00AE312A"/>
    <w:rsid w:val="00E255EA"/>
    <w:rsid w:val="00E26A4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03D0B"/>
  <w15:chartTrackingRefBased/>
  <w15:docId w15:val="{CC646980-C086-48AD-BB7F-754240B97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63F54"/>
    <w:pPr>
      <w:ind w:left="720"/>
      <w:contextualSpacing/>
    </w:pPr>
  </w:style>
  <w:style w:type="paragraph" w:styleId="Encabezado">
    <w:name w:val="header"/>
    <w:basedOn w:val="Normal"/>
    <w:link w:val="EncabezadoCar"/>
    <w:uiPriority w:val="99"/>
    <w:unhideWhenUsed/>
    <w:rsid w:val="00AB49C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49CF"/>
  </w:style>
  <w:style w:type="paragraph" w:styleId="Piedepgina">
    <w:name w:val="footer"/>
    <w:basedOn w:val="Normal"/>
    <w:link w:val="PiedepginaCar"/>
    <w:uiPriority w:val="99"/>
    <w:unhideWhenUsed/>
    <w:rsid w:val="00AB49C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4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385</Words>
  <Characters>2120</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ALVAREZ, Maria Soledad</dc:creator>
  <cp:keywords/>
  <dc:description/>
  <cp:lastModifiedBy>Mario Melgarejo</cp:lastModifiedBy>
  <cp:revision>10</cp:revision>
  <dcterms:created xsi:type="dcterms:W3CDTF">2022-10-18T17:08:00Z</dcterms:created>
  <dcterms:modified xsi:type="dcterms:W3CDTF">2022-10-20T17:03:00Z</dcterms:modified>
</cp:coreProperties>
</file>