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3A9DF" w14:textId="77777777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</w:p>
    <w:p w14:paraId="18E8782D" w14:textId="7920F291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  <w:r w:rsidRPr="00D460BF">
        <w:rPr>
          <w:b/>
          <w:sz w:val="24"/>
          <w:szCs w:val="24"/>
          <w:lang w:val="pt-BR"/>
        </w:rPr>
        <w:t>MERCOSUR/REMPM/</w:t>
      </w:r>
      <w:r w:rsidR="004D2499">
        <w:rPr>
          <w:b/>
          <w:sz w:val="24"/>
          <w:szCs w:val="24"/>
          <w:lang w:val="pt-BR"/>
        </w:rPr>
        <w:t>CT/C</w:t>
      </w:r>
      <w:r w:rsidR="00574707">
        <w:rPr>
          <w:b/>
          <w:sz w:val="24"/>
          <w:szCs w:val="24"/>
          <w:lang w:val="pt-BR"/>
        </w:rPr>
        <w:t>COT</w:t>
      </w:r>
      <w:r w:rsidR="004D2499">
        <w:rPr>
          <w:b/>
          <w:sz w:val="24"/>
          <w:szCs w:val="24"/>
          <w:lang w:val="pt-BR"/>
        </w:rPr>
        <w:t>/</w:t>
      </w:r>
      <w:r w:rsidRPr="00D460BF">
        <w:rPr>
          <w:b/>
          <w:sz w:val="24"/>
          <w:szCs w:val="24"/>
          <w:lang w:val="pt-BR"/>
        </w:rPr>
        <w:t>S</w:t>
      </w:r>
      <w:r w:rsidR="00107F5C">
        <w:rPr>
          <w:b/>
          <w:sz w:val="24"/>
          <w:szCs w:val="24"/>
          <w:lang w:val="pt-BR"/>
        </w:rPr>
        <w:t>DI</w:t>
      </w:r>
      <w:r w:rsidRPr="00D460BF">
        <w:rPr>
          <w:b/>
          <w:sz w:val="24"/>
          <w:szCs w:val="24"/>
          <w:lang w:val="pt-BR"/>
        </w:rPr>
        <w:t>/ACTA Nº 01/22</w:t>
      </w:r>
    </w:p>
    <w:p w14:paraId="2957179D" w14:textId="77777777" w:rsidR="00462781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  <w:lang w:val="pt-BR"/>
        </w:rPr>
      </w:pPr>
    </w:p>
    <w:p w14:paraId="0D31A908" w14:textId="47F2E927" w:rsidR="00580823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  <w:r w:rsidRPr="00D460BF">
        <w:rPr>
          <w:rFonts w:eastAsia="Calibri"/>
          <w:b/>
          <w:sz w:val="24"/>
          <w:szCs w:val="24"/>
        </w:rPr>
        <w:t>REUNIÓN</w:t>
      </w:r>
      <w:r w:rsidR="001275E4" w:rsidRPr="00D460BF">
        <w:rPr>
          <w:rFonts w:eastAsia="Calibri"/>
          <w:b/>
          <w:sz w:val="24"/>
          <w:szCs w:val="24"/>
        </w:rPr>
        <w:t xml:space="preserve"> DE LA SUBCOMISIÓN DE </w:t>
      </w:r>
      <w:bookmarkStart w:id="0" w:name="_Hlk117161070"/>
      <w:r w:rsidR="00107F5C">
        <w:rPr>
          <w:rFonts w:eastAsia="Calibri"/>
          <w:b/>
          <w:sz w:val="24"/>
          <w:szCs w:val="24"/>
        </w:rPr>
        <w:t>DELITOS INFORMÁTICOS</w:t>
      </w:r>
      <w:r w:rsidR="001275E4" w:rsidRPr="00D460BF">
        <w:rPr>
          <w:rFonts w:eastAsia="Calibri"/>
          <w:b/>
          <w:sz w:val="24"/>
          <w:szCs w:val="24"/>
        </w:rPr>
        <w:t xml:space="preserve"> </w:t>
      </w:r>
      <w:r w:rsidRPr="00D460BF">
        <w:rPr>
          <w:rFonts w:eastAsia="Calibri"/>
          <w:b/>
          <w:sz w:val="24"/>
          <w:szCs w:val="24"/>
        </w:rPr>
        <w:t>(S</w:t>
      </w:r>
      <w:r w:rsidR="00107F5C">
        <w:rPr>
          <w:rFonts w:eastAsia="Calibri"/>
          <w:b/>
          <w:sz w:val="24"/>
          <w:szCs w:val="24"/>
        </w:rPr>
        <w:t>DI</w:t>
      </w:r>
      <w:r w:rsidRPr="00D460BF">
        <w:rPr>
          <w:rFonts w:eastAsia="Calibri"/>
          <w:b/>
          <w:sz w:val="24"/>
          <w:szCs w:val="24"/>
        </w:rPr>
        <w:t>)</w:t>
      </w:r>
      <w:bookmarkEnd w:id="0"/>
    </w:p>
    <w:p w14:paraId="452E6293" w14:textId="77777777" w:rsidR="00580823" w:rsidRPr="00D460BF" w:rsidRDefault="00580823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</w:p>
    <w:p w14:paraId="15F47C8C" w14:textId="77777777" w:rsidR="00151CCA" w:rsidRPr="00973F69" w:rsidRDefault="00151CCA" w:rsidP="00D460BF">
      <w:pPr>
        <w:spacing w:line="240" w:lineRule="auto"/>
        <w:jc w:val="both"/>
        <w:rPr>
          <w:sz w:val="24"/>
          <w:szCs w:val="24"/>
        </w:rPr>
      </w:pPr>
    </w:p>
    <w:p w14:paraId="5180CB56" w14:textId="20C936F6" w:rsidR="00462781" w:rsidRPr="00B47630" w:rsidRDefault="00151CCA" w:rsidP="00D460BF">
      <w:pPr>
        <w:spacing w:line="240" w:lineRule="auto"/>
        <w:jc w:val="both"/>
        <w:rPr>
          <w:sz w:val="24"/>
          <w:szCs w:val="24"/>
          <w:lang w:val="es-ES"/>
        </w:rPr>
      </w:pPr>
      <w:r w:rsidRPr="00151CCA">
        <w:rPr>
          <w:sz w:val="24"/>
          <w:szCs w:val="24"/>
          <w:lang w:val="es-ES"/>
        </w:rPr>
        <w:t xml:space="preserve">Se realizó entre los días </w:t>
      </w:r>
      <w:r w:rsidR="00973F69">
        <w:rPr>
          <w:sz w:val="24"/>
          <w:szCs w:val="24"/>
          <w:lang w:val="es-ES"/>
        </w:rPr>
        <w:t>18</w:t>
      </w:r>
      <w:r w:rsidRPr="00151CCA">
        <w:rPr>
          <w:sz w:val="24"/>
          <w:szCs w:val="24"/>
          <w:lang w:val="es-ES"/>
        </w:rPr>
        <w:t xml:space="preserve"> de </w:t>
      </w:r>
      <w:r>
        <w:rPr>
          <w:sz w:val="24"/>
          <w:szCs w:val="24"/>
          <w:lang w:val="es-ES"/>
        </w:rPr>
        <w:t>octubre</w:t>
      </w:r>
      <w:r w:rsidRPr="00151CCA">
        <w:rPr>
          <w:sz w:val="24"/>
          <w:szCs w:val="24"/>
          <w:lang w:val="es-ES"/>
        </w:rPr>
        <w:t xml:space="preserve"> de 2022, en ejercicio de la Presidencia </w:t>
      </w:r>
      <w:r w:rsidRPr="00014E97">
        <w:rPr>
          <w:i/>
          <w:iCs/>
          <w:sz w:val="24"/>
          <w:szCs w:val="24"/>
          <w:lang w:val="es-ES"/>
        </w:rPr>
        <w:t>Pro Tempore</w:t>
      </w:r>
      <w:r w:rsidRPr="00151CCA">
        <w:rPr>
          <w:sz w:val="24"/>
          <w:szCs w:val="24"/>
          <w:lang w:val="es-ES"/>
        </w:rPr>
        <w:t xml:space="preserve"> de Uruguay (PPTU), </w:t>
      </w:r>
      <w:r w:rsidRPr="00D460BF">
        <w:rPr>
          <w:sz w:val="24"/>
          <w:szCs w:val="24"/>
          <w:lang w:val="es-ES"/>
        </w:rPr>
        <w:t>durante</w:t>
      </w:r>
      <w:r w:rsidRPr="00D460BF">
        <w:rPr>
          <w:rFonts w:eastAsia="Times New Roman"/>
          <w:sz w:val="24"/>
          <w:szCs w:val="24"/>
          <w:lang w:eastAsia="es-ES"/>
        </w:rPr>
        <w:t xml:space="preserve"> la </w:t>
      </w:r>
      <w:r w:rsidRPr="00574707">
        <w:rPr>
          <w:rFonts w:eastAsia="Times New Roman"/>
          <w:sz w:val="24"/>
          <w:szCs w:val="24"/>
          <w:lang w:eastAsia="es-ES"/>
        </w:rPr>
        <w:t>XXXII</w:t>
      </w:r>
      <w:r w:rsidRPr="00D460BF">
        <w:rPr>
          <w:rFonts w:eastAsia="Times New Roman"/>
          <w:sz w:val="24"/>
          <w:szCs w:val="24"/>
          <w:lang w:eastAsia="es-ES"/>
        </w:rPr>
        <w:t xml:space="preserve"> Reunión Especializada de Ministerios Públicos del MERCOSUR, la reunión de la Subcomisión de </w:t>
      </w:r>
      <w:r w:rsidR="00107F5C">
        <w:rPr>
          <w:rFonts w:eastAsia="Times New Roman"/>
          <w:sz w:val="24"/>
          <w:szCs w:val="24"/>
          <w:lang w:eastAsia="es-ES"/>
        </w:rPr>
        <w:t>Delitos Informáticos</w:t>
      </w:r>
      <w:r w:rsidR="00574707" w:rsidRPr="00574707">
        <w:rPr>
          <w:rFonts w:eastAsia="Times New Roman"/>
          <w:sz w:val="24"/>
          <w:szCs w:val="24"/>
          <w:lang w:eastAsia="es-ES"/>
        </w:rPr>
        <w:t xml:space="preserve"> (S</w:t>
      </w:r>
      <w:r w:rsidR="00107F5C">
        <w:rPr>
          <w:rFonts w:eastAsia="Times New Roman"/>
          <w:sz w:val="24"/>
          <w:szCs w:val="24"/>
          <w:lang w:eastAsia="es-ES"/>
        </w:rPr>
        <w:t>DI</w:t>
      </w:r>
      <w:r w:rsidR="00574707" w:rsidRPr="00574707">
        <w:rPr>
          <w:rFonts w:eastAsia="Times New Roman"/>
          <w:sz w:val="24"/>
          <w:szCs w:val="24"/>
          <w:lang w:eastAsia="es-ES"/>
        </w:rPr>
        <w:t>)</w:t>
      </w:r>
      <w:r w:rsidRPr="00151CCA">
        <w:rPr>
          <w:sz w:val="24"/>
          <w:szCs w:val="24"/>
          <w:lang w:val="es-ES"/>
        </w:rPr>
        <w:t xml:space="preserve">, por sistema de videoconferencia, conforme se establece en la Resolución GMC </w:t>
      </w:r>
      <w:proofErr w:type="spellStart"/>
      <w:r w:rsidRPr="00151CCA">
        <w:rPr>
          <w:sz w:val="24"/>
          <w:szCs w:val="24"/>
          <w:lang w:val="es-ES"/>
        </w:rPr>
        <w:t>N°</w:t>
      </w:r>
      <w:proofErr w:type="spellEnd"/>
      <w:r w:rsidRPr="00151CCA">
        <w:rPr>
          <w:sz w:val="24"/>
          <w:szCs w:val="24"/>
          <w:lang w:val="es-ES"/>
        </w:rPr>
        <w:t xml:space="preserve"> 19/12, con la participación de las delegaciones de Argentina, Brasil, Paraguay y Uruguay.</w:t>
      </w:r>
      <w:r w:rsidRPr="00151CCA">
        <w:rPr>
          <w:color w:val="FF0000"/>
          <w:sz w:val="24"/>
          <w:szCs w:val="24"/>
          <w:lang w:val="es-ES"/>
        </w:rPr>
        <w:t xml:space="preserve"> </w:t>
      </w:r>
      <w:r w:rsidRPr="00574707">
        <w:rPr>
          <w:sz w:val="24"/>
          <w:szCs w:val="24"/>
          <w:lang w:val="es-ES"/>
        </w:rPr>
        <w:t xml:space="preserve">La delegación de Bolivia participó de conformidad con lo establecido en la Decisión CMC </w:t>
      </w:r>
      <w:proofErr w:type="spellStart"/>
      <w:r w:rsidRPr="00574707">
        <w:rPr>
          <w:sz w:val="24"/>
          <w:szCs w:val="24"/>
          <w:lang w:val="es-ES"/>
        </w:rPr>
        <w:t>N°</w:t>
      </w:r>
      <w:proofErr w:type="spellEnd"/>
      <w:r w:rsidRPr="00574707">
        <w:rPr>
          <w:sz w:val="24"/>
          <w:szCs w:val="24"/>
          <w:lang w:val="es-ES"/>
        </w:rPr>
        <w:t xml:space="preserve"> 13/15.</w:t>
      </w:r>
      <w:r w:rsidR="00B47630">
        <w:rPr>
          <w:sz w:val="24"/>
          <w:szCs w:val="24"/>
          <w:lang w:val="es-ES"/>
        </w:rPr>
        <w:t xml:space="preserve"> </w:t>
      </w:r>
      <w:r w:rsidR="00D55A29" w:rsidRPr="00574707">
        <w:rPr>
          <w:sz w:val="24"/>
          <w:szCs w:val="24"/>
          <w:lang w:val="es-UY"/>
        </w:rPr>
        <w:t>Las delegaciones de Chile</w:t>
      </w:r>
      <w:r w:rsidR="00B47630">
        <w:rPr>
          <w:sz w:val="24"/>
          <w:szCs w:val="24"/>
          <w:lang w:val="es-UY"/>
        </w:rPr>
        <w:t>,</w:t>
      </w:r>
      <w:r w:rsidR="00D55A29" w:rsidRPr="00574707">
        <w:rPr>
          <w:sz w:val="24"/>
          <w:szCs w:val="24"/>
          <w:lang w:val="es-UY"/>
        </w:rPr>
        <w:t xml:space="preserve"> Colombia</w:t>
      </w:r>
      <w:r w:rsidR="00B47630">
        <w:rPr>
          <w:sz w:val="24"/>
          <w:szCs w:val="24"/>
          <w:lang w:val="es-UY"/>
        </w:rPr>
        <w:t xml:space="preserve"> y Perú</w:t>
      </w:r>
      <w:r w:rsidR="00D55A29" w:rsidRPr="00574707">
        <w:rPr>
          <w:sz w:val="24"/>
          <w:szCs w:val="24"/>
          <w:lang w:val="es-UY"/>
        </w:rPr>
        <w:t xml:space="preserve"> participaron en los términos de la Decisión CMC N°18/04.</w:t>
      </w:r>
    </w:p>
    <w:p w14:paraId="55057377" w14:textId="77777777" w:rsidR="00D55A29" w:rsidRPr="00D460BF" w:rsidRDefault="00D55A29" w:rsidP="00D460BF">
      <w:pPr>
        <w:spacing w:line="240" w:lineRule="auto"/>
        <w:jc w:val="both"/>
        <w:rPr>
          <w:bCs/>
          <w:sz w:val="24"/>
          <w:szCs w:val="24"/>
          <w:lang w:val="es-UY"/>
        </w:rPr>
      </w:pPr>
    </w:p>
    <w:p w14:paraId="4D2B722C" w14:textId="277AB77A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Lista de Participantes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</w:t>
      </w:r>
      <w:r w:rsidRPr="00D460BF">
        <w:rPr>
          <w:sz w:val="24"/>
          <w:szCs w:val="24"/>
          <w:lang w:val="es-AR"/>
        </w:rPr>
        <w:t>.</w:t>
      </w:r>
    </w:p>
    <w:p w14:paraId="16C7E8F0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0E4008B2" w14:textId="31764469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Agenda de la Reunión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II</w:t>
      </w:r>
      <w:r w:rsidRPr="00D460BF">
        <w:rPr>
          <w:sz w:val="24"/>
          <w:szCs w:val="24"/>
          <w:lang w:val="es-AR"/>
        </w:rPr>
        <w:t>.</w:t>
      </w:r>
    </w:p>
    <w:p w14:paraId="499A4F68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3FE53235" w14:textId="77777777" w:rsidR="00462781" w:rsidRPr="00D460BF" w:rsidRDefault="00462781" w:rsidP="00D460BF">
      <w:pPr>
        <w:spacing w:line="240" w:lineRule="auto"/>
        <w:jc w:val="both"/>
        <w:rPr>
          <w:rFonts w:eastAsia="Calibri"/>
          <w:sz w:val="24"/>
          <w:szCs w:val="24"/>
        </w:rPr>
      </w:pPr>
      <w:r w:rsidRPr="00D460BF">
        <w:rPr>
          <w:bCs/>
          <w:sz w:val="24"/>
          <w:szCs w:val="24"/>
          <w:lang w:val="es-AR"/>
        </w:rPr>
        <w:t>Fueron tratados los siguientes temas:</w:t>
      </w:r>
    </w:p>
    <w:p w14:paraId="56C3E488" w14:textId="77777777" w:rsidR="00635FD1" w:rsidRPr="00D460BF" w:rsidRDefault="00635FD1" w:rsidP="00D460BF">
      <w:pPr>
        <w:spacing w:line="240" w:lineRule="auto"/>
        <w:ind w:firstLine="720"/>
        <w:jc w:val="both"/>
        <w:rPr>
          <w:rFonts w:eastAsia="Calibri"/>
          <w:sz w:val="24"/>
          <w:szCs w:val="24"/>
        </w:rPr>
      </w:pPr>
    </w:p>
    <w:p w14:paraId="342327F9" w14:textId="77777777" w:rsidR="00D460BF" w:rsidRPr="00D460BF" w:rsidRDefault="00D460BF" w:rsidP="00D460BF">
      <w:pPr>
        <w:spacing w:line="240" w:lineRule="auto"/>
        <w:ind w:firstLine="720"/>
        <w:jc w:val="both"/>
        <w:rPr>
          <w:rFonts w:eastAsia="Calibri"/>
          <w:sz w:val="24"/>
          <w:szCs w:val="24"/>
        </w:rPr>
      </w:pPr>
    </w:p>
    <w:p w14:paraId="5F1E8952" w14:textId="5A878EE3" w:rsidR="00D460BF" w:rsidRPr="00107F5C" w:rsidRDefault="00107F5C" w:rsidP="00574707">
      <w:pPr>
        <w:pStyle w:val="Prrafodelista"/>
        <w:numPr>
          <w:ilvl w:val="0"/>
          <w:numId w:val="6"/>
        </w:numPr>
        <w:spacing w:line="240" w:lineRule="auto"/>
        <w:ind w:left="284" w:hanging="284"/>
        <w:jc w:val="both"/>
        <w:rPr>
          <w:b/>
          <w:bCs/>
          <w:sz w:val="24"/>
          <w:szCs w:val="24"/>
        </w:rPr>
      </w:pPr>
      <w:r w:rsidRPr="00107F5C">
        <w:rPr>
          <w:b/>
          <w:bCs/>
          <w:sz w:val="24"/>
          <w:szCs w:val="24"/>
        </w:rPr>
        <w:t>SISTEMATIZACIÓN DE DOCUMENTOS Y ACTUALIZACIÓN DE LA GUÍA DE OBTENCIÓN DE EVIDENCIA DIGITAL DE PROVEEDORES EN EL EXTRANJERO</w:t>
      </w:r>
    </w:p>
    <w:p w14:paraId="48E183F3" w14:textId="225E519B" w:rsidR="004D2499" w:rsidRDefault="004D2499" w:rsidP="00D460BF">
      <w:pPr>
        <w:spacing w:line="240" w:lineRule="auto"/>
        <w:rPr>
          <w:sz w:val="24"/>
          <w:szCs w:val="24"/>
        </w:rPr>
      </w:pPr>
    </w:p>
    <w:p w14:paraId="23630697" w14:textId="07614886" w:rsidR="00107F5C" w:rsidRDefault="00107F5C" w:rsidP="00107F5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107F5C">
        <w:rPr>
          <w:sz w:val="24"/>
          <w:szCs w:val="24"/>
        </w:rPr>
        <w:t>as delegaciones intercambiaron comentarios sobre la actualización de</w:t>
      </w:r>
      <w:r>
        <w:rPr>
          <w:sz w:val="24"/>
          <w:szCs w:val="24"/>
        </w:rPr>
        <w:t xml:space="preserve"> </w:t>
      </w:r>
      <w:r w:rsidRPr="00107F5C">
        <w:rPr>
          <w:sz w:val="24"/>
          <w:szCs w:val="24"/>
        </w:rPr>
        <w:t xml:space="preserve">la </w:t>
      </w:r>
      <w:r>
        <w:rPr>
          <w:sz w:val="24"/>
          <w:szCs w:val="24"/>
        </w:rPr>
        <w:t>G</w:t>
      </w:r>
      <w:r w:rsidRPr="00107F5C">
        <w:rPr>
          <w:sz w:val="24"/>
          <w:szCs w:val="24"/>
        </w:rPr>
        <w:t>uía</w:t>
      </w:r>
      <w:r w:rsidRPr="00107F5C">
        <w:t xml:space="preserve"> </w:t>
      </w:r>
      <w:r w:rsidRPr="00107F5C">
        <w:rPr>
          <w:sz w:val="24"/>
          <w:szCs w:val="24"/>
        </w:rPr>
        <w:t>Obtención de Evidencia Digital de Proveedores en el Extranjero</w:t>
      </w:r>
      <w:r>
        <w:rPr>
          <w:sz w:val="24"/>
          <w:szCs w:val="24"/>
        </w:rPr>
        <w:t>.</w:t>
      </w:r>
    </w:p>
    <w:p w14:paraId="26459D90" w14:textId="77777777" w:rsidR="00107F5C" w:rsidRPr="00107F5C" w:rsidRDefault="00107F5C" w:rsidP="00107F5C">
      <w:pPr>
        <w:spacing w:line="240" w:lineRule="auto"/>
        <w:jc w:val="both"/>
        <w:rPr>
          <w:sz w:val="24"/>
          <w:szCs w:val="24"/>
        </w:rPr>
      </w:pPr>
    </w:p>
    <w:p w14:paraId="28DEC416" w14:textId="28A09A94" w:rsidR="00107F5C" w:rsidRDefault="00107F5C" w:rsidP="00107F5C">
      <w:pPr>
        <w:spacing w:line="240" w:lineRule="auto"/>
        <w:jc w:val="both"/>
        <w:rPr>
          <w:sz w:val="24"/>
          <w:szCs w:val="24"/>
        </w:rPr>
      </w:pPr>
      <w:r w:rsidRPr="00107F5C">
        <w:rPr>
          <w:sz w:val="24"/>
          <w:szCs w:val="24"/>
        </w:rPr>
        <w:t xml:space="preserve">Con relación al Convenio sobre Ciberdelincuencia (Budapest), y en particular Segundo Protocolo Adicional, las delegaciones </w:t>
      </w:r>
      <w:r w:rsidR="005647AE">
        <w:rPr>
          <w:sz w:val="24"/>
          <w:szCs w:val="24"/>
        </w:rPr>
        <w:t>debatieron</w:t>
      </w:r>
      <w:r w:rsidRPr="00107F5C">
        <w:rPr>
          <w:sz w:val="24"/>
          <w:szCs w:val="24"/>
        </w:rPr>
        <w:t xml:space="preserve"> sobre el rol de los Ministerios Públicos, el cambio de paradigma en la cooperación jurídica internacional penal hacia la asistencia directa entre autoridades competentes. </w:t>
      </w:r>
    </w:p>
    <w:p w14:paraId="1A9AC64D" w14:textId="77777777" w:rsidR="00107F5C" w:rsidRDefault="00107F5C" w:rsidP="00107F5C">
      <w:pPr>
        <w:spacing w:line="240" w:lineRule="auto"/>
        <w:jc w:val="both"/>
        <w:rPr>
          <w:sz w:val="24"/>
          <w:szCs w:val="24"/>
        </w:rPr>
      </w:pPr>
    </w:p>
    <w:p w14:paraId="2B5A6E51" w14:textId="6734DFD4" w:rsidR="00574707" w:rsidRPr="00D460BF" w:rsidRDefault="00107F5C" w:rsidP="00107F5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Asimismo, s</w:t>
      </w:r>
      <w:r w:rsidRPr="00107F5C">
        <w:rPr>
          <w:sz w:val="24"/>
          <w:szCs w:val="24"/>
        </w:rPr>
        <w:t>e aludió a la iniciativa en el ámbito de NNUU sobre esta temática y se acordó iniciar un estudio relativo a “Contribuciones para el debate en materia de cibercriminalidad y evidencia digital” a ser coordinado por esta Subcomisión sobre la base de insumos proporcionados por la delegación de Brasil.</w:t>
      </w:r>
    </w:p>
    <w:p w14:paraId="737B7554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p w14:paraId="62511C96" w14:textId="77777777" w:rsidR="00980DC6" w:rsidRDefault="00980DC6" w:rsidP="00980DC6">
      <w:pPr>
        <w:pStyle w:val="Prrafodelista"/>
        <w:numPr>
          <w:ilvl w:val="0"/>
          <w:numId w:val="6"/>
        </w:numPr>
        <w:spacing w:line="240" w:lineRule="auto"/>
        <w:ind w:left="284" w:hanging="284"/>
        <w:jc w:val="both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INFORME DE </w:t>
      </w:r>
      <w:r w:rsidRPr="00980DC6">
        <w:rPr>
          <w:b/>
          <w:bCs/>
          <w:sz w:val="24"/>
          <w:szCs w:val="24"/>
        </w:rPr>
        <w:t>CUMPLIMIENTO</w:t>
      </w:r>
      <w:r>
        <w:rPr>
          <w:b/>
          <w:bCs/>
          <w:sz w:val="24"/>
          <w:szCs w:val="24"/>
          <w:lang w:val="es-ES"/>
        </w:rPr>
        <w:t xml:space="preserve"> DEL PROGRAMA DE TRABAJO 2021-2022 Y PROGRAMA DE TRABAJO 2023-2024</w:t>
      </w:r>
    </w:p>
    <w:p w14:paraId="5CC2971C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302BE73D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El Informe</w:t>
      </w:r>
      <w:r>
        <w:rPr>
          <w:sz w:val="24"/>
          <w:szCs w:val="24"/>
          <w:lang w:val="es-ES"/>
        </w:rPr>
        <w:t xml:space="preserve"> de cumplimiento del Programa de Trabajo 2021-2022 y el Programa de Trabajo 2023-2024 constan como </w:t>
      </w:r>
      <w:r>
        <w:rPr>
          <w:b/>
          <w:bCs/>
          <w:sz w:val="24"/>
          <w:szCs w:val="24"/>
          <w:lang w:val="es-ES"/>
        </w:rPr>
        <w:t>Anexo III</w:t>
      </w:r>
      <w:r>
        <w:rPr>
          <w:sz w:val="24"/>
          <w:szCs w:val="24"/>
          <w:lang w:val="es-ES"/>
        </w:rPr>
        <w:t xml:space="preserve"> y </w:t>
      </w:r>
      <w:r>
        <w:rPr>
          <w:b/>
          <w:bCs/>
          <w:sz w:val="24"/>
          <w:szCs w:val="24"/>
          <w:lang w:val="es-ES"/>
        </w:rPr>
        <w:t>IV</w:t>
      </w:r>
      <w:r>
        <w:rPr>
          <w:sz w:val="24"/>
          <w:szCs w:val="24"/>
          <w:lang w:val="es-ES"/>
        </w:rPr>
        <w:t xml:space="preserve"> respectivamente.</w:t>
      </w:r>
    </w:p>
    <w:p w14:paraId="1F52CF60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46EA62E7" w14:textId="624E4F49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71448E24" w14:textId="6E0DE71F" w:rsidR="00B47630" w:rsidRDefault="00B47630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26688DC5" w14:textId="77777777" w:rsidR="00B47630" w:rsidRDefault="00B47630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bookmarkStart w:id="1" w:name="_GoBack"/>
      <w:bookmarkEnd w:id="1"/>
    </w:p>
    <w:p w14:paraId="28E10745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LISTA DE ANEXOS</w:t>
      </w:r>
    </w:p>
    <w:p w14:paraId="5BE0A341" w14:textId="77777777" w:rsidR="00980DC6" w:rsidRDefault="00980DC6" w:rsidP="00980DC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p w14:paraId="53E3CF80" w14:textId="77777777" w:rsidR="00980DC6" w:rsidRDefault="00980DC6" w:rsidP="00980DC6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Los Anexos que forman parte del Acta son los siguientes: </w:t>
      </w:r>
    </w:p>
    <w:p w14:paraId="659C4800" w14:textId="77777777" w:rsidR="00980DC6" w:rsidRDefault="00980DC6" w:rsidP="00980DC6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696"/>
        <w:gridCol w:w="6947"/>
      </w:tblGrid>
      <w:tr w:rsidR="00980DC6" w14:paraId="6236F3BC" w14:textId="77777777" w:rsidTr="00980DC6">
        <w:trPr>
          <w:trHeight w:val="340"/>
        </w:trPr>
        <w:tc>
          <w:tcPr>
            <w:tcW w:w="1696" w:type="dxa"/>
          </w:tcPr>
          <w:p w14:paraId="3783146C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  <w:p w14:paraId="3AB346B5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Anexo I</w:t>
            </w:r>
          </w:p>
        </w:tc>
        <w:tc>
          <w:tcPr>
            <w:tcW w:w="6947" w:type="dxa"/>
          </w:tcPr>
          <w:p w14:paraId="0AAC4E92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</w:p>
          <w:p w14:paraId="0F4EEF17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Lista de Participantes</w:t>
            </w:r>
          </w:p>
        </w:tc>
      </w:tr>
      <w:tr w:rsidR="00980DC6" w14:paraId="27BCD260" w14:textId="77777777" w:rsidTr="00980DC6">
        <w:trPr>
          <w:trHeight w:val="340"/>
        </w:trPr>
        <w:tc>
          <w:tcPr>
            <w:tcW w:w="1696" w:type="dxa"/>
            <w:hideMark/>
          </w:tcPr>
          <w:p w14:paraId="0DEA0C8D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>
              <w:rPr>
                <w:lang w:val="es-ES"/>
              </w:rPr>
              <w:br w:type="page"/>
            </w:r>
            <w:r>
              <w:rPr>
                <w:b/>
                <w:sz w:val="24"/>
                <w:szCs w:val="24"/>
                <w:lang w:val="es-ES"/>
              </w:rPr>
              <w:t>Anexo II</w:t>
            </w:r>
          </w:p>
        </w:tc>
        <w:tc>
          <w:tcPr>
            <w:tcW w:w="6947" w:type="dxa"/>
            <w:hideMark/>
          </w:tcPr>
          <w:p w14:paraId="66F0320C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Agenda de la Reunión</w:t>
            </w:r>
          </w:p>
        </w:tc>
      </w:tr>
      <w:tr w:rsidR="00980DC6" w14:paraId="7D333A79" w14:textId="77777777" w:rsidTr="00980DC6">
        <w:trPr>
          <w:trHeight w:val="340"/>
        </w:trPr>
        <w:tc>
          <w:tcPr>
            <w:tcW w:w="1696" w:type="dxa"/>
            <w:hideMark/>
          </w:tcPr>
          <w:p w14:paraId="11DF6274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Anexo III</w:t>
            </w:r>
          </w:p>
        </w:tc>
        <w:tc>
          <w:tcPr>
            <w:tcW w:w="6947" w:type="dxa"/>
            <w:hideMark/>
          </w:tcPr>
          <w:p w14:paraId="41D0AABF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Informe de cumplimiento del Programa de Trabajo 2021-2022</w:t>
            </w:r>
          </w:p>
        </w:tc>
      </w:tr>
      <w:tr w:rsidR="00980DC6" w14:paraId="364591B5" w14:textId="77777777" w:rsidTr="00980DC6">
        <w:trPr>
          <w:trHeight w:val="340"/>
        </w:trPr>
        <w:tc>
          <w:tcPr>
            <w:tcW w:w="1696" w:type="dxa"/>
            <w:hideMark/>
          </w:tcPr>
          <w:p w14:paraId="31573309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Anexo IV</w:t>
            </w:r>
          </w:p>
        </w:tc>
        <w:tc>
          <w:tcPr>
            <w:tcW w:w="6947" w:type="dxa"/>
            <w:hideMark/>
          </w:tcPr>
          <w:p w14:paraId="794DBC81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bookmarkStart w:id="2" w:name="_Hlk117166236"/>
            <w:r>
              <w:rPr>
                <w:sz w:val="24"/>
                <w:szCs w:val="24"/>
                <w:lang w:val="es-ES"/>
              </w:rPr>
              <w:t>Programa de Trabajo 2023-2024</w:t>
            </w:r>
            <w:bookmarkEnd w:id="2"/>
          </w:p>
        </w:tc>
      </w:tr>
    </w:tbl>
    <w:p w14:paraId="25F39583" w14:textId="77777777" w:rsidR="00980DC6" w:rsidRDefault="00980DC6" w:rsidP="00980DC6">
      <w:pPr>
        <w:spacing w:line="240" w:lineRule="auto"/>
        <w:rPr>
          <w:sz w:val="24"/>
          <w:szCs w:val="24"/>
          <w:lang w:val="es-ES"/>
        </w:rPr>
      </w:pPr>
    </w:p>
    <w:p w14:paraId="0CBB8461" w14:textId="77777777" w:rsidR="00980DC6" w:rsidRDefault="00980DC6" w:rsidP="00980DC6">
      <w:pPr>
        <w:spacing w:line="240" w:lineRule="auto"/>
        <w:rPr>
          <w:sz w:val="24"/>
          <w:szCs w:val="24"/>
          <w:lang w:val="es-ES"/>
        </w:rPr>
      </w:pPr>
    </w:p>
    <w:p w14:paraId="10D24326" w14:textId="77777777" w:rsidR="00980DC6" w:rsidRDefault="00980DC6" w:rsidP="00980DC6">
      <w:pPr>
        <w:spacing w:line="240" w:lineRule="auto"/>
        <w:rPr>
          <w:sz w:val="24"/>
          <w:szCs w:val="24"/>
          <w:lang w:val="es-ES"/>
        </w:rPr>
      </w:pPr>
    </w:p>
    <w:p w14:paraId="6D66CE56" w14:textId="77777777" w:rsidR="00980DC6" w:rsidRDefault="00980DC6" w:rsidP="00980DC6">
      <w:pPr>
        <w:spacing w:line="240" w:lineRule="auto"/>
        <w:rPr>
          <w:sz w:val="24"/>
          <w:szCs w:val="24"/>
          <w:lang w:val="es-ES"/>
        </w:rPr>
      </w:pPr>
    </w:p>
    <w:tbl>
      <w:tblPr>
        <w:tblW w:w="5098" w:type="dxa"/>
        <w:jc w:val="center"/>
        <w:tblLook w:val="04A0" w:firstRow="1" w:lastRow="0" w:firstColumn="1" w:lastColumn="0" w:noHBand="0" w:noVBand="1"/>
      </w:tblPr>
      <w:tblGrid>
        <w:gridCol w:w="5098"/>
      </w:tblGrid>
      <w:tr w:rsidR="00980DC6" w14:paraId="5FA6274C" w14:textId="77777777" w:rsidTr="00980DC6">
        <w:trPr>
          <w:trHeight w:val="340"/>
          <w:jc w:val="center"/>
        </w:trPr>
        <w:tc>
          <w:tcPr>
            <w:tcW w:w="5098" w:type="dxa"/>
            <w:hideMark/>
          </w:tcPr>
          <w:p w14:paraId="1C06A8AA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__________________________</w:t>
            </w:r>
          </w:p>
          <w:p w14:paraId="46813921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Gabriela Aguirre</w:t>
            </w:r>
          </w:p>
          <w:p w14:paraId="667989BE" w14:textId="77777777" w:rsidR="00980DC6" w:rsidRDefault="00980DC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pt-BR"/>
              </w:rPr>
            </w:pPr>
            <w:r>
              <w:rPr>
                <w:b/>
                <w:bCs/>
                <w:sz w:val="24"/>
                <w:szCs w:val="24"/>
              </w:rPr>
              <w:t>Presidencia Pro Tempore Uruguay (PPTU</w:t>
            </w:r>
            <w:r>
              <w:rPr>
                <w:b/>
                <w:bCs/>
                <w:sz w:val="24"/>
                <w:szCs w:val="24"/>
                <w:lang w:val="pt-BR"/>
              </w:rPr>
              <w:t>)</w:t>
            </w:r>
          </w:p>
        </w:tc>
      </w:tr>
    </w:tbl>
    <w:p w14:paraId="64E4FC5D" w14:textId="77777777" w:rsidR="00B802BD" w:rsidRPr="00B802BD" w:rsidRDefault="00B802BD" w:rsidP="00574707">
      <w:pPr>
        <w:rPr>
          <w:sz w:val="24"/>
          <w:szCs w:val="24"/>
          <w:lang w:val="pt-BR"/>
        </w:rPr>
      </w:pPr>
    </w:p>
    <w:sectPr w:rsidR="00B802BD" w:rsidRPr="00B802BD" w:rsidSect="00EA3A94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17" w:right="1701" w:bottom="1417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ACCEA" w14:textId="77777777" w:rsidR="001275E4" w:rsidRDefault="001275E4">
      <w:pPr>
        <w:spacing w:line="240" w:lineRule="auto"/>
      </w:pPr>
      <w:r>
        <w:separator/>
      </w:r>
    </w:p>
  </w:endnote>
  <w:endnote w:type="continuationSeparator" w:id="0">
    <w:p w14:paraId="60A34633" w14:textId="77777777" w:rsidR="001275E4" w:rsidRDefault="00127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030304"/>
      <w:docPartObj>
        <w:docPartGallery w:val="Page Numbers (Bottom of Page)"/>
        <w:docPartUnique/>
      </w:docPartObj>
    </w:sdtPr>
    <w:sdtEndPr/>
    <w:sdtContent>
      <w:p w14:paraId="322E473A" w14:textId="2E00602A" w:rsidR="00EA3A94" w:rsidRDefault="00EA3A9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57EE36D" w14:textId="79F11E8F" w:rsidR="00580823" w:rsidRDefault="00580823">
    <w:pPr>
      <w:spacing w:line="240" w:lineRule="auto"/>
      <w:jc w:val="right"/>
      <w:rPr>
        <w:rFonts w:ascii="Calibri" w:eastAsia="Calibri" w:hAnsi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5E574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b/>
        <w:i/>
        <w:sz w:val="16"/>
        <w:lang w:val="es-ES"/>
      </w:rPr>
      <w:t>Secretaría del MERCOSUR</w:t>
    </w:r>
  </w:p>
  <w:p w14:paraId="5DC07FB6" w14:textId="77777777" w:rsidR="00EA3A94" w:rsidRPr="00BA6337" w:rsidRDefault="00EA3A94" w:rsidP="00EA3A94">
    <w:pPr>
      <w:pStyle w:val="Piedepgina"/>
      <w:jc w:val="center"/>
      <w:rPr>
        <w:b/>
        <w:sz w:val="16"/>
        <w:lang w:val="es-UY"/>
      </w:rPr>
    </w:pPr>
    <w:r w:rsidRPr="00BA6337">
      <w:rPr>
        <w:b/>
        <w:sz w:val="16"/>
        <w:lang w:val="es-UY"/>
      </w:rPr>
      <w:t xml:space="preserve">        Archivo Oficial</w:t>
    </w:r>
  </w:p>
  <w:p w14:paraId="3CF04A86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sz w:val="16"/>
        <w:lang w:val="es-UY"/>
      </w:rPr>
      <w:t xml:space="preserve">      </w:t>
    </w:r>
    <w:r w:rsidRPr="00BA6337">
      <w:rPr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E5282" w14:textId="77777777" w:rsidR="001275E4" w:rsidRDefault="001275E4">
      <w:pPr>
        <w:spacing w:line="240" w:lineRule="auto"/>
      </w:pPr>
      <w:r>
        <w:separator/>
      </w:r>
    </w:p>
  </w:footnote>
  <w:footnote w:type="continuationSeparator" w:id="0">
    <w:p w14:paraId="73A3FD5B" w14:textId="77777777" w:rsidR="001275E4" w:rsidRDefault="001275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6BED6" w14:textId="5B214665" w:rsidR="00580823" w:rsidRDefault="00EA3A94" w:rsidP="00EA3A94">
    <w:r>
      <w:rPr>
        <w:noProof/>
      </w:rPr>
      <w:drawing>
        <wp:anchor distT="0" distB="0" distL="114300" distR="114300" simplePos="0" relativeHeight="251661312" behindDoc="1" locked="0" layoutInCell="0" allowOverlap="1" wp14:anchorId="4EC623C0" wp14:editId="699136DB">
          <wp:simplePos x="0" y="0"/>
          <wp:positionH relativeFrom="margin">
            <wp:align>center</wp:align>
          </wp:positionH>
          <wp:positionV relativeFrom="margin">
            <wp:posOffset>2709545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A9A5D" w14:textId="681F72BF" w:rsidR="00EA3A94" w:rsidRDefault="00EA3A94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5C74050C" wp14:editId="1981F5A9">
          <wp:simplePos x="0" y="0"/>
          <wp:positionH relativeFrom="margin">
            <wp:align>center</wp:align>
          </wp:positionH>
          <wp:positionV relativeFrom="margin">
            <wp:posOffset>2438400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allowOverlap="1" wp14:anchorId="2BE79293" wp14:editId="3CE4FD25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1186180" cy="69088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56D6318" wp14:editId="107F72ED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A3A9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686A"/>
    <w:multiLevelType w:val="multilevel"/>
    <w:tmpl w:val="14FA34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6444A0"/>
    <w:multiLevelType w:val="hybridMultilevel"/>
    <w:tmpl w:val="4B347086"/>
    <w:lvl w:ilvl="0" w:tplc="0F68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76DDC"/>
    <w:multiLevelType w:val="hybridMultilevel"/>
    <w:tmpl w:val="B6BCD0AC"/>
    <w:lvl w:ilvl="0" w:tplc="D046A5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713CD"/>
    <w:multiLevelType w:val="hybridMultilevel"/>
    <w:tmpl w:val="95FEDA4C"/>
    <w:lvl w:ilvl="0" w:tplc="533227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B5E85"/>
    <w:multiLevelType w:val="multilevel"/>
    <w:tmpl w:val="A13E3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23"/>
    <w:rsid w:val="00014E97"/>
    <w:rsid w:val="000F7B70"/>
    <w:rsid w:val="00107F5C"/>
    <w:rsid w:val="001275E4"/>
    <w:rsid w:val="00151CCA"/>
    <w:rsid w:val="00462781"/>
    <w:rsid w:val="00476BAD"/>
    <w:rsid w:val="004D2499"/>
    <w:rsid w:val="005647AE"/>
    <w:rsid w:val="00574707"/>
    <w:rsid w:val="00580823"/>
    <w:rsid w:val="00635FD1"/>
    <w:rsid w:val="006C12EB"/>
    <w:rsid w:val="007A6F85"/>
    <w:rsid w:val="00971A21"/>
    <w:rsid w:val="00973F69"/>
    <w:rsid w:val="00980DC6"/>
    <w:rsid w:val="009A1B29"/>
    <w:rsid w:val="00A46CBD"/>
    <w:rsid w:val="00B47630"/>
    <w:rsid w:val="00B802BD"/>
    <w:rsid w:val="00C65A68"/>
    <w:rsid w:val="00D15A5F"/>
    <w:rsid w:val="00D460BF"/>
    <w:rsid w:val="00D55A29"/>
    <w:rsid w:val="00E26ACC"/>
    <w:rsid w:val="00EA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4AD5E8"/>
  <w15:docId w15:val="{F2644222-1576-4480-B34D-7DE55A5F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3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CBD"/>
  </w:style>
  <w:style w:type="paragraph" w:styleId="Piedepgina">
    <w:name w:val="footer"/>
    <w:basedOn w:val="Normal"/>
    <w:link w:val="Piedepgina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9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Aguirre Grompone</dc:creator>
  <cp:lastModifiedBy>Mario Melgarejo</cp:lastModifiedBy>
  <cp:revision>17</cp:revision>
  <dcterms:created xsi:type="dcterms:W3CDTF">2022-10-16T22:32:00Z</dcterms:created>
  <dcterms:modified xsi:type="dcterms:W3CDTF">2022-10-20T17:09:00Z</dcterms:modified>
</cp:coreProperties>
</file>