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8848" w14:textId="77777777" w:rsidR="00104BA5" w:rsidRDefault="00104BA5" w:rsidP="00DE57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B202129" w14:textId="79987CAA" w:rsidR="00DE57E4" w:rsidRPr="007C68C4" w:rsidRDefault="00DE57E4" w:rsidP="00DE57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MERCOSUR/GAIM/ACTA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0</w:t>
      </w:r>
      <w:r w:rsidR="00104BA5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7C68C4">
        <w:rPr>
          <w:rFonts w:ascii="Arial" w:eastAsia="Times New Roman" w:hAnsi="Arial" w:cs="Arial"/>
          <w:b/>
          <w:bCs/>
          <w:sz w:val="24"/>
          <w:szCs w:val="24"/>
        </w:rPr>
        <w:t>/22</w:t>
      </w:r>
    </w:p>
    <w:p w14:paraId="6AA4D059" w14:textId="77777777" w:rsidR="00DE57E4" w:rsidRDefault="00DE57E4" w:rsidP="00DE57E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D9D7D9" w14:textId="77777777" w:rsidR="00DE57E4" w:rsidRPr="007C68C4" w:rsidRDefault="00DE57E4" w:rsidP="00DE57E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C68C4">
        <w:rPr>
          <w:rFonts w:ascii="Arial" w:hAnsi="Arial" w:cs="Arial"/>
          <w:b/>
          <w:bCs/>
          <w:sz w:val="24"/>
          <w:szCs w:val="24"/>
        </w:rPr>
        <w:t>XV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7C68C4">
        <w:rPr>
          <w:rFonts w:ascii="Arial" w:hAnsi="Arial" w:cs="Arial"/>
          <w:b/>
          <w:bCs/>
          <w:sz w:val="24"/>
          <w:szCs w:val="24"/>
        </w:rPr>
        <w:t xml:space="preserve"> REUNIÓN </w:t>
      </w:r>
      <w:r>
        <w:rPr>
          <w:rFonts w:ascii="Arial" w:hAnsi="Arial" w:cs="Arial"/>
          <w:b/>
          <w:bCs/>
          <w:sz w:val="24"/>
          <w:szCs w:val="24"/>
        </w:rPr>
        <w:t>EXTRA</w:t>
      </w:r>
      <w:r w:rsidRPr="007C68C4">
        <w:rPr>
          <w:rFonts w:ascii="Arial" w:hAnsi="Arial" w:cs="Arial"/>
          <w:b/>
          <w:bCs/>
          <w:sz w:val="24"/>
          <w:szCs w:val="24"/>
        </w:rPr>
        <w:t xml:space="preserve">ORDINARIA DEL GRUPO ASUNTOS </w:t>
      </w:r>
      <w:r w:rsidRPr="007C6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JURÍDICOS </w:t>
      </w:r>
    </w:p>
    <w:p w14:paraId="733A80C9" w14:textId="77777777" w:rsidR="00DE57E4" w:rsidRPr="007C68C4" w:rsidRDefault="00DE57E4" w:rsidP="00DE57E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6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INSTITUCIONALES DEL MERCOSUR</w:t>
      </w:r>
    </w:p>
    <w:p w14:paraId="266BA0DF" w14:textId="77777777" w:rsidR="00DE57E4" w:rsidRPr="007C68C4" w:rsidRDefault="00DE57E4" w:rsidP="00DE57E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075C9D" w14:textId="77777777" w:rsidR="00DE57E4" w:rsidRPr="00DE57E4" w:rsidRDefault="00DE57E4" w:rsidP="00DE57E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24"/>
        </w:rPr>
      </w:pPr>
    </w:p>
    <w:p w14:paraId="43A42062" w14:textId="6F2176DF" w:rsidR="00046E97" w:rsidRPr="00584F50" w:rsidRDefault="00DE57E4" w:rsidP="00046E9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</w:pP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Se realizó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día 22 de setiembre 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de 2022, en ejercicio de la </w:t>
      </w:r>
      <w:r w:rsidRPr="007C68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Presidencia Pro Tempore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Uruguay (PPTU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>), la XV</w:t>
      </w:r>
      <w:r>
        <w:rPr>
          <w:rFonts w:ascii="Arial" w:eastAsia="Times New Roman" w:hAnsi="Arial" w:cs="Arial"/>
          <w:sz w:val="24"/>
          <w:szCs w:val="24"/>
          <w:lang w:eastAsia="es-ES"/>
        </w:rPr>
        <w:t>III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 Reunión </w:t>
      </w:r>
      <w:r>
        <w:rPr>
          <w:rFonts w:ascii="Arial" w:eastAsia="Times New Roman" w:hAnsi="Arial" w:cs="Arial"/>
          <w:sz w:val="24"/>
          <w:szCs w:val="24"/>
          <w:lang w:eastAsia="es-ES"/>
        </w:rPr>
        <w:t>Extrao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rdinaria del Grupo de Asuntos Jurídicos e Institucionales del MERCOSUR (GAIM), por sistema de videoconferencia de conformidad con lo dispuesto en la Resolución GMC N° 19/12, con la presencia </w:t>
      </w:r>
      <w:r w:rsidR="00046E97" w:rsidRPr="007C68C4">
        <w:rPr>
          <w:rFonts w:ascii="Arial" w:eastAsia="Times New Roman" w:hAnsi="Arial" w:cs="Arial"/>
          <w:sz w:val="24"/>
          <w:szCs w:val="24"/>
          <w:lang w:eastAsia="es-ES"/>
        </w:rPr>
        <w:t>de las delegaciones de Argentina, Brasil, Paraguay y Uruguay.</w:t>
      </w:r>
    </w:p>
    <w:p w14:paraId="0A7B2C5E" w14:textId="77777777" w:rsidR="00046E97" w:rsidRPr="00584F50" w:rsidRDefault="00046E97" w:rsidP="00046E97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3261C0AE" w14:textId="77777777" w:rsidR="00046E97" w:rsidRPr="00A47EFA" w:rsidRDefault="00046E97" w:rsidP="00046E97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Lista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articipantes consta como </w:t>
      </w:r>
      <w:r w:rsidRPr="00A47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B29A554" w14:textId="77777777" w:rsidR="00046E97" w:rsidRPr="00A47EFA" w:rsidRDefault="00046E97" w:rsidP="00046E97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B88AB7" w14:textId="77777777" w:rsidR="00046E97" w:rsidRPr="0078024A" w:rsidRDefault="00046E97" w:rsidP="00046E97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Agenda consta como </w:t>
      </w:r>
      <w:r w:rsidRPr="00780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II</w:t>
      </w: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DAE6A6B" w14:textId="77777777" w:rsidR="00046E97" w:rsidRPr="0078024A" w:rsidRDefault="00046E97" w:rsidP="00046E97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355FD6" w14:textId="77777777" w:rsidR="00046E97" w:rsidRPr="0078024A" w:rsidRDefault="00046E97" w:rsidP="00046E97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Resumen del Acta consta como </w:t>
      </w:r>
      <w:r w:rsidRPr="00780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III</w:t>
      </w: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5AA9433" w14:textId="77777777" w:rsidR="00046E97" w:rsidRDefault="00046E97" w:rsidP="00046E97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041AE0" w14:textId="77777777" w:rsidR="00046E97" w:rsidRPr="00B401FC" w:rsidRDefault="00046E97" w:rsidP="00046E97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24"/>
          <w:lang w:eastAsia="es-ES"/>
        </w:rPr>
      </w:pPr>
    </w:p>
    <w:p w14:paraId="448805FA" w14:textId="77777777" w:rsidR="00046E97" w:rsidRPr="007C68C4" w:rsidRDefault="00046E97" w:rsidP="00046E9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Durante la reunión fue tratado el siguiente tema</w:t>
      </w:r>
      <w:r w:rsidRPr="007C68C4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315A1260" w14:textId="77777777" w:rsidR="00046E97" w:rsidRDefault="00046E97" w:rsidP="00046E97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24"/>
          <w:szCs w:val="20"/>
          <w:lang w:eastAsia="es-ES"/>
        </w:rPr>
      </w:pPr>
    </w:p>
    <w:p w14:paraId="677FBC72" w14:textId="77777777" w:rsidR="00046E97" w:rsidRPr="00B401FC" w:rsidRDefault="00046E97" w:rsidP="00046E97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16"/>
          <w:szCs w:val="20"/>
          <w:lang w:eastAsia="es-ES"/>
        </w:rPr>
      </w:pPr>
    </w:p>
    <w:p w14:paraId="2A6D5DDF" w14:textId="77777777" w:rsidR="00046E97" w:rsidRPr="003B6945" w:rsidRDefault="00046E97" w:rsidP="00046E97">
      <w:pPr>
        <w:pStyle w:val="Prrafodelista"/>
        <w:widowControl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MODIFICACIÓN DE LA DECISIÓN CMC Nº 15/15 “NORMAS GENERALES PARA FUNCIONARIOS MERCOSUR”</w:t>
      </w:r>
    </w:p>
    <w:p w14:paraId="40B70289" w14:textId="77777777" w:rsidR="00046E97" w:rsidRDefault="00046E97" w:rsidP="00046E97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7E92965" w14:textId="6E9BB8F0" w:rsidR="00046E97" w:rsidRPr="004C4412" w:rsidRDefault="00046E97" w:rsidP="004C441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812C5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El GAIM </w:t>
      </w:r>
      <w:r>
        <w:rPr>
          <w:rFonts w:ascii="Arial" w:hAnsi="Arial" w:cs="Arial"/>
          <w:sz w:val="24"/>
          <w:szCs w:val="20"/>
          <w:lang w:eastAsia="es-ES"/>
        </w:rPr>
        <w:t xml:space="preserve">consensuó y elevó a consideración del GMC </w:t>
      </w:r>
      <w:r>
        <w:rPr>
          <w:rFonts w:ascii="Arial" w:eastAsia="Times New Roman" w:hAnsi="Arial" w:cs="Arial"/>
          <w:bCs/>
          <w:sz w:val="24"/>
          <w:szCs w:val="24"/>
          <w:lang w:eastAsia="es-UY"/>
        </w:rPr>
        <w:t>el Proyecto de Resolución</w:t>
      </w:r>
      <w:r w:rsidRPr="002812C5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UY"/>
        </w:rPr>
        <w:t>Nº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</w:t>
      </w:r>
      <w:r w:rsidR="009535FD">
        <w:rPr>
          <w:rFonts w:ascii="Arial" w:eastAsia="Times New Roman" w:hAnsi="Arial" w:cs="Arial"/>
          <w:bCs/>
          <w:sz w:val="24"/>
          <w:szCs w:val="24"/>
          <w:lang w:eastAsia="es-UY"/>
        </w:rPr>
        <w:t>02</w:t>
      </w:r>
      <w:r>
        <w:rPr>
          <w:rFonts w:ascii="Arial" w:eastAsia="Times New Roman" w:hAnsi="Arial" w:cs="Arial"/>
          <w:bCs/>
          <w:sz w:val="24"/>
          <w:szCs w:val="24"/>
          <w:lang w:eastAsia="es-UY"/>
        </w:rPr>
        <w:t>/22 “Modificación de la Decisión CMC Nº 15/15”</w:t>
      </w:r>
      <w:r w:rsidR="004C4412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que contempla </w:t>
      </w:r>
      <w:r w:rsidR="004C4412" w:rsidRPr="004C4412">
        <w:rPr>
          <w:rFonts w:ascii="Arial" w:hAnsi="Arial" w:cs="Arial"/>
          <w:sz w:val="24"/>
          <w:szCs w:val="24"/>
          <w:lang w:val="es-ES_tradnl"/>
        </w:rPr>
        <w:t xml:space="preserve">los casos en </w:t>
      </w:r>
      <w:r w:rsidR="004C4412" w:rsidRPr="004C4412">
        <w:rPr>
          <w:rFonts w:ascii="Arial" w:hAnsi="Arial" w:cs="Arial"/>
          <w:sz w:val="24"/>
          <w:szCs w:val="24"/>
        </w:rPr>
        <w:t xml:space="preserve">que un funcionario MERCOSUR contratado de conformidad con el artículo 1, literal </w:t>
      </w:r>
      <w:proofErr w:type="spellStart"/>
      <w:r w:rsidR="004C4412" w:rsidRPr="004C4412">
        <w:rPr>
          <w:rFonts w:ascii="Arial" w:hAnsi="Arial" w:cs="Arial"/>
          <w:sz w:val="24"/>
          <w:szCs w:val="24"/>
        </w:rPr>
        <w:t>ii</w:t>
      </w:r>
      <w:proofErr w:type="spellEnd"/>
      <w:r w:rsidR="004C4412" w:rsidRPr="004C4412">
        <w:rPr>
          <w:rFonts w:ascii="Arial" w:hAnsi="Arial" w:cs="Arial"/>
          <w:sz w:val="24"/>
          <w:szCs w:val="24"/>
        </w:rPr>
        <w:t>) del Título I del Anexo de la Decisión CMC N° 15/15 sea designado para realizar tareas de acuerdo con lo dispuesto en el literal i) de dicho artículo,</w:t>
      </w:r>
      <w:r w:rsidR="004C4412">
        <w:rPr>
          <w:rFonts w:ascii="Arial" w:hAnsi="Arial" w:cs="Arial"/>
          <w:i/>
          <w:iCs/>
          <w:sz w:val="24"/>
          <w:szCs w:val="24"/>
        </w:rPr>
        <w:t xml:space="preserve"> </w:t>
      </w:r>
      <w:r w:rsidR="004C4412">
        <w:rPr>
          <w:rFonts w:ascii="Arial" w:hAnsi="Arial" w:cs="Arial"/>
          <w:sz w:val="24"/>
          <w:szCs w:val="24"/>
        </w:rPr>
        <w:t xml:space="preserve">y </w:t>
      </w:r>
      <w:r w:rsidRPr="002812C5">
        <w:rPr>
          <w:rFonts w:ascii="Arial" w:eastAsia="Times New Roman" w:hAnsi="Arial" w:cs="Arial"/>
          <w:color w:val="000000"/>
          <w:sz w:val="24"/>
          <w:szCs w:val="24"/>
          <w:lang w:val="es-ES" w:eastAsia="es-UY"/>
        </w:rPr>
        <w:t xml:space="preserve">consta como </w:t>
      </w:r>
      <w:r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 xml:space="preserve">Anexo IV </w:t>
      </w:r>
      <w:r w:rsidR="009535FD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 xml:space="preserve">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RESERVADO</w:t>
      </w:r>
      <w:r w:rsidR="004C4412">
        <w:rPr>
          <w:rFonts w:ascii="Arial" w:eastAsia="Times New Roman" w:hAnsi="Arial" w:cs="Arial"/>
          <w:bCs/>
          <w:color w:val="000000"/>
          <w:sz w:val="24"/>
          <w:szCs w:val="24"/>
          <w:lang w:val="es-ES" w:eastAsia="es-UY"/>
        </w:rPr>
        <w:t>.</w:t>
      </w:r>
    </w:p>
    <w:p w14:paraId="71C12449" w14:textId="7C573ADC" w:rsidR="007E59C9" w:rsidRPr="004C4412" w:rsidRDefault="004C4412" w:rsidP="007E59C9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C4412">
        <w:rPr>
          <w:rFonts w:ascii="Arial" w:eastAsia="Times New Roman" w:hAnsi="Arial" w:cs="Arial"/>
          <w:bCs/>
          <w:color w:val="000000"/>
          <w:sz w:val="24"/>
          <w:szCs w:val="24"/>
          <w:lang w:val="es-ES" w:eastAsia="es-UY"/>
        </w:rPr>
        <w:t xml:space="preserve">Al respecto, </w:t>
      </w:r>
      <w:r w:rsidR="005B5728" w:rsidRPr="004C4412">
        <w:rPr>
          <w:rFonts w:ascii="Arial" w:hAnsi="Arial" w:cs="Arial"/>
          <w:bCs/>
          <w:sz w:val="24"/>
          <w:szCs w:val="24"/>
          <w:lang w:val="es-ES_tradnl"/>
        </w:rPr>
        <w:t>e</w:t>
      </w:r>
      <w:r w:rsidR="007E59C9" w:rsidRPr="004C4412">
        <w:rPr>
          <w:rFonts w:ascii="Arial" w:hAnsi="Arial" w:cs="Arial"/>
          <w:bCs/>
          <w:sz w:val="24"/>
          <w:szCs w:val="24"/>
          <w:lang w:val="es-ES_tradnl"/>
        </w:rPr>
        <w:t xml:space="preserve">l GAIM </w:t>
      </w:r>
      <w:r w:rsidR="005B5728" w:rsidRPr="004C4412">
        <w:rPr>
          <w:rFonts w:ascii="Arial" w:hAnsi="Arial" w:cs="Arial"/>
          <w:bCs/>
          <w:sz w:val="24"/>
          <w:szCs w:val="24"/>
          <w:lang w:val="es-ES_tradnl"/>
        </w:rPr>
        <w:t>señaló</w:t>
      </w:r>
      <w:r w:rsidR="007E59C9" w:rsidRPr="004C4412">
        <w:rPr>
          <w:rFonts w:ascii="Arial" w:hAnsi="Arial" w:cs="Arial"/>
          <w:bCs/>
          <w:sz w:val="24"/>
          <w:szCs w:val="24"/>
          <w:lang w:val="es-ES_tradnl"/>
        </w:rPr>
        <w:t xml:space="preserve"> que los máximos responsables de los órganos de la estructura institucional del MERCOSUR con presupuesto propio p</w:t>
      </w:r>
      <w:r w:rsidR="005B5728" w:rsidRPr="004C4412">
        <w:rPr>
          <w:rFonts w:ascii="Arial" w:hAnsi="Arial" w:cs="Arial"/>
          <w:bCs/>
          <w:sz w:val="24"/>
          <w:szCs w:val="24"/>
          <w:lang w:val="es-ES_tradnl"/>
        </w:rPr>
        <w:t>ueden</w:t>
      </w:r>
      <w:r w:rsidR="007E59C9" w:rsidRPr="004C4412">
        <w:rPr>
          <w:rFonts w:ascii="Arial" w:hAnsi="Arial" w:cs="Arial"/>
          <w:bCs/>
          <w:sz w:val="24"/>
          <w:szCs w:val="24"/>
          <w:lang w:val="es-ES_tradnl"/>
        </w:rPr>
        <w:t xml:space="preserve"> contratar, con carácter excepcional, bajo </w:t>
      </w:r>
      <w:r w:rsidR="005B5728" w:rsidRPr="004C4412">
        <w:rPr>
          <w:rFonts w:ascii="Arial" w:hAnsi="Arial" w:cs="Arial"/>
          <w:bCs/>
          <w:sz w:val="24"/>
          <w:szCs w:val="24"/>
          <w:lang w:val="es-ES_tradnl"/>
        </w:rPr>
        <w:t xml:space="preserve">el régimen de contratación temporal previsto en la Resolución GMC N° 27/18, </w:t>
      </w:r>
      <w:r w:rsidR="007E59C9" w:rsidRPr="004C4412">
        <w:rPr>
          <w:rFonts w:ascii="Arial" w:hAnsi="Arial" w:cs="Arial"/>
          <w:bCs/>
          <w:sz w:val="24"/>
          <w:szCs w:val="24"/>
          <w:lang w:val="es-ES_tradnl"/>
        </w:rPr>
        <w:t>a fin de atender la necesidad de sustitución transitoria de personal permanente</w:t>
      </w:r>
      <w:r w:rsidR="005B5728" w:rsidRPr="004C4412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01EADA37" w14:textId="77777777" w:rsidR="00DE57E4" w:rsidRPr="00B401FC" w:rsidRDefault="00DE57E4" w:rsidP="00DE57E4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6"/>
          <w:szCs w:val="24"/>
        </w:rPr>
      </w:pPr>
    </w:p>
    <w:p w14:paraId="54F0806D" w14:textId="77777777" w:rsidR="009535FD" w:rsidRDefault="009535FD" w:rsidP="00DE57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9C21393" w14:textId="6712BD2E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68C4">
        <w:rPr>
          <w:rFonts w:ascii="Arial" w:eastAsia="Calibri" w:hAnsi="Arial" w:cs="Arial"/>
          <w:b/>
          <w:sz w:val="24"/>
          <w:szCs w:val="24"/>
        </w:rPr>
        <w:t>PRÓXIMA REUNIÓN</w:t>
      </w:r>
    </w:p>
    <w:p w14:paraId="1575AC99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6B2AEB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La próxima reunión del GAIM será convocada oportunamente por la </w:t>
      </w:r>
      <w:r w:rsidRPr="000A1E4A">
        <w:rPr>
          <w:rFonts w:ascii="Arial" w:eastAsia="Calibri" w:hAnsi="Arial" w:cs="Arial"/>
          <w:bCs/>
          <w:sz w:val="24"/>
          <w:szCs w:val="24"/>
        </w:rPr>
        <w:t>PPT.</w:t>
      </w:r>
    </w:p>
    <w:p w14:paraId="505A6232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675F66D" w14:textId="77777777" w:rsidR="00DE57E4" w:rsidRPr="00B401FC" w:rsidRDefault="00DE57E4" w:rsidP="00DE57E4">
      <w:pPr>
        <w:spacing w:after="0" w:line="240" w:lineRule="auto"/>
        <w:jc w:val="both"/>
        <w:rPr>
          <w:rFonts w:ascii="Arial" w:eastAsia="Calibri" w:hAnsi="Arial" w:cs="Arial"/>
          <w:b/>
          <w:sz w:val="12"/>
          <w:szCs w:val="24"/>
        </w:rPr>
      </w:pPr>
    </w:p>
    <w:p w14:paraId="667B7A67" w14:textId="77777777" w:rsidR="00DE57E4" w:rsidRPr="00B50758" w:rsidRDefault="00DE57E4" w:rsidP="00DE57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50758">
        <w:rPr>
          <w:rFonts w:ascii="Arial" w:eastAsia="Calibri" w:hAnsi="Arial" w:cs="Arial"/>
          <w:b/>
          <w:sz w:val="24"/>
          <w:szCs w:val="24"/>
        </w:rPr>
        <w:t>ANEXOS</w:t>
      </w:r>
    </w:p>
    <w:p w14:paraId="2A13B436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0F53995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Los Anexos que forman parte del Acta son los siguientes:</w:t>
      </w:r>
    </w:p>
    <w:p w14:paraId="6AAEEB48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6"/>
        <w:gridCol w:w="6838"/>
      </w:tblGrid>
      <w:tr w:rsidR="00DE57E4" w14:paraId="2D6830F4" w14:textId="77777777" w:rsidTr="006B3F9B">
        <w:tc>
          <w:tcPr>
            <w:tcW w:w="1699" w:type="dxa"/>
          </w:tcPr>
          <w:p w14:paraId="53852769" w14:textId="77777777" w:rsidR="00DE57E4" w:rsidRDefault="00DE57E4" w:rsidP="006B3F9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</w:t>
            </w:r>
          </w:p>
        </w:tc>
        <w:tc>
          <w:tcPr>
            <w:tcW w:w="7129" w:type="dxa"/>
          </w:tcPr>
          <w:p w14:paraId="3645C375" w14:textId="77777777" w:rsidR="00DE57E4" w:rsidRDefault="00DE57E4" w:rsidP="006B3F9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Lista de Participantes</w:t>
            </w:r>
          </w:p>
        </w:tc>
      </w:tr>
      <w:tr w:rsidR="00DE57E4" w14:paraId="1828039D" w14:textId="77777777" w:rsidTr="006B3F9B">
        <w:tc>
          <w:tcPr>
            <w:tcW w:w="1699" w:type="dxa"/>
          </w:tcPr>
          <w:p w14:paraId="112AC521" w14:textId="77777777" w:rsidR="00DE57E4" w:rsidRDefault="00DE57E4" w:rsidP="006B3F9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II</w:t>
            </w:r>
          </w:p>
        </w:tc>
        <w:tc>
          <w:tcPr>
            <w:tcW w:w="7129" w:type="dxa"/>
          </w:tcPr>
          <w:p w14:paraId="30D93737" w14:textId="77777777" w:rsidR="00DE57E4" w:rsidRDefault="00DE57E4" w:rsidP="006B3F9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Agenda</w:t>
            </w:r>
          </w:p>
        </w:tc>
      </w:tr>
      <w:tr w:rsidR="00DE57E4" w14:paraId="5B3C108A" w14:textId="77777777" w:rsidTr="006B3F9B">
        <w:tc>
          <w:tcPr>
            <w:tcW w:w="1699" w:type="dxa"/>
          </w:tcPr>
          <w:p w14:paraId="521F4E37" w14:textId="77777777" w:rsidR="00DE57E4" w:rsidRDefault="00DE57E4" w:rsidP="006B3F9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III</w:t>
            </w:r>
          </w:p>
        </w:tc>
        <w:tc>
          <w:tcPr>
            <w:tcW w:w="7129" w:type="dxa"/>
          </w:tcPr>
          <w:p w14:paraId="160865F4" w14:textId="77777777" w:rsidR="00DE57E4" w:rsidRDefault="00DE57E4" w:rsidP="006B3F9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Resumen del Acta</w:t>
            </w:r>
          </w:p>
        </w:tc>
      </w:tr>
      <w:tr w:rsidR="00DE57E4" w14:paraId="1CAD1F67" w14:textId="77777777" w:rsidTr="006B3F9B">
        <w:tc>
          <w:tcPr>
            <w:tcW w:w="1699" w:type="dxa"/>
          </w:tcPr>
          <w:p w14:paraId="2A53623D" w14:textId="77777777" w:rsidR="00DE57E4" w:rsidRDefault="00DE57E4" w:rsidP="006B3F9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IV</w:t>
            </w:r>
          </w:p>
        </w:tc>
        <w:tc>
          <w:tcPr>
            <w:tcW w:w="7129" w:type="dxa"/>
          </w:tcPr>
          <w:p w14:paraId="5BEC8B69" w14:textId="74373142" w:rsidR="00DE57E4" w:rsidRPr="00F072FF" w:rsidRDefault="00DE57E4" w:rsidP="00DE57E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9335E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- P</w:t>
            </w:r>
            <w:r w:rsidRPr="00833296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royecto de 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Resolución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Nº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</w:t>
            </w:r>
            <w:r w:rsidR="009535FD">
              <w:rPr>
                <w:rFonts w:ascii="Arial" w:eastAsia="Calibri" w:hAnsi="Arial" w:cs="Arial"/>
                <w:sz w:val="24"/>
                <w:szCs w:val="24"/>
                <w:lang w:eastAsia="es-ES"/>
              </w:rPr>
              <w:t>02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/22 “Modificación de la Decisión CMC Nº 15/15”</w:t>
            </w:r>
          </w:p>
        </w:tc>
      </w:tr>
    </w:tbl>
    <w:p w14:paraId="389A673E" w14:textId="77777777" w:rsidR="00DE57E4" w:rsidRPr="00CF16F2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677918A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41710B6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3E8C4BA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3CFC64D" w14:textId="77777777" w:rsidR="00DE57E4" w:rsidRPr="00CF16F2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E57E4" w14:paraId="589439AE" w14:textId="77777777" w:rsidTr="006B3F9B">
        <w:tc>
          <w:tcPr>
            <w:tcW w:w="4894" w:type="dxa"/>
          </w:tcPr>
          <w:p w14:paraId="24F72A54" w14:textId="77777777" w:rsidR="00DE57E4" w:rsidRPr="00CF16F2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91F8E64" w14:textId="77777777" w:rsidR="00DE57E4" w:rsidRPr="00CF16F2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AA65CCF" w14:textId="77777777" w:rsidR="00DE57E4" w:rsidRPr="00CF16F2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B4339CE" w14:textId="77777777" w:rsidR="00DE57E4" w:rsidRPr="00A67887" w:rsidRDefault="00DE57E4" w:rsidP="006B3F9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Argentina</w:t>
            </w:r>
          </w:p>
          <w:p w14:paraId="4D0D6E0D" w14:textId="77777777" w:rsidR="00DE57E4" w:rsidRDefault="00DE57E4" w:rsidP="006B3F9B">
            <w:pPr>
              <w:ind w:firstLine="32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Pedro Marotta</w:t>
            </w:r>
          </w:p>
          <w:p w14:paraId="1743B6E0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BCB7429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73418FE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4AFA8C8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1EAD8B2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59880EE9" w14:textId="77777777" w:rsidR="00DE57E4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3B0F05D" w14:textId="77777777" w:rsidR="00DE57E4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601F2F5" w14:textId="77777777" w:rsidR="00DE57E4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3D26C4E" w14:textId="77777777" w:rsidR="00DE57E4" w:rsidRPr="00A67887" w:rsidRDefault="00DE57E4" w:rsidP="006B3F9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Brasil</w:t>
            </w:r>
          </w:p>
          <w:p w14:paraId="34AAF036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5C98">
              <w:rPr>
                <w:rFonts w:ascii="Arial" w:eastAsia="Calibri" w:hAnsi="Arial" w:cs="Arial"/>
                <w:bCs/>
                <w:sz w:val="24"/>
                <w:szCs w:val="24"/>
              </w:rPr>
              <w:t>Bianca Abreu</w:t>
            </w:r>
          </w:p>
          <w:p w14:paraId="4A91DB3B" w14:textId="08E77C6E" w:rsidR="0021007C" w:rsidRDefault="0021007C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E57E4" w14:paraId="15D0F27C" w14:textId="77777777" w:rsidTr="006B3F9B">
        <w:tc>
          <w:tcPr>
            <w:tcW w:w="4894" w:type="dxa"/>
          </w:tcPr>
          <w:p w14:paraId="49759A7B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FB44B75" w14:textId="77777777" w:rsidR="00DE57E4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2BF9B21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Paraguay</w:t>
            </w:r>
          </w:p>
          <w:p w14:paraId="0BAEE961" w14:textId="77777777" w:rsidR="00DE57E4" w:rsidRPr="00A67887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Carmen Céspedes</w:t>
            </w:r>
          </w:p>
          <w:p w14:paraId="503BDE0B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3C2387C" w14:textId="77777777" w:rsidR="00DE57E4" w:rsidRDefault="00DE57E4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6CFDB833" w14:textId="77777777" w:rsidR="00DE57E4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C905D7C" w14:textId="77777777" w:rsidR="00DE57E4" w:rsidRDefault="00DE57E4" w:rsidP="006B3F9B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95F39B0" w14:textId="77777777" w:rsidR="00DE57E4" w:rsidRPr="00A67887" w:rsidRDefault="00DE57E4" w:rsidP="006B3F9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Uruguay</w:t>
            </w:r>
          </w:p>
          <w:p w14:paraId="4534CE08" w14:textId="5487C647" w:rsidR="00DE57E4" w:rsidRDefault="00054018" w:rsidP="006B3F9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54018">
              <w:rPr>
                <w:rFonts w:ascii="Arial" w:eastAsia="Times New Roman" w:hAnsi="Arial" w:cs="Arial"/>
                <w:sz w:val="24"/>
                <w:szCs w:val="24"/>
                <w:lang w:val="es-AR" w:eastAsia="ar-SA"/>
              </w:rPr>
              <w:t>Florencia Rizzo</w:t>
            </w:r>
          </w:p>
        </w:tc>
      </w:tr>
    </w:tbl>
    <w:p w14:paraId="0BF32FE7" w14:textId="77777777" w:rsidR="00DE57E4" w:rsidRDefault="00DE57E4" w:rsidP="00DE57E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B8174E2" w14:textId="77777777" w:rsidR="00DE57E4" w:rsidRDefault="00DE57E4" w:rsidP="00DE57E4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06DABEA" w14:textId="77777777" w:rsidR="00427345" w:rsidRDefault="00427345"/>
    <w:sectPr w:rsidR="00427345" w:rsidSect="000233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A1CD" w14:textId="77777777" w:rsidR="00F43AF9" w:rsidRDefault="00F43AF9" w:rsidP="00F43AF9">
      <w:pPr>
        <w:spacing w:after="0" w:line="240" w:lineRule="auto"/>
      </w:pPr>
      <w:r>
        <w:separator/>
      </w:r>
    </w:p>
  </w:endnote>
  <w:endnote w:type="continuationSeparator" w:id="0">
    <w:p w14:paraId="3FD2BE4D" w14:textId="77777777" w:rsidR="00F43AF9" w:rsidRDefault="00F43AF9" w:rsidP="00F4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6BAB" w14:textId="669499D3" w:rsidR="00023388" w:rsidRDefault="00023388">
    <w:pPr>
      <w:pStyle w:val="Piedepgina"/>
      <w:jc w:val="right"/>
    </w:pPr>
  </w:p>
  <w:p w14:paraId="276CED60" w14:textId="77777777" w:rsidR="00023388" w:rsidRPr="00AA307E" w:rsidRDefault="00023388" w:rsidP="00023388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i/>
        <w:sz w:val="16"/>
        <w:lang w:val="es-ES"/>
      </w:rPr>
    </w:pPr>
    <w:r w:rsidRPr="00AA307E">
      <w:rPr>
        <w:rFonts w:ascii="Arial" w:hAnsi="Arial" w:cs="Arial"/>
        <w:b/>
        <w:i/>
        <w:sz w:val="16"/>
        <w:lang w:val="es-ES"/>
      </w:rPr>
      <w:t>Secretaría del MERCOSUR</w:t>
    </w:r>
  </w:p>
  <w:p w14:paraId="18DB4E4D" w14:textId="77777777" w:rsidR="00023388" w:rsidRDefault="00023388" w:rsidP="00023388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</w:rPr>
    </w:pPr>
    <w:r w:rsidRPr="00AA307E">
      <w:rPr>
        <w:rFonts w:ascii="Arial" w:hAnsi="Arial" w:cs="Arial"/>
        <w:b/>
        <w:sz w:val="16"/>
      </w:rPr>
      <w:t xml:space="preserve">        Archivo Oficial</w:t>
    </w:r>
  </w:p>
  <w:p w14:paraId="30578BF5" w14:textId="77777777" w:rsidR="00023388" w:rsidRPr="00AA307E" w:rsidRDefault="00023388" w:rsidP="00023388">
    <w:pPr>
      <w:tabs>
        <w:tab w:val="center" w:pos="4536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www.mercosur.int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CA5C" w14:textId="77777777" w:rsidR="00F43AF9" w:rsidRDefault="00F43AF9" w:rsidP="00F43AF9">
      <w:pPr>
        <w:spacing w:after="0" w:line="240" w:lineRule="auto"/>
      </w:pPr>
      <w:r>
        <w:separator/>
      </w:r>
    </w:p>
  </w:footnote>
  <w:footnote w:type="continuationSeparator" w:id="0">
    <w:p w14:paraId="3A712E3D" w14:textId="77777777" w:rsidR="00F43AF9" w:rsidRDefault="00F43AF9" w:rsidP="00F4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282F" w14:textId="1DCCB926" w:rsidR="00F43AF9" w:rsidRDefault="00023388">
    <w:pPr>
      <w:pStyle w:val="Encabezado"/>
    </w:pPr>
    <w:r>
      <w:rPr>
        <w:noProof/>
      </w:rPr>
      <w:drawing>
        <wp:inline distT="0" distB="0" distL="0" distR="0" wp14:anchorId="239AEC48" wp14:editId="182FBC9E">
          <wp:extent cx="120078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14AE7366" wp14:editId="038DCDE0">
          <wp:extent cx="1188720" cy="7499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17424"/>
    <w:multiLevelType w:val="hybridMultilevel"/>
    <w:tmpl w:val="B3B01148"/>
    <w:lvl w:ilvl="0" w:tplc="4C780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7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E4"/>
    <w:rsid w:val="00023388"/>
    <w:rsid w:val="00046E97"/>
    <w:rsid w:val="00054018"/>
    <w:rsid w:val="00104BA5"/>
    <w:rsid w:val="00105C98"/>
    <w:rsid w:val="0021007C"/>
    <w:rsid w:val="00324919"/>
    <w:rsid w:val="00427345"/>
    <w:rsid w:val="004C4412"/>
    <w:rsid w:val="00571815"/>
    <w:rsid w:val="00584F50"/>
    <w:rsid w:val="005B5728"/>
    <w:rsid w:val="00656290"/>
    <w:rsid w:val="007E59C9"/>
    <w:rsid w:val="009535FD"/>
    <w:rsid w:val="00B401FC"/>
    <w:rsid w:val="00C1323B"/>
    <w:rsid w:val="00DE57E4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7062E"/>
  <w15:docId w15:val="{ACFCDDA8-2094-4045-96F1-606A04C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E4"/>
    <w:pPr>
      <w:widowControl w:val="0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7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57E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3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AF9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F43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AF9"/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Rizzo</dc:creator>
  <cp:lastModifiedBy>Irene Kutscher</cp:lastModifiedBy>
  <cp:revision>13</cp:revision>
  <dcterms:created xsi:type="dcterms:W3CDTF">2022-09-22T19:31:00Z</dcterms:created>
  <dcterms:modified xsi:type="dcterms:W3CDTF">2022-09-23T19:59:00Z</dcterms:modified>
</cp:coreProperties>
</file>