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6343" w14:textId="7973FFF4" w:rsidR="00333106" w:rsidRPr="006D6BEC" w:rsidRDefault="00333106" w:rsidP="00F32A60">
      <w:pPr>
        <w:pStyle w:val="Ttulo1"/>
        <w:numPr>
          <w:ilvl w:val="0"/>
          <w:numId w:val="0"/>
        </w:numPr>
        <w:spacing w:after="240" w:line="300" w:lineRule="exact"/>
        <w:jc w:val="left"/>
        <w:rPr>
          <w:rFonts w:cs="Arial"/>
          <w:color w:val="auto"/>
          <w:szCs w:val="24"/>
          <w:lang w:val="pt-BR"/>
        </w:rPr>
      </w:pPr>
      <w:bookmarkStart w:id="0" w:name="_Hlk73544118"/>
      <w:r w:rsidRPr="006D6BEC">
        <w:rPr>
          <w:rFonts w:cs="Arial"/>
          <w:color w:val="auto"/>
          <w:szCs w:val="24"/>
          <w:lang w:val="pt-BR"/>
        </w:rPr>
        <w:t>MERCOSUR/CCM/CT N</w:t>
      </w:r>
      <w:r w:rsidRPr="006D6BEC">
        <w:rPr>
          <w:rFonts w:cs="Arial"/>
          <w:color w:val="auto"/>
          <w:szCs w:val="24"/>
          <w:vertAlign w:val="superscript"/>
          <w:lang w:val="pt-BR"/>
        </w:rPr>
        <w:t>o</w:t>
      </w:r>
      <w:r w:rsidR="00FA7627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026E46" w:rsidRPr="006D6BEC">
        <w:rPr>
          <w:rFonts w:cs="Arial"/>
          <w:color w:val="auto"/>
          <w:szCs w:val="24"/>
          <w:lang w:val="pt-BR"/>
        </w:rPr>
        <w:t>1/</w:t>
      </w:r>
      <w:r w:rsidRPr="006D6BEC">
        <w:rPr>
          <w:rFonts w:cs="Arial"/>
          <w:color w:val="auto"/>
          <w:szCs w:val="24"/>
          <w:lang w:val="pt-BR"/>
        </w:rPr>
        <w:t>ACTA N</w:t>
      </w:r>
      <w:r w:rsidRPr="006D6BEC">
        <w:rPr>
          <w:rFonts w:cs="Arial"/>
          <w:color w:val="auto"/>
          <w:szCs w:val="24"/>
          <w:vertAlign w:val="superscript"/>
          <w:lang w:val="pt-BR"/>
        </w:rPr>
        <w:t>o</w:t>
      </w:r>
      <w:r w:rsidR="00FA7627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1E0D83">
        <w:rPr>
          <w:rFonts w:cs="Arial"/>
          <w:color w:val="auto"/>
          <w:szCs w:val="24"/>
          <w:lang w:val="pt-BR"/>
        </w:rPr>
        <w:t>0</w:t>
      </w:r>
      <w:r w:rsidR="001C007E">
        <w:rPr>
          <w:rFonts w:cs="Arial"/>
          <w:color w:val="auto"/>
          <w:szCs w:val="24"/>
          <w:lang w:val="pt-BR"/>
        </w:rPr>
        <w:t>4</w:t>
      </w:r>
      <w:r w:rsidRPr="006D6BEC">
        <w:rPr>
          <w:rFonts w:cs="Arial"/>
          <w:color w:val="auto"/>
          <w:szCs w:val="24"/>
          <w:lang w:val="pt-BR"/>
        </w:rPr>
        <w:t>/2</w:t>
      </w:r>
      <w:r w:rsidR="00EC4306">
        <w:rPr>
          <w:rFonts w:cs="Arial"/>
          <w:color w:val="auto"/>
          <w:szCs w:val="24"/>
          <w:lang w:val="pt-BR"/>
        </w:rPr>
        <w:t>2</w:t>
      </w:r>
    </w:p>
    <w:p w14:paraId="43E7CA78" w14:textId="158ED21E" w:rsidR="00333106" w:rsidRPr="006D6BEC" w:rsidRDefault="00571FAD" w:rsidP="00F32A60">
      <w:pPr>
        <w:pStyle w:val="Ttulo3"/>
        <w:numPr>
          <w:ilvl w:val="0"/>
          <w:numId w:val="0"/>
        </w:numPr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CC</w:t>
      </w:r>
      <w:r>
        <w:rPr>
          <w:rFonts w:cs="Arial"/>
          <w:szCs w:val="24"/>
          <w:lang w:val="es-ES"/>
        </w:rPr>
        <w:t>X</w:t>
      </w:r>
      <w:r w:rsidR="000B4E2B">
        <w:rPr>
          <w:rFonts w:cs="Arial"/>
          <w:szCs w:val="24"/>
          <w:lang w:val="es-ES"/>
        </w:rPr>
        <w:t>V</w:t>
      </w:r>
      <w:r w:rsidR="001C007E">
        <w:rPr>
          <w:rFonts w:cs="Arial"/>
          <w:szCs w:val="24"/>
          <w:lang w:val="es-ES"/>
        </w:rPr>
        <w:t>I</w:t>
      </w:r>
      <w:r w:rsidR="00B74B11">
        <w:rPr>
          <w:rFonts w:cs="Arial"/>
          <w:szCs w:val="24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REUNIÓN DE COMITÉ</w:t>
      </w:r>
      <w:r w:rsidR="005B532A">
        <w:rPr>
          <w:rFonts w:cs="Arial"/>
          <w:szCs w:val="24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TÉCNICO N</w:t>
      </w:r>
      <w:r w:rsidR="00333106" w:rsidRPr="006D6BEC">
        <w:rPr>
          <w:rFonts w:cs="Arial"/>
          <w:szCs w:val="24"/>
          <w:u w:val="single"/>
          <w:vertAlign w:val="superscript"/>
          <w:lang w:val="es-ES"/>
        </w:rPr>
        <w:t>o</w:t>
      </w:r>
      <w:r w:rsidR="00FA7627" w:rsidRPr="00FA7627">
        <w:rPr>
          <w:rFonts w:cs="Arial"/>
          <w:szCs w:val="24"/>
          <w:vertAlign w:val="superscript"/>
          <w:lang w:val="es-ES"/>
        </w:rPr>
        <w:t xml:space="preserve"> </w:t>
      </w:r>
      <w:r w:rsidR="00333106" w:rsidRPr="006D6BEC">
        <w:rPr>
          <w:rFonts w:cs="Arial"/>
          <w:szCs w:val="24"/>
          <w:lang w:val="es-ES"/>
        </w:rPr>
        <w:t>1</w:t>
      </w:r>
    </w:p>
    <w:p w14:paraId="2E4F4239" w14:textId="77777777" w:rsidR="00333106" w:rsidRPr="006D6BEC" w:rsidRDefault="00333106" w:rsidP="00F32A60">
      <w:pPr>
        <w:pStyle w:val="Ttulo4"/>
        <w:numPr>
          <w:ilvl w:val="0"/>
          <w:numId w:val="0"/>
        </w:numPr>
        <w:tabs>
          <w:tab w:val="clear" w:pos="8496"/>
          <w:tab w:val="left" w:pos="5040"/>
        </w:tabs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“ARANCELES, NOMENCLATURA Y CLASIFICACIÓN DE MERCADERÍAS”</w:t>
      </w:r>
    </w:p>
    <w:p w14:paraId="31AC5C60" w14:textId="48FAC0B2" w:rsidR="00333106" w:rsidRPr="006D6BEC" w:rsidRDefault="00333106" w:rsidP="00F32A60">
      <w:pPr>
        <w:pStyle w:val="Textoindependiente"/>
        <w:tabs>
          <w:tab w:val="left" w:pos="709"/>
        </w:tabs>
        <w:spacing w:after="240" w:line="300" w:lineRule="exact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En ejercicio de la Presidencia </w:t>
      </w:r>
      <w:r w:rsidRPr="006D6BEC">
        <w:rPr>
          <w:rFonts w:cs="Arial"/>
          <w:i/>
          <w:szCs w:val="24"/>
          <w:lang w:val="es-ES"/>
        </w:rPr>
        <w:t>Pro Témpore</w:t>
      </w:r>
      <w:r w:rsidRPr="006D6BEC">
        <w:rPr>
          <w:rFonts w:cs="Arial"/>
          <w:szCs w:val="24"/>
          <w:lang w:val="es-ES"/>
        </w:rPr>
        <w:t xml:space="preserve"> de </w:t>
      </w:r>
      <w:r w:rsidR="001C007E">
        <w:rPr>
          <w:rFonts w:cs="Arial"/>
          <w:szCs w:val="24"/>
          <w:lang w:val="es-ES"/>
        </w:rPr>
        <w:t>Uruguay</w:t>
      </w:r>
      <w:r w:rsidRPr="006D6BEC">
        <w:rPr>
          <w:rFonts w:cs="Arial"/>
          <w:szCs w:val="24"/>
          <w:lang w:val="es-ES"/>
        </w:rPr>
        <w:t xml:space="preserve"> (PPT</w:t>
      </w:r>
      <w:r w:rsidR="008F1CF6">
        <w:rPr>
          <w:rFonts w:cs="Arial"/>
          <w:szCs w:val="24"/>
          <w:lang w:val="es-ES"/>
        </w:rPr>
        <w:t>U</w:t>
      </w:r>
      <w:r w:rsidRPr="006D6BEC">
        <w:rPr>
          <w:rFonts w:cs="Arial"/>
          <w:szCs w:val="24"/>
          <w:lang w:val="es-ES"/>
        </w:rPr>
        <w:t>) se realizó</w:t>
      </w:r>
      <w:r w:rsidR="00571FAD">
        <w:rPr>
          <w:rFonts w:cs="Arial"/>
          <w:szCs w:val="24"/>
          <w:lang w:val="es-ES"/>
        </w:rPr>
        <w:t>,</w:t>
      </w:r>
      <w:r w:rsidRPr="006D6BEC">
        <w:rPr>
          <w:rFonts w:cs="Arial"/>
          <w:szCs w:val="24"/>
          <w:lang w:val="es-ES"/>
        </w:rPr>
        <w:t xml:space="preserve"> </w:t>
      </w:r>
      <w:r w:rsidR="00305BB6" w:rsidRPr="006D6BEC">
        <w:rPr>
          <w:rFonts w:cs="Arial"/>
          <w:szCs w:val="24"/>
          <w:lang w:val="es-ES"/>
        </w:rPr>
        <w:t xml:space="preserve">los días </w:t>
      </w:r>
      <w:r w:rsidR="001C007E">
        <w:rPr>
          <w:rFonts w:cs="Arial"/>
          <w:szCs w:val="24"/>
          <w:lang w:val="es-ES"/>
        </w:rPr>
        <w:t xml:space="preserve">5, 6 y 8 </w:t>
      </w:r>
      <w:r w:rsidR="00EC4306">
        <w:rPr>
          <w:rFonts w:cs="Arial"/>
          <w:szCs w:val="24"/>
          <w:lang w:val="es-ES"/>
        </w:rPr>
        <w:t xml:space="preserve">de </w:t>
      </w:r>
      <w:r w:rsidR="001C007E">
        <w:rPr>
          <w:rFonts w:cs="Arial"/>
          <w:szCs w:val="24"/>
          <w:lang w:val="es-ES"/>
        </w:rPr>
        <w:t>setiembre</w:t>
      </w:r>
      <w:r w:rsidR="00E55012" w:rsidRPr="001F2A4E">
        <w:rPr>
          <w:rFonts w:cs="Arial"/>
          <w:szCs w:val="24"/>
          <w:lang w:val="es-ES"/>
        </w:rPr>
        <w:t xml:space="preserve"> </w:t>
      </w:r>
      <w:r w:rsidR="00032070">
        <w:rPr>
          <w:rFonts w:cs="Arial"/>
          <w:szCs w:val="24"/>
          <w:lang w:val="es-ES"/>
        </w:rPr>
        <w:t xml:space="preserve">de </w:t>
      </w:r>
      <w:r w:rsidR="00E55012" w:rsidRPr="001F2A4E">
        <w:rPr>
          <w:rFonts w:cs="Arial"/>
          <w:szCs w:val="24"/>
          <w:lang w:val="es-ES"/>
        </w:rPr>
        <w:t>202</w:t>
      </w:r>
      <w:r w:rsidR="00EC4306">
        <w:rPr>
          <w:rFonts w:cs="Arial"/>
          <w:szCs w:val="24"/>
          <w:lang w:val="es-ES"/>
        </w:rPr>
        <w:t>2</w:t>
      </w:r>
      <w:r w:rsidR="00305BB6" w:rsidRPr="001F2A4E">
        <w:rPr>
          <w:rFonts w:cs="Arial"/>
          <w:szCs w:val="24"/>
          <w:lang w:val="es-ES"/>
        </w:rPr>
        <w:t>,</w:t>
      </w:r>
      <w:r w:rsidR="00C944E8" w:rsidRPr="00C944E8">
        <w:rPr>
          <w:rFonts w:cs="Arial"/>
          <w:color w:val="FF0000"/>
          <w:szCs w:val="24"/>
          <w:lang w:val="es-ES"/>
        </w:rPr>
        <w:t xml:space="preserve"> </w:t>
      </w:r>
      <w:r w:rsidRPr="006D6BEC">
        <w:rPr>
          <w:rFonts w:cs="Arial"/>
          <w:szCs w:val="24"/>
          <w:lang w:val="es-ES"/>
        </w:rPr>
        <w:t>la CC</w:t>
      </w:r>
      <w:r w:rsidR="00B71883">
        <w:rPr>
          <w:rFonts w:cs="Arial"/>
          <w:szCs w:val="24"/>
          <w:lang w:val="es-ES"/>
        </w:rPr>
        <w:t>X</w:t>
      </w:r>
      <w:r w:rsidR="00032070">
        <w:rPr>
          <w:rFonts w:cs="Arial"/>
          <w:szCs w:val="24"/>
          <w:lang w:val="es-ES"/>
        </w:rPr>
        <w:t>V</w:t>
      </w:r>
      <w:r w:rsidR="001C007E">
        <w:rPr>
          <w:rFonts w:cs="Arial"/>
          <w:szCs w:val="24"/>
          <w:lang w:val="es-ES"/>
        </w:rPr>
        <w:t>I</w:t>
      </w:r>
      <w:r w:rsidRPr="006D6BEC">
        <w:rPr>
          <w:rFonts w:cs="Arial"/>
          <w:szCs w:val="24"/>
          <w:lang w:val="es-ES"/>
        </w:rPr>
        <w:t xml:space="preserve"> Reunión</w:t>
      </w:r>
      <w:r w:rsidR="00305BB6" w:rsidRPr="006D6BEC">
        <w:rPr>
          <w:rFonts w:cs="Arial"/>
          <w:szCs w:val="24"/>
          <w:lang w:val="es-ES"/>
        </w:rPr>
        <w:t xml:space="preserve"> Ordinaria</w:t>
      </w:r>
      <w:r w:rsidRPr="006D6BEC">
        <w:rPr>
          <w:rFonts w:cs="Arial"/>
          <w:szCs w:val="24"/>
          <w:lang w:val="es-ES"/>
        </w:rPr>
        <w:t xml:space="preserve"> del Comité Técnico N°1 </w:t>
      </w:r>
      <w:r w:rsidR="00026E46" w:rsidRPr="006D6BEC">
        <w:rPr>
          <w:rFonts w:cs="Arial"/>
          <w:szCs w:val="24"/>
          <w:lang w:val="es-ES"/>
        </w:rPr>
        <w:t>“Aranceles, Nomenclatura y Clasificación de M</w:t>
      </w:r>
      <w:r w:rsidR="00305BB6" w:rsidRPr="006D6BEC">
        <w:rPr>
          <w:rFonts w:cs="Arial"/>
          <w:szCs w:val="24"/>
          <w:lang w:val="es-ES"/>
        </w:rPr>
        <w:t xml:space="preserve">ercaderías” </w:t>
      </w:r>
      <w:r w:rsidRPr="006D6BEC">
        <w:rPr>
          <w:rFonts w:cs="Arial"/>
          <w:szCs w:val="24"/>
          <w:lang w:val="es-ES"/>
        </w:rPr>
        <w:t>(CT N°1), con la participación de las delegaciones de Argentina, Brasil, Paraguay y Uruguay. La reunión se realizó por sistema de videoconferencia, conforme lo dispuesto en la Resolución GMC N°19/12.</w:t>
      </w:r>
      <w:r w:rsidR="005B532A">
        <w:rPr>
          <w:rFonts w:cs="Arial"/>
          <w:szCs w:val="24"/>
          <w:lang w:val="es-ES"/>
        </w:rPr>
        <w:t xml:space="preserve"> </w:t>
      </w:r>
    </w:p>
    <w:p w14:paraId="3C609648" w14:textId="10DA57AD" w:rsidR="00333106" w:rsidRPr="006D6BEC" w:rsidRDefault="00333106" w:rsidP="00F32A60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La </w:t>
      </w:r>
      <w:r w:rsidR="00305BB6" w:rsidRPr="006D6BEC">
        <w:rPr>
          <w:rFonts w:cs="Arial"/>
          <w:szCs w:val="24"/>
          <w:lang w:val="es-ES"/>
        </w:rPr>
        <w:t>L</w:t>
      </w:r>
      <w:r w:rsidRPr="006D6BEC">
        <w:rPr>
          <w:rFonts w:cs="Arial"/>
          <w:szCs w:val="24"/>
          <w:lang w:val="es-ES"/>
        </w:rPr>
        <w:t xml:space="preserve">ista de </w:t>
      </w:r>
      <w:r w:rsidR="00305BB6" w:rsidRPr="006D6BEC">
        <w:rPr>
          <w:rFonts w:cs="Arial"/>
          <w:szCs w:val="24"/>
          <w:lang w:val="es-ES"/>
        </w:rPr>
        <w:t>P</w:t>
      </w:r>
      <w:r w:rsidRPr="006D6BEC">
        <w:rPr>
          <w:rFonts w:cs="Arial"/>
          <w:szCs w:val="24"/>
          <w:lang w:val="es-ES"/>
        </w:rPr>
        <w:t xml:space="preserve">articipantes consta en 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I.</w:t>
      </w:r>
    </w:p>
    <w:p w14:paraId="607225F7" w14:textId="1DD2D924" w:rsidR="00333106" w:rsidRPr="006D6BEC" w:rsidRDefault="00305BB6" w:rsidP="00F32A60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La A</w:t>
      </w:r>
      <w:r w:rsidR="00333106" w:rsidRPr="006D6BEC">
        <w:rPr>
          <w:rFonts w:cs="Arial"/>
          <w:szCs w:val="24"/>
          <w:lang w:val="es-ES"/>
        </w:rPr>
        <w:t xml:space="preserve">genda de los temas tratados consta en el </w:t>
      </w:r>
      <w:r w:rsidR="00412349">
        <w:rPr>
          <w:rFonts w:cs="Arial"/>
          <w:b/>
          <w:szCs w:val="24"/>
          <w:lang w:val="es-ES"/>
        </w:rPr>
        <w:t>ANEXO</w:t>
      </w:r>
      <w:r w:rsidR="00333106" w:rsidRPr="006D6BEC">
        <w:rPr>
          <w:rFonts w:cs="Arial"/>
          <w:b/>
          <w:szCs w:val="24"/>
          <w:lang w:val="es-ES"/>
        </w:rPr>
        <w:t xml:space="preserve"> II.</w:t>
      </w:r>
    </w:p>
    <w:p w14:paraId="16275E75" w14:textId="76CD6190" w:rsidR="00333106" w:rsidRPr="006D6BEC" w:rsidRDefault="00333106" w:rsidP="00F32A60">
      <w:pPr>
        <w:tabs>
          <w:tab w:val="left" w:pos="851"/>
          <w:tab w:val="left" w:pos="5040"/>
        </w:tabs>
        <w:spacing w:after="240" w:line="300" w:lineRule="exact"/>
        <w:ind w:left="720" w:firstLine="131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szCs w:val="24"/>
          <w:lang w:val="es-ES"/>
        </w:rPr>
        <w:t xml:space="preserve">El </w:t>
      </w:r>
      <w:r w:rsidR="00305BB6" w:rsidRPr="006D6BEC">
        <w:rPr>
          <w:rFonts w:cs="Arial"/>
          <w:szCs w:val="24"/>
          <w:lang w:val="es-ES"/>
        </w:rPr>
        <w:t>R</w:t>
      </w:r>
      <w:r w:rsidRPr="006D6BEC">
        <w:rPr>
          <w:rFonts w:cs="Arial"/>
          <w:szCs w:val="24"/>
          <w:lang w:val="es-ES"/>
        </w:rPr>
        <w:t xml:space="preserve">esumen del Acta consta en 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III.</w:t>
      </w:r>
    </w:p>
    <w:p w14:paraId="7F5F6D4A" w14:textId="77777777" w:rsidR="00333106" w:rsidRPr="006D6BEC" w:rsidRDefault="00333106" w:rsidP="00F32A60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ES"/>
        </w:rPr>
      </w:pPr>
      <w:r w:rsidRPr="006D6BEC">
        <w:rPr>
          <w:rFonts w:cs="Arial"/>
          <w:szCs w:val="24"/>
          <w:lang w:val="es-ES"/>
        </w:rPr>
        <w:t>Los temas tratados en la reunión fueron los siguientes:</w:t>
      </w:r>
    </w:p>
    <w:p w14:paraId="0AF0B855" w14:textId="77777777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709" w:hanging="709"/>
        <w:rPr>
          <w:rFonts w:cs="Arial"/>
          <w:szCs w:val="24"/>
          <w:lang w:val="es-UY"/>
        </w:rPr>
      </w:pPr>
      <w:r w:rsidRPr="006D6BEC">
        <w:rPr>
          <w:rFonts w:cs="Arial"/>
          <w:b/>
          <w:color w:val="auto"/>
          <w:szCs w:val="24"/>
          <w:lang w:val="es-ES"/>
        </w:rPr>
        <w:t xml:space="preserve">INSTRUCCIONES DE LA COMISIÓN DE COMERCIO DEL MERCOSUR </w:t>
      </w:r>
    </w:p>
    <w:p w14:paraId="4FDC3F83" w14:textId="52945874" w:rsidR="00333106" w:rsidRPr="006D6BEC" w:rsidRDefault="00B71883" w:rsidP="00F32A60">
      <w:pPr>
        <w:pStyle w:val="Sangradetextonormal"/>
        <w:numPr>
          <w:ilvl w:val="1"/>
          <w:numId w:val="1"/>
        </w:numPr>
        <w:tabs>
          <w:tab w:val="left" w:pos="567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Revisión integral y permanente de la Nota de Tributación del Sector Aeronáutico (A</w:t>
      </w:r>
      <w:r w:rsidR="00571FAD">
        <w:rPr>
          <w:rFonts w:cs="Arial"/>
          <w:b/>
          <w:szCs w:val="24"/>
          <w:lang w:val="es-ES"/>
        </w:rPr>
        <w:t>cta</w:t>
      </w:r>
      <w:r>
        <w:rPr>
          <w:rFonts w:cs="Arial"/>
          <w:b/>
          <w:szCs w:val="24"/>
          <w:lang w:val="es-ES"/>
        </w:rPr>
        <w:t xml:space="preserve"> CCM N°04/21)</w:t>
      </w:r>
    </w:p>
    <w:p w14:paraId="3398960C" w14:textId="5EFFCA85" w:rsidR="004531DB" w:rsidRDefault="001C007E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En la presente reunión se </w:t>
      </w:r>
      <w:r w:rsidR="006A726A">
        <w:rPr>
          <w:rFonts w:cs="Arial"/>
          <w:szCs w:val="24"/>
          <w:lang w:val="es-ES"/>
        </w:rPr>
        <w:t>intercambiaron</w:t>
      </w:r>
      <w:r w:rsidR="00EE0F2B">
        <w:rPr>
          <w:rFonts w:cs="Arial"/>
          <w:szCs w:val="24"/>
          <w:lang w:val="es-ES"/>
        </w:rPr>
        <w:t xml:space="preserve"> </w:t>
      </w:r>
      <w:r w:rsidR="00B02724">
        <w:rPr>
          <w:rFonts w:cs="Arial"/>
          <w:szCs w:val="24"/>
          <w:lang w:val="es-ES"/>
        </w:rPr>
        <w:t xml:space="preserve">comentarios </w:t>
      </w:r>
      <w:r w:rsidR="007E119B">
        <w:rPr>
          <w:rFonts w:cs="Arial"/>
          <w:szCs w:val="24"/>
          <w:lang w:val="es-ES"/>
        </w:rPr>
        <w:t xml:space="preserve">sobre </w:t>
      </w:r>
      <w:r w:rsidR="006A726A">
        <w:rPr>
          <w:rFonts w:cs="Arial"/>
          <w:szCs w:val="24"/>
          <w:lang w:val="es-ES"/>
        </w:rPr>
        <w:t>la propuesta</w:t>
      </w:r>
      <w:r w:rsidR="00775869">
        <w:rPr>
          <w:rFonts w:cs="Arial"/>
          <w:szCs w:val="24"/>
          <w:lang w:val="es-ES"/>
        </w:rPr>
        <w:t xml:space="preserve"> ajustada</w:t>
      </w:r>
      <w:r>
        <w:rPr>
          <w:rFonts w:cs="Arial"/>
          <w:szCs w:val="24"/>
          <w:lang w:val="es-ES"/>
        </w:rPr>
        <w:t xml:space="preserve"> de inclusión de nuevos productos al lista</w:t>
      </w:r>
      <w:r w:rsidR="00807EF6">
        <w:rPr>
          <w:rFonts w:cs="Arial"/>
          <w:szCs w:val="24"/>
          <w:lang w:val="es-ES"/>
        </w:rPr>
        <w:t>do</w:t>
      </w:r>
      <w:r>
        <w:rPr>
          <w:rFonts w:cs="Arial"/>
          <w:szCs w:val="24"/>
          <w:lang w:val="es-ES"/>
        </w:rPr>
        <w:t xml:space="preserve"> de</w:t>
      </w:r>
      <w:r w:rsidR="006A726A">
        <w:rPr>
          <w:rFonts w:cs="Arial"/>
          <w:szCs w:val="24"/>
          <w:lang w:val="es-ES"/>
        </w:rPr>
        <w:t xml:space="preserve"> </w:t>
      </w:r>
      <w:r>
        <w:rPr>
          <w:rFonts w:cs="Arial"/>
          <w:szCs w:val="24"/>
          <w:lang w:val="es-ES"/>
        </w:rPr>
        <w:t xml:space="preserve">la Nota de Tributación </w:t>
      </w:r>
      <w:r w:rsidR="004531DB">
        <w:rPr>
          <w:rFonts w:cs="Arial"/>
          <w:szCs w:val="24"/>
          <w:lang w:val="es-ES"/>
        </w:rPr>
        <w:t xml:space="preserve">para productos </w:t>
      </w:r>
      <w:r>
        <w:rPr>
          <w:rFonts w:cs="Arial"/>
          <w:szCs w:val="24"/>
          <w:lang w:val="es-ES"/>
        </w:rPr>
        <w:t xml:space="preserve">del sector </w:t>
      </w:r>
      <w:r w:rsidR="00C40F9C">
        <w:rPr>
          <w:rFonts w:cs="Arial"/>
          <w:szCs w:val="24"/>
          <w:lang w:val="es-ES"/>
        </w:rPr>
        <w:t xml:space="preserve">Aeronáutico presentada por Brasil en </w:t>
      </w:r>
      <w:r>
        <w:rPr>
          <w:rFonts w:cs="Arial"/>
          <w:szCs w:val="24"/>
          <w:lang w:val="es-ES"/>
        </w:rPr>
        <w:t>la última reunión</w:t>
      </w:r>
      <w:r w:rsidR="00775869">
        <w:rPr>
          <w:rFonts w:cs="Arial"/>
          <w:szCs w:val="24"/>
          <w:lang w:val="es-ES"/>
        </w:rPr>
        <w:t xml:space="preserve"> de</w:t>
      </w:r>
      <w:r w:rsidR="004531DB">
        <w:rPr>
          <w:rFonts w:cs="Arial"/>
          <w:szCs w:val="24"/>
          <w:lang w:val="es-ES"/>
        </w:rPr>
        <w:t xml:space="preserve"> este </w:t>
      </w:r>
      <w:r w:rsidR="00775869">
        <w:rPr>
          <w:rFonts w:cs="Arial"/>
          <w:szCs w:val="24"/>
          <w:lang w:val="es-ES"/>
        </w:rPr>
        <w:t>Comité</w:t>
      </w:r>
      <w:r w:rsidR="00441D08">
        <w:rPr>
          <w:rFonts w:cs="Arial"/>
          <w:szCs w:val="24"/>
          <w:lang w:val="es-ES"/>
        </w:rPr>
        <w:t xml:space="preserve"> (Acta CT Nº1 03/22)</w:t>
      </w:r>
      <w:r>
        <w:rPr>
          <w:rFonts w:cs="Arial"/>
          <w:szCs w:val="24"/>
          <w:lang w:val="es-ES"/>
        </w:rPr>
        <w:t xml:space="preserve">.  </w:t>
      </w:r>
    </w:p>
    <w:p w14:paraId="4C6A359F" w14:textId="77777777" w:rsidR="004531DB" w:rsidRDefault="004531DB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Las delegaciones de Argentina y Paraguay manifestaron que se encuentran realizando análisis de la propuesta ajustada. </w:t>
      </w:r>
    </w:p>
    <w:p w14:paraId="307C7FDB" w14:textId="51EA4120" w:rsidR="004531DB" w:rsidRDefault="00775869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 w:rsidRPr="00385ADB">
        <w:rPr>
          <w:rFonts w:cs="Arial"/>
          <w:szCs w:val="24"/>
          <w:lang w:val="es-ES"/>
        </w:rPr>
        <w:t>En tal sentido, l</w:t>
      </w:r>
      <w:r w:rsidR="004531DB" w:rsidRPr="00385ADB">
        <w:rPr>
          <w:rFonts w:cs="Arial"/>
          <w:szCs w:val="24"/>
          <w:lang w:val="es-ES"/>
        </w:rPr>
        <w:t xml:space="preserve">a delegación de Paraguay </w:t>
      </w:r>
      <w:r w:rsidRPr="00385ADB">
        <w:rPr>
          <w:rFonts w:cs="Arial"/>
          <w:szCs w:val="24"/>
          <w:lang w:val="es-ES"/>
        </w:rPr>
        <w:t>adelanto</w:t>
      </w:r>
      <w:r w:rsidR="004531DB" w:rsidRPr="00385ADB">
        <w:rPr>
          <w:rFonts w:cs="Arial"/>
          <w:szCs w:val="24"/>
          <w:lang w:val="es-ES"/>
        </w:rPr>
        <w:t xml:space="preserve"> que </w:t>
      </w:r>
      <w:r w:rsidRPr="00385ADB">
        <w:rPr>
          <w:rFonts w:cs="Arial"/>
          <w:szCs w:val="24"/>
          <w:lang w:val="es-ES"/>
        </w:rPr>
        <w:t>se identificaron</w:t>
      </w:r>
      <w:r w:rsidR="004531DB" w:rsidRPr="00385ADB">
        <w:rPr>
          <w:rFonts w:cs="Arial"/>
          <w:szCs w:val="24"/>
          <w:lang w:val="es-ES"/>
        </w:rPr>
        <w:t xml:space="preserve"> NCM incluidas </w:t>
      </w:r>
      <w:r w:rsidRPr="00385ADB">
        <w:rPr>
          <w:rFonts w:cs="Arial"/>
          <w:szCs w:val="24"/>
          <w:lang w:val="es-ES"/>
        </w:rPr>
        <w:t xml:space="preserve">dentro de </w:t>
      </w:r>
      <w:r w:rsidR="004531DB" w:rsidRPr="00385ADB">
        <w:rPr>
          <w:rFonts w:cs="Arial"/>
          <w:szCs w:val="24"/>
          <w:lang w:val="es-ES"/>
        </w:rPr>
        <w:t>la propuesta ajustada</w:t>
      </w:r>
      <w:r w:rsidR="00FB0DCE" w:rsidRPr="00385ADB">
        <w:rPr>
          <w:rFonts w:cs="Arial"/>
          <w:szCs w:val="24"/>
          <w:lang w:val="es-ES"/>
        </w:rPr>
        <w:t xml:space="preserve"> presentada por Brasil,</w:t>
      </w:r>
      <w:r w:rsidRPr="00385ADB">
        <w:rPr>
          <w:rFonts w:cs="Arial"/>
          <w:szCs w:val="24"/>
          <w:lang w:val="es-ES"/>
        </w:rPr>
        <w:t xml:space="preserve"> que</w:t>
      </w:r>
      <w:r w:rsidR="004531DB" w:rsidRPr="00385ADB">
        <w:rPr>
          <w:rFonts w:cs="Arial"/>
          <w:szCs w:val="24"/>
          <w:lang w:val="es-ES"/>
        </w:rPr>
        <w:t xml:space="preserve"> </w:t>
      </w:r>
      <w:r w:rsidR="00FB0DCE" w:rsidRPr="00385ADB">
        <w:rPr>
          <w:rFonts w:cs="Arial"/>
          <w:szCs w:val="24"/>
          <w:lang w:val="es-ES"/>
        </w:rPr>
        <w:t>poseen</w:t>
      </w:r>
      <w:r w:rsidR="004531DB" w:rsidRPr="00385ADB">
        <w:rPr>
          <w:rFonts w:cs="Arial"/>
          <w:szCs w:val="24"/>
          <w:lang w:val="es-ES"/>
        </w:rPr>
        <w:t xml:space="preserve"> </w:t>
      </w:r>
      <w:r w:rsidR="00FB0DCE" w:rsidRPr="00385ADB">
        <w:rPr>
          <w:rFonts w:cs="Arial"/>
          <w:szCs w:val="24"/>
          <w:lang w:val="es-ES"/>
        </w:rPr>
        <w:t xml:space="preserve">un </w:t>
      </w:r>
      <w:r w:rsidR="004531DB" w:rsidRPr="00385ADB">
        <w:rPr>
          <w:rFonts w:cs="Arial"/>
          <w:szCs w:val="24"/>
          <w:lang w:val="es-ES"/>
        </w:rPr>
        <w:t>Arancel Exte</w:t>
      </w:r>
      <w:r w:rsidRPr="00385ADB">
        <w:rPr>
          <w:rFonts w:cs="Arial"/>
          <w:szCs w:val="24"/>
          <w:lang w:val="es-ES"/>
        </w:rPr>
        <w:t>r</w:t>
      </w:r>
      <w:r w:rsidR="004531DB" w:rsidRPr="00385ADB">
        <w:rPr>
          <w:rFonts w:cs="Arial"/>
          <w:szCs w:val="24"/>
          <w:lang w:val="es-ES"/>
        </w:rPr>
        <w:t>no Común</w:t>
      </w:r>
      <w:r w:rsidR="00FB0DCE" w:rsidRPr="00385ADB">
        <w:rPr>
          <w:rFonts w:cs="Arial"/>
          <w:szCs w:val="24"/>
          <w:lang w:val="es-ES"/>
        </w:rPr>
        <w:t xml:space="preserve"> de 0</w:t>
      </w:r>
      <w:r w:rsidR="004531DB" w:rsidRPr="00385ADB">
        <w:rPr>
          <w:rFonts w:cs="Arial"/>
          <w:szCs w:val="24"/>
          <w:lang w:val="es-ES"/>
        </w:rPr>
        <w:t xml:space="preserve"> </w:t>
      </w:r>
      <w:r w:rsidR="00FB0DCE" w:rsidRPr="00385ADB">
        <w:rPr>
          <w:rFonts w:cs="Arial"/>
          <w:szCs w:val="24"/>
          <w:lang w:val="es-ES"/>
        </w:rPr>
        <w:t>(</w:t>
      </w:r>
      <w:r w:rsidR="004531DB" w:rsidRPr="00385ADB">
        <w:rPr>
          <w:rFonts w:cs="Arial"/>
          <w:szCs w:val="24"/>
          <w:lang w:val="es-ES"/>
        </w:rPr>
        <w:t>cero</w:t>
      </w:r>
      <w:r w:rsidR="00FB0DCE" w:rsidRPr="00385ADB">
        <w:rPr>
          <w:rFonts w:cs="Arial"/>
          <w:szCs w:val="24"/>
          <w:lang w:val="es-ES"/>
        </w:rPr>
        <w:t>)</w:t>
      </w:r>
      <w:r w:rsidRPr="00385ADB">
        <w:rPr>
          <w:rFonts w:cs="Arial"/>
          <w:szCs w:val="24"/>
          <w:lang w:val="es-ES"/>
        </w:rPr>
        <w:t>.</w:t>
      </w:r>
      <w:r w:rsidR="004531DB" w:rsidRPr="00385ADB">
        <w:rPr>
          <w:rFonts w:cs="Arial"/>
          <w:szCs w:val="24"/>
          <w:lang w:val="es-ES"/>
        </w:rPr>
        <w:t xml:space="preserve">   </w:t>
      </w:r>
    </w:p>
    <w:p w14:paraId="4AC30F55" w14:textId="5FB9A9C2" w:rsidR="001E08A8" w:rsidRDefault="00775869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P</w:t>
      </w:r>
      <w:r w:rsidR="004531DB">
        <w:rPr>
          <w:rFonts w:cs="Arial"/>
          <w:szCs w:val="24"/>
          <w:lang w:val="es-ES"/>
        </w:rPr>
        <w:t>or su parte, la</w:t>
      </w:r>
      <w:r w:rsidR="001E08A8">
        <w:rPr>
          <w:rFonts w:cs="Arial"/>
          <w:szCs w:val="24"/>
          <w:lang w:val="es-ES"/>
        </w:rPr>
        <w:t xml:space="preserve"> </w:t>
      </w:r>
      <w:r w:rsidR="004531DB">
        <w:rPr>
          <w:rFonts w:cs="Arial"/>
          <w:szCs w:val="24"/>
          <w:lang w:val="es-ES"/>
        </w:rPr>
        <w:t>d</w:t>
      </w:r>
      <w:r w:rsidR="001E08A8">
        <w:rPr>
          <w:rFonts w:cs="Arial"/>
          <w:szCs w:val="24"/>
          <w:lang w:val="es-ES"/>
        </w:rPr>
        <w:t>elegación de Uruguay manifest</w:t>
      </w:r>
      <w:r w:rsidR="004531DB">
        <w:rPr>
          <w:rFonts w:cs="Arial"/>
          <w:szCs w:val="24"/>
          <w:lang w:val="es-ES"/>
        </w:rPr>
        <w:t>ó</w:t>
      </w:r>
      <w:r w:rsidR="001E08A8">
        <w:rPr>
          <w:rFonts w:cs="Arial"/>
          <w:szCs w:val="24"/>
          <w:lang w:val="es-ES"/>
        </w:rPr>
        <w:t xml:space="preserve"> que puede acompañar la propuesta de la Delegación de Brasil </w:t>
      </w:r>
      <w:r w:rsidR="004531DB">
        <w:rPr>
          <w:rFonts w:cs="Arial"/>
          <w:szCs w:val="24"/>
          <w:lang w:val="es-ES"/>
        </w:rPr>
        <w:t>con las</w:t>
      </w:r>
      <w:r w:rsidR="001E08A8">
        <w:rPr>
          <w:rFonts w:cs="Arial"/>
          <w:szCs w:val="24"/>
          <w:lang w:val="es-ES"/>
        </w:rPr>
        <w:t xml:space="preserve"> modificacion</w:t>
      </w:r>
      <w:r w:rsidR="004531DB">
        <w:rPr>
          <w:rFonts w:cs="Arial"/>
          <w:szCs w:val="24"/>
          <w:lang w:val="es-ES"/>
        </w:rPr>
        <w:t>es presentadas en la última reunión.</w:t>
      </w:r>
    </w:p>
    <w:p w14:paraId="2A9D40E1" w14:textId="4AA883F7" w:rsidR="00775869" w:rsidRDefault="00AA1334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En lo que respecta a la </w:t>
      </w:r>
      <w:r w:rsidR="00DE775C">
        <w:rPr>
          <w:rFonts w:cs="Arial"/>
          <w:szCs w:val="24"/>
          <w:lang w:val="es-ES"/>
        </w:rPr>
        <w:t>presentación</w:t>
      </w:r>
      <w:r>
        <w:rPr>
          <w:rFonts w:cs="Arial"/>
          <w:szCs w:val="24"/>
          <w:lang w:val="es-ES"/>
        </w:rPr>
        <w:t xml:space="preserve"> de estadísticas del sector aeronáutico, las delegaciones </w:t>
      </w:r>
      <w:r w:rsidR="00775869">
        <w:rPr>
          <w:rFonts w:cs="Arial"/>
          <w:szCs w:val="24"/>
          <w:lang w:val="es-ES"/>
        </w:rPr>
        <w:t>presentaron los</w:t>
      </w:r>
      <w:r>
        <w:rPr>
          <w:rFonts w:cs="Arial"/>
          <w:szCs w:val="24"/>
          <w:lang w:val="es-ES"/>
        </w:rPr>
        <w:t xml:space="preserve"> datos</w:t>
      </w:r>
      <w:r w:rsidR="00721153">
        <w:rPr>
          <w:rFonts w:cs="Arial"/>
          <w:szCs w:val="24"/>
          <w:lang w:val="es-ES"/>
        </w:rPr>
        <w:t xml:space="preserve"> </w:t>
      </w:r>
      <w:r w:rsidR="007E119B">
        <w:rPr>
          <w:rFonts w:cs="Arial"/>
          <w:szCs w:val="24"/>
          <w:lang w:val="es-ES"/>
        </w:rPr>
        <w:t>correspondiente</w:t>
      </w:r>
      <w:r w:rsidR="000B414C">
        <w:rPr>
          <w:rFonts w:cs="Arial"/>
          <w:szCs w:val="24"/>
          <w:lang w:val="es-ES"/>
        </w:rPr>
        <w:t>s</w:t>
      </w:r>
      <w:r w:rsidR="007E119B">
        <w:rPr>
          <w:rFonts w:cs="Arial"/>
          <w:szCs w:val="24"/>
          <w:lang w:val="es-ES"/>
        </w:rPr>
        <w:t xml:space="preserve"> al año 202</w:t>
      </w:r>
      <w:r>
        <w:rPr>
          <w:rFonts w:cs="Arial"/>
          <w:szCs w:val="24"/>
          <w:lang w:val="es-ES"/>
        </w:rPr>
        <w:t>1, en el Sistema Armonizado (SA) 2017</w:t>
      </w:r>
      <w:r w:rsidR="00FB0DCE">
        <w:rPr>
          <w:rFonts w:cs="Arial"/>
          <w:szCs w:val="24"/>
          <w:lang w:val="es-ES"/>
        </w:rPr>
        <w:t>. Estos datos</w:t>
      </w:r>
      <w:r w:rsidR="00775869">
        <w:rPr>
          <w:rFonts w:cs="Arial"/>
          <w:szCs w:val="24"/>
          <w:lang w:val="es-ES"/>
        </w:rPr>
        <w:t xml:space="preserve"> </w:t>
      </w:r>
      <w:r w:rsidR="00FB0DCE">
        <w:rPr>
          <w:rFonts w:cs="Arial"/>
          <w:szCs w:val="24"/>
          <w:lang w:val="es-ES"/>
        </w:rPr>
        <w:t>f</w:t>
      </w:r>
      <w:r w:rsidR="00775869">
        <w:rPr>
          <w:rFonts w:cs="Arial"/>
          <w:szCs w:val="24"/>
          <w:lang w:val="es-ES"/>
        </w:rPr>
        <w:t>ueron consolidados en el documento “</w:t>
      </w:r>
      <w:r w:rsidR="00775869" w:rsidRPr="00775869">
        <w:rPr>
          <w:rFonts w:cs="Arial"/>
          <w:szCs w:val="24"/>
          <w:lang w:val="es-ES"/>
        </w:rPr>
        <w:t>Estadística consolidada de importaciones 2021 (Regla de Tributación Sector Aeronáutico)</w:t>
      </w:r>
      <w:r w:rsidR="00775869">
        <w:rPr>
          <w:rFonts w:cs="Arial"/>
          <w:szCs w:val="24"/>
          <w:lang w:val="es-ES"/>
        </w:rPr>
        <w:t xml:space="preserve">” el cual se Anexa a la presente Acta. </w:t>
      </w:r>
      <w:r w:rsidR="00775869" w:rsidRPr="00775869">
        <w:rPr>
          <w:rFonts w:cs="Arial"/>
          <w:b/>
          <w:szCs w:val="24"/>
          <w:lang w:val="es-ES"/>
        </w:rPr>
        <w:t>A</w:t>
      </w:r>
      <w:r w:rsidR="006D475C">
        <w:rPr>
          <w:rFonts w:cs="Arial"/>
          <w:b/>
          <w:szCs w:val="24"/>
          <w:lang w:val="es-ES"/>
        </w:rPr>
        <w:t>NEXO</w:t>
      </w:r>
      <w:r w:rsidR="00775869" w:rsidRPr="00775869">
        <w:rPr>
          <w:rFonts w:cs="Arial"/>
          <w:b/>
          <w:szCs w:val="24"/>
          <w:lang w:val="es-ES"/>
        </w:rPr>
        <w:t xml:space="preserve"> XV</w:t>
      </w:r>
      <w:r w:rsidR="006D475C">
        <w:rPr>
          <w:rFonts w:cs="Arial"/>
          <w:b/>
          <w:szCs w:val="24"/>
          <w:lang w:val="es-ES"/>
        </w:rPr>
        <w:t xml:space="preserve"> -</w:t>
      </w:r>
      <w:r w:rsidR="00775869" w:rsidRPr="00775869">
        <w:rPr>
          <w:rFonts w:cs="Arial"/>
          <w:b/>
          <w:szCs w:val="24"/>
          <w:lang w:val="es-ES"/>
        </w:rPr>
        <w:t xml:space="preserve"> Reservado</w:t>
      </w:r>
      <w:r w:rsidR="00775869">
        <w:rPr>
          <w:rFonts w:cs="Arial"/>
          <w:szCs w:val="24"/>
          <w:lang w:val="es-ES"/>
        </w:rPr>
        <w:t xml:space="preserve"> </w:t>
      </w:r>
    </w:p>
    <w:p w14:paraId="7E840C31" w14:textId="063E99C1" w:rsidR="00B02724" w:rsidRPr="00EE0F2B" w:rsidRDefault="00721153" w:rsidP="00F32A60">
      <w:pPr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 </w:t>
      </w:r>
    </w:p>
    <w:p w14:paraId="23C721A1" w14:textId="3CD739CD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709" w:hanging="709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lastRenderedPageBreak/>
        <w:t xml:space="preserve">SOLICITUDES DE MODIFICACIÓN DE LA NCM </w:t>
      </w:r>
      <w:r w:rsidR="00CF3F97">
        <w:rPr>
          <w:rFonts w:cs="Arial"/>
          <w:b/>
          <w:color w:val="auto"/>
          <w:szCs w:val="24"/>
          <w:lang w:val="es-ES"/>
        </w:rPr>
        <w:t>Y DEL</w:t>
      </w:r>
      <w:r w:rsidRPr="006D6BEC">
        <w:rPr>
          <w:rFonts w:cs="Arial"/>
          <w:b/>
          <w:color w:val="auto"/>
          <w:szCs w:val="24"/>
          <w:lang w:val="es-ES"/>
        </w:rPr>
        <w:t xml:space="preserve"> AEC</w:t>
      </w:r>
    </w:p>
    <w:p w14:paraId="2961DBD5" w14:textId="60E536EC" w:rsidR="00333106" w:rsidRDefault="00333106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6D6BEC">
        <w:rPr>
          <w:rFonts w:cs="Arial"/>
          <w:b/>
          <w:szCs w:val="24"/>
          <w:lang w:val="es-ES"/>
        </w:rPr>
        <w:t xml:space="preserve">Análisis de los casos pendientes del </w:t>
      </w:r>
      <w:r w:rsidR="002C123D">
        <w:rPr>
          <w:rFonts w:cs="Arial"/>
          <w:b/>
          <w:szCs w:val="24"/>
          <w:lang w:val="es-ES"/>
        </w:rPr>
        <w:t>ANEXO</w:t>
      </w:r>
      <w:r w:rsidRPr="006D6BEC">
        <w:rPr>
          <w:rFonts w:cs="Arial"/>
          <w:b/>
          <w:szCs w:val="24"/>
          <w:lang w:val="es-ES"/>
        </w:rPr>
        <w:t xml:space="preserve"> V</w:t>
      </w:r>
    </w:p>
    <w:p w14:paraId="2359A269" w14:textId="247A14AE" w:rsidR="00824A31" w:rsidRPr="00DB6CD0" w:rsidRDefault="00824A31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001035">
        <w:rPr>
          <w:rFonts w:cs="Arial"/>
          <w:szCs w:val="24"/>
          <w:lang w:val="es-ES"/>
        </w:rPr>
        <w:t xml:space="preserve">Fueron analizadas las solicitudes de modificación de la NCM y </w:t>
      </w:r>
      <w:r w:rsidR="00773D7A">
        <w:rPr>
          <w:rFonts w:cs="Arial"/>
          <w:szCs w:val="24"/>
          <w:lang w:val="es-ES"/>
        </w:rPr>
        <w:t>d</w:t>
      </w:r>
      <w:r w:rsidRPr="00001035">
        <w:rPr>
          <w:rFonts w:cs="Arial"/>
          <w:szCs w:val="24"/>
          <w:lang w:val="es-ES"/>
        </w:rPr>
        <w:t>el AEC pendientes</w:t>
      </w:r>
      <w:r w:rsidR="00BB20B7">
        <w:rPr>
          <w:rFonts w:cs="Arial"/>
          <w:szCs w:val="24"/>
          <w:lang w:val="es-ES"/>
        </w:rPr>
        <w:t>,</w:t>
      </w:r>
      <w:r w:rsidRPr="00001035">
        <w:rPr>
          <w:rFonts w:cs="Arial"/>
          <w:szCs w:val="24"/>
          <w:lang w:val="es-ES"/>
        </w:rPr>
        <w:t xml:space="preserve"> </w:t>
      </w:r>
      <w:r w:rsidRPr="00DB6CD0">
        <w:rPr>
          <w:rFonts w:cs="Arial"/>
          <w:szCs w:val="24"/>
          <w:lang w:val="es-ES"/>
        </w:rPr>
        <w:t xml:space="preserve">que constan en el </w:t>
      </w:r>
      <w:r w:rsidR="002C123D" w:rsidRPr="00074628">
        <w:rPr>
          <w:rFonts w:cs="Arial"/>
          <w:szCs w:val="24"/>
          <w:lang w:val="es-ES"/>
        </w:rPr>
        <w:t>ANEXO</w:t>
      </w:r>
      <w:r w:rsidRPr="00074628">
        <w:rPr>
          <w:rFonts w:cs="Arial"/>
          <w:szCs w:val="24"/>
          <w:lang w:val="es-ES"/>
        </w:rPr>
        <w:t xml:space="preserve"> V.</w:t>
      </w:r>
    </w:p>
    <w:p w14:paraId="150ED5C2" w14:textId="2F93A779" w:rsidR="000E02D1" w:rsidRDefault="00BB20B7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C44BD0">
        <w:rPr>
          <w:rFonts w:cs="Arial"/>
          <w:szCs w:val="24"/>
          <w:lang w:val="es-ES"/>
        </w:rPr>
        <w:t xml:space="preserve">Como resultado del </w:t>
      </w:r>
      <w:r w:rsidR="003F2D23" w:rsidRPr="00C44BD0">
        <w:rPr>
          <w:rFonts w:cs="Arial"/>
          <w:szCs w:val="24"/>
          <w:lang w:val="es-ES"/>
        </w:rPr>
        <w:t xml:space="preserve">análisis </w:t>
      </w:r>
      <w:r w:rsidRPr="00C44BD0">
        <w:rPr>
          <w:rFonts w:cs="Arial"/>
          <w:szCs w:val="24"/>
          <w:lang w:val="es-ES"/>
        </w:rPr>
        <w:t xml:space="preserve">y la posición </w:t>
      </w:r>
      <w:r w:rsidR="000E02D1">
        <w:rPr>
          <w:rFonts w:cs="Arial"/>
          <w:szCs w:val="24"/>
          <w:lang w:val="es-ES"/>
        </w:rPr>
        <w:t xml:space="preserve">manifestada </w:t>
      </w:r>
      <w:r w:rsidRPr="00C44BD0">
        <w:rPr>
          <w:rFonts w:cs="Arial"/>
          <w:szCs w:val="24"/>
          <w:lang w:val="es-ES"/>
        </w:rPr>
        <w:t xml:space="preserve">por los Estados Partes, </w:t>
      </w:r>
      <w:r w:rsidR="004E2AA1" w:rsidRPr="00C44BD0">
        <w:rPr>
          <w:rFonts w:cs="Arial"/>
          <w:szCs w:val="24"/>
          <w:lang w:val="es-ES"/>
        </w:rPr>
        <w:t>en esta oportunidad</w:t>
      </w:r>
      <w:r w:rsidR="000E02D1">
        <w:rPr>
          <w:rFonts w:cs="Arial"/>
          <w:szCs w:val="24"/>
          <w:lang w:val="es-ES"/>
        </w:rPr>
        <w:t>,</w:t>
      </w:r>
      <w:r w:rsidR="004E2AA1" w:rsidRPr="00C44BD0">
        <w:rPr>
          <w:rFonts w:cs="Arial"/>
          <w:szCs w:val="24"/>
          <w:lang w:val="es-ES"/>
        </w:rPr>
        <w:t xml:space="preserve"> </w:t>
      </w:r>
      <w:r w:rsidR="003F2D23" w:rsidRPr="00C44BD0">
        <w:rPr>
          <w:rFonts w:cs="Arial"/>
          <w:szCs w:val="24"/>
          <w:lang w:val="es-ES"/>
        </w:rPr>
        <w:t xml:space="preserve">el </w:t>
      </w:r>
      <w:r w:rsidR="00C870ED" w:rsidRPr="00C44BD0">
        <w:rPr>
          <w:rFonts w:cs="Arial"/>
          <w:szCs w:val="24"/>
          <w:lang w:val="es-ES"/>
        </w:rPr>
        <w:t>CT</w:t>
      </w:r>
      <w:r w:rsidR="000E02D1">
        <w:rPr>
          <w:rFonts w:cs="Arial"/>
          <w:szCs w:val="24"/>
          <w:lang w:val="es-ES"/>
        </w:rPr>
        <w:t xml:space="preserve"> N°</w:t>
      </w:r>
      <w:r w:rsidR="00C75527" w:rsidRPr="00C44BD0">
        <w:rPr>
          <w:rFonts w:cs="Arial"/>
          <w:szCs w:val="24"/>
          <w:lang w:val="es-ES"/>
        </w:rPr>
        <w:t>1 aprobó</w:t>
      </w:r>
      <w:r w:rsidR="000E02D1">
        <w:rPr>
          <w:rFonts w:cs="Arial"/>
          <w:szCs w:val="24"/>
          <w:lang w:val="es-ES"/>
        </w:rPr>
        <w:t xml:space="preserve"> las solicitudes referentes a:</w:t>
      </w:r>
    </w:p>
    <w:p w14:paraId="249D65C1" w14:textId="16094AE7" w:rsidR="00486A9F" w:rsidRDefault="00486A9F" w:rsidP="00AF2584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Apertura y reducción arancelaria de juegos de dirección (Caso Nº1140)</w:t>
      </w:r>
    </w:p>
    <w:p w14:paraId="0D20836B" w14:textId="2D873724" w:rsidR="000E57CD" w:rsidRDefault="000E57CD" w:rsidP="000E57CD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Apertura y reducción arancelaria de juegos de mazas (Caso Nº</w:t>
      </w:r>
      <w:r w:rsidR="00C25DAD">
        <w:rPr>
          <w:rFonts w:cs="Arial"/>
          <w:szCs w:val="24"/>
          <w:lang w:val="es-ES"/>
        </w:rPr>
        <w:t>1</w:t>
      </w:r>
      <w:r>
        <w:rPr>
          <w:rFonts w:cs="Arial"/>
          <w:szCs w:val="24"/>
          <w:lang w:val="es-ES"/>
        </w:rPr>
        <w:t>141)</w:t>
      </w:r>
    </w:p>
    <w:p w14:paraId="3756EE8B" w14:textId="375B3559" w:rsidR="000E57CD" w:rsidRDefault="000E57CD" w:rsidP="000E57CD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Apertura y reducción arancelaria de plato y palancas (Caso Nº1142)</w:t>
      </w:r>
    </w:p>
    <w:p w14:paraId="34B63E4D" w14:textId="411A65EF" w:rsidR="000E57CD" w:rsidRDefault="000E57CD" w:rsidP="000E57CD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Apertura con fines estadísticos poliamida 6 o poliamida-6.6, sin carga (Caso Nº1232)</w:t>
      </w:r>
    </w:p>
    <w:p w14:paraId="0D2CFCDF" w14:textId="2CA8D30C" w:rsidR="000E57CD" w:rsidRDefault="000E57CD" w:rsidP="000E57CD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Apertura y reducción arancelaria de Las </w:t>
      </w:r>
      <w:r w:rsidR="00C25DAD">
        <w:rPr>
          <w:rFonts w:cs="Arial"/>
          <w:szCs w:val="24"/>
          <w:lang w:val="es-ES"/>
        </w:rPr>
        <w:t>demás</w:t>
      </w:r>
      <w:r>
        <w:rPr>
          <w:rFonts w:cs="Arial"/>
          <w:szCs w:val="24"/>
          <w:lang w:val="es-ES"/>
        </w:rPr>
        <w:t xml:space="preserve"> (Caucho 1,2 – Polibutadieno </w:t>
      </w:r>
      <w:proofErr w:type="spellStart"/>
      <w:r>
        <w:rPr>
          <w:rFonts w:cs="Arial"/>
          <w:szCs w:val="24"/>
          <w:lang w:val="es-ES"/>
        </w:rPr>
        <w:t>sindiotáctico</w:t>
      </w:r>
      <w:proofErr w:type="spellEnd"/>
      <w:r>
        <w:rPr>
          <w:rFonts w:cs="Arial"/>
          <w:szCs w:val="24"/>
          <w:lang w:val="es-ES"/>
        </w:rPr>
        <w:t>) (Caso Nº1236)</w:t>
      </w:r>
    </w:p>
    <w:p w14:paraId="5897AED9" w14:textId="410F3E60" w:rsidR="00AF2584" w:rsidRDefault="000E57CD" w:rsidP="00AF2584">
      <w:pPr>
        <w:pStyle w:val="Sangradetextonormal"/>
        <w:numPr>
          <w:ilvl w:val="0"/>
          <w:numId w:val="25"/>
        </w:numPr>
        <w:tabs>
          <w:tab w:val="left" w:pos="993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Perfeccionamiento de la NCM </w:t>
      </w:r>
      <w:r w:rsidR="00C25DAD">
        <w:rPr>
          <w:rFonts w:cs="Arial"/>
          <w:szCs w:val="24"/>
          <w:lang w:val="es-ES"/>
        </w:rPr>
        <w:t>Catéteres</w:t>
      </w:r>
      <w:r>
        <w:rPr>
          <w:rFonts w:cs="Arial"/>
          <w:szCs w:val="24"/>
          <w:lang w:val="es-ES"/>
        </w:rPr>
        <w:t xml:space="preserve"> intravenosos periféricos (Caso Nº1242)</w:t>
      </w:r>
    </w:p>
    <w:p w14:paraId="0CA5E69D" w14:textId="4E8C877A" w:rsidR="00C870ED" w:rsidRDefault="00F32A60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C44BD0">
        <w:rPr>
          <w:rFonts w:cs="Arial"/>
          <w:szCs w:val="24"/>
          <w:lang w:val="es-ES"/>
        </w:rPr>
        <w:t xml:space="preserve">Las modificaciones aprobadas </w:t>
      </w:r>
      <w:r w:rsidR="0085528E">
        <w:rPr>
          <w:rFonts w:cs="Arial"/>
          <w:szCs w:val="24"/>
          <w:lang w:val="es-ES"/>
        </w:rPr>
        <w:t xml:space="preserve">son incluidas </w:t>
      </w:r>
      <w:r w:rsidR="00DB7A35" w:rsidRPr="00C44BD0">
        <w:rPr>
          <w:rFonts w:cs="Arial"/>
          <w:szCs w:val="24"/>
          <w:lang w:val="es-ES"/>
        </w:rPr>
        <w:t xml:space="preserve">en </w:t>
      </w:r>
      <w:r w:rsidR="00CB78C8" w:rsidRPr="00C44BD0">
        <w:rPr>
          <w:rFonts w:cs="Arial"/>
          <w:szCs w:val="24"/>
          <w:lang w:val="es-ES"/>
        </w:rPr>
        <w:t xml:space="preserve">el </w:t>
      </w:r>
      <w:r w:rsidR="00CB78C8" w:rsidRPr="00160B63">
        <w:rPr>
          <w:rFonts w:cs="Arial"/>
          <w:i/>
          <w:szCs w:val="24"/>
          <w:lang w:val="es-ES"/>
        </w:rPr>
        <w:t>proyecto de</w:t>
      </w:r>
      <w:r w:rsidR="00CB78C8" w:rsidRPr="00C44BD0">
        <w:rPr>
          <w:rFonts w:cs="Arial"/>
          <w:szCs w:val="24"/>
          <w:lang w:val="es-ES"/>
        </w:rPr>
        <w:t xml:space="preserve"> </w:t>
      </w:r>
      <w:r w:rsidR="00DB7A35" w:rsidRPr="00160B63">
        <w:rPr>
          <w:rFonts w:cs="Arial"/>
          <w:i/>
          <w:szCs w:val="24"/>
          <w:lang w:val="es-ES"/>
        </w:rPr>
        <w:t>Resolución N°0</w:t>
      </w:r>
      <w:r w:rsidR="006D475C">
        <w:rPr>
          <w:rFonts w:cs="Arial"/>
          <w:i/>
          <w:szCs w:val="24"/>
          <w:lang w:val="es-ES"/>
        </w:rPr>
        <w:t>3</w:t>
      </w:r>
      <w:r w:rsidR="00DB7A35" w:rsidRPr="00160B63">
        <w:rPr>
          <w:rFonts w:cs="Arial"/>
          <w:i/>
          <w:szCs w:val="24"/>
          <w:lang w:val="es-ES"/>
        </w:rPr>
        <w:t>/22</w:t>
      </w:r>
      <w:r w:rsidR="00CB78C8" w:rsidRPr="00C44BD0">
        <w:rPr>
          <w:rFonts w:cs="Arial"/>
          <w:szCs w:val="24"/>
          <w:lang w:val="es-ES"/>
        </w:rPr>
        <w:t xml:space="preserve">, </w:t>
      </w:r>
      <w:r w:rsidR="00C870ED" w:rsidRPr="00C44BD0">
        <w:rPr>
          <w:rFonts w:cs="Arial"/>
          <w:szCs w:val="24"/>
          <w:lang w:val="es-ES"/>
        </w:rPr>
        <w:t xml:space="preserve">cuyas versiones en español y portugués constan en el </w:t>
      </w:r>
      <w:r w:rsidR="00C870ED" w:rsidRPr="00C44BD0">
        <w:rPr>
          <w:rFonts w:cs="Arial"/>
          <w:b/>
          <w:szCs w:val="24"/>
          <w:lang w:val="es-ES"/>
        </w:rPr>
        <w:t>ANEXO IV</w:t>
      </w:r>
      <w:r w:rsidR="00C870ED" w:rsidRPr="00C44BD0">
        <w:rPr>
          <w:rFonts w:cs="Arial"/>
          <w:szCs w:val="24"/>
          <w:lang w:val="es-ES"/>
        </w:rPr>
        <w:t>.</w:t>
      </w:r>
      <w:r w:rsidR="0085528E">
        <w:rPr>
          <w:rFonts w:cs="Arial"/>
          <w:szCs w:val="24"/>
          <w:lang w:val="es-ES"/>
        </w:rPr>
        <w:t xml:space="preserve"> </w:t>
      </w:r>
      <w:r w:rsidR="00C870ED" w:rsidRPr="00C44BD0">
        <w:rPr>
          <w:rFonts w:cs="Arial"/>
          <w:szCs w:val="24"/>
          <w:lang w:val="es-ES"/>
        </w:rPr>
        <w:t xml:space="preserve">El </w:t>
      </w:r>
      <w:r w:rsidR="00CB78C8" w:rsidRPr="00C44BD0">
        <w:rPr>
          <w:rFonts w:cs="Arial"/>
          <w:szCs w:val="24"/>
          <w:lang w:val="es-ES"/>
        </w:rPr>
        <w:t>p</w:t>
      </w:r>
      <w:r w:rsidR="00C870ED" w:rsidRPr="00C44BD0">
        <w:rPr>
          <w:rFonts w:cs="Arial"/>
          <w:szCs w:val="24"/>
          <w:lang w:val="es-ES"/>
        </w:rPr>
        <w:t>royecto de Resolución se eleva a</w:t>
      </w:r>
      <w:r w:rsidR="00F918E8" w:rsidRPr="00C44BD0">
        <w:rPr>
          <w:rFonts w:cs="Arial"/>
          <w:szCs w:val="24"/>
          <w:lang w:val="es-ES"/>
        </w:rPr>
        <w:t xml:space="preserve"> </w:t>
      </w:r>
      <w:r w:rsidR="00C870ED" w:rsidRPr="00C44BD0">
        <w:rPr>
          <w:rFonts w:cs="Arial"/>
          <w:szCs w:val="24"/>
          <w:lang w:val="es-ES"/>
        </w:rPr>
        <w:t>la Comisión de Comercio del</w:t>
      </w:r>
      <w:r w:rsidR="0085528E">
        <w:rPr>
          <w:rFonts w:cs="Arial"/>
          <w:szCs w:val="24"/>
          <w:lang w:val="es-ES"/>
        </w:rPr>
        <w:t xml:space="preserve"> MERCOSUR.</w:t>
      </w:r>
    </w:p>
    <w:p w14:paraId="69C0F8FD" w14:textId="77777777" w:rsidR="006D475C" w:rsidRPr="00C44BD0" w:rsidRDefault="006D475C" w:rsidP="00F32A60">
      <w:pPr>
        <w:pStyle w:val="Sangradetextonormal"/>
        <w:tabs>
          <w:tab w:val="left" w:pos="993"/>
        </w:tabs>
        <w:spacing w:after="240" w:line="300" w:lineRule="exact"/>
        <w:ind w:left="0"/>
        <w:jc w:val="both"/>
        <w:rPr>
          <w:rFonts w:cs="Arial"/>
          <w:szCs w:val="24"/>
          <w:lang w:val="es-ES"/>
        </w:rPr>
      </w:pPr>
    </w:p>
    <w:p w14:paraId="7EEB570B" w14:textId="41DD1481" w:rsidR="00FA7627" w:rsidRPr="00A07C40" w:rsidRDefault="00824A31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A07C40">
        <w:rPr>
          <w:rFonts w:cs="Arial"/>
          <w:b/>
          <w:bCs/>
          <w:szCs w:val="24"/>
        </w:rPr>
        <w:t xml:space="preserve">Seguimiento a los casos en análisis del </w:t>
      </w:r>
      <w:r w:rsidR="002C123D" w:rsidRPr="00A07C40">
        <w:rPr>
          <w:rFonts w:cs="Arial"/>
          <w:b/>
          <w:bCs/>
          <w:szCs w:val="24"/>
        </w:rPr>
        <w:t>ANEXO</w:t>
      </w:r>
      <w:r w:rsidRPr="00A07C40">
        <w:rPr>
          <w:rFonts w:cs="Arial"/>
          <w:b/>
          <w:bCs/>
          <w:szCs w:val="24"/>
        </w:rPr>
        <w:t xml:space="preserve"> V </w:t>
      </w:r>
      <w:r w:rsidRPr="00A07C40">
        <w:rPr>
          <w:rFonts w:cs="Arial"/>
          <w:b/>
          <w:szCs w:val="24"/>
          <w:lang w:val="es-ES"/>
        </w:rPr>
        <w:t>por parte de los Técnicos de Nomenclatura</w:t>
      </w:r>
      <w:r w:rsidRPr="00A07C40">
        <w:rPr>
          <w:rFonts w:cs="Arial"/>
          <w:b/>
          <w:bCs/>
          <w:szCs w:val="24"/>
        </w:rPr>
        <w:t>.</w:t>
      </w:r>
    </w:p>
    <w:p w14:paraId="09C3CDF2" w14:textId="0AF2764F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lang w:val="es-ES"/>
        </w:rPr>
      </w:pPr>
      <w:r w:rsidRPr="00C81901">
        <w:rPr>
          <w:rFonts w:cs="Arial"/>
          <w:b/>
          <w:szCs w:val="24"/>
          <w:lang w:val="es-ES"/>
        </w:rPr>
        <w:t>2.2.1 “Los demás” (</w:t>
      </w:r>
      <w:proofErr w:type="spellStart"/>
      <w:r w:rsidRPr="00C81901">
        <w:rPr>
          <w:rFonts w:cs="Arial"/>
          <w:b/>
          <w:szCs w:val="24"/>
          <w:lang w:val="es-ES"/>
        </w:rPr>
        <w:t>Nº</w:t>
      </w:r>
      <w:proofErr w:type="spellEnd"/>
      <w:r w:rsidRPr="00C81901">
        <w:rPr>
          <w:rFonts w:cs="Arial"/>
          <w:b/>
          <w:szCs w:val="24"/>
          <w:lang w:val="es-ES"/>
        </w:rPr>
        <w:t xml:space="preserve"> de orden 1238)</w:t>
      </w:r>
    </w:p>
    <w:p w14:paraId="37C0836C" w14:textId="77777777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szCs w:val="24"/>
          <w:lang w:val="es-ES"/>
        </w:rPr>
      </w:pPr>
      <w:r w:rsidRPr="00C81901">
        <w:rPr>
          <w:rFonts w:cs="Arial"/>
          <w:szCs w:val="24"/>
          <w:lang w:val="es-ES"/>
        </w:rPr>
        <w:t xml:space="preserve">Las delegaciones de Argentina, Paraguay y Uruguay, han recibido las muestras de la mercadería según lo acordado en el Acta 03/22. </w:t>
      </w:r>
    </w:p>
    <w:p w14:paraId="6F7E9D26" w14:textId="77777777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szCs w:val="24"/>
          <w:lang w:val="es-ES"/>
        </w:rPr>
      </w:pPr>
      <w:r w:rsidRPr="00C81901">
        <w:rPr>
          <w:rFonts w:cs="Arial"/>
          <w:szCs w:val="24"/>
          <w:lang w:val="es-ES"/>
        </w:rPr>
        <w:t>El caso continúa en estudio.</w:t>
      </w:r>
    </w:p>
    <w:p w14:paraId="675FAF9E" w14:textId="70A1D197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lang w:val="es-ES"/>
        </w:rPr>
      </w:pPr>
      <w:r w:rsidRPr="00C81901">
        <w:rPr>
          <w:rFonts w:cs="Arial"/>
          <w:b/>
          <w:szCs w:val="24"/>
          <w:lang w:val="es-ES"/>
        </w:rPr>
        <w:t>2.2.2</w:t>
      </w:r>
      <w:r>
        <w:rPr>
          <w:rFonts w:cs="Arial"/>
          <w:szCs w:val="24"/>
          <w:lang w:val="es-ES"/>
        </w:rPr>
        <w:t xml:space="preserve"> </w:t>
      </w:r>
      <w:r w:rsidRPr="00C81901">
        <w:rPr>
          <w:rFonts w:cs="Arial"/>
          <w:b/>
          <w:szCs w:val="24"/>
          <w:lang w:val="es-ES"/>
        </w:rPr>
        <w:t xml:space="preserve">“-- </w:t>
      </w:r>
      <w:proofErr w:type="spellStart"/>
      <w:r w:rsidRPr="00C81901">
        <w:rPr>
          <w:rFonts w:cs="Arial"/>
          <w:b/>
          <w:szCs w:val="24"/>
          <w:lang w:val="es-ES"/>
        </w:rPr>
        <w:t>Pedaços</w:t>
      </w:r>
      <w:proofErr w:type="spellEnd"/>
      <w:r w:rsidRPr="00C81901">
        <w:rPr>
          <w:rFonts w:cs="Arial"/>
          <w:b/>
          <w:szCs w:val="24"/>
          <w:lang w:val="es-ES"/>
        </w:rPr>
        <w:t xml:space="preserve"> e </w:t>
      </w:r>
      <w:proofErr w:type="spellStart"/>
      <w:r w:rsidRPr="00C81901">
        <w:rPr>
          <w:rFonts w:cs="Arial"/>
          <w:b/>
          <w:szCs w:val="24"/>
          <w:lang w:val="es-ES"/>
        </w:rPr>
        <w:t>miudezas</w:t>
      </w:r>
      <w:proofErr w:type="spellEnd"/>
      <w:r w:rsidRPr="00C81901">
        <w:rPr>
          <w:rFonts w:cs="Arial"/>
          <w:b/>
          <w:szCs w:val="24"/>
          <w:lang w:val="es-ES"/>
        </w:rPr>
        <w:t>, congelados” (</w:t>
      </w:r>
      <w:proofErr w:type="spellStart"/>
      <w:r w:rsidRPr="00C81901">
        <w:rPr>
          <w:rFonts w:cs="Arial"/>
          <w:b/>
          <w:szCs w:val="24"/>
          <w:lang w:val="es-ES"/>
        </w:rPr>
        <w:t>Nº</w:t>
      </w:r>
      <w:proofErr w:type="spellEnd"/>
      <w:r w:rsidRPr="00C81901">
        <w:rPr>
          <w:rFonts w:cs="Arial"/>
          <w:b/>
          <w:szCs w:val="24"/>
          <w:lang w:val="es-ES"/>
        </w:rPr>
        <w:t xml:space="preserve"> de orden 1246)</w:t>
      </w:r>
    </w:p>
    <w:p w14:paraId="5CE12121" w14:textId="77777777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szCs w:val="24"/>
          <w:lang w:val="es-ES"/>
        </w:rPr>
      </w:pPr>
      <w:r w:rsidRPr="00C81901">
        <w:rPr>
          <w:rFonts w:cs="Arial"/>
          <w:szCs w:val="24"/>
          <w:lang w:val="es-ES"/>
        </w:rPr>
        <w:t xml:space="preserve">Los Técnicos en Nomenclatura acordaron los textos en sus versiones en español y portugués, que se detallan en el </w:t>
      </w:r>
      <w:r w:rsidRPr="00C81901">
        <w:rPr>
          <w:rFonts w:cs="Arial"/>
          <w:b/>
          <w:szCs w:val="24"/>
          <w:lang w:val="es-ES"/>
        </w:rPr>
        <w:t>ANEXO VIII</w:t>
      </w:r>
      <w:r w:rsidRPr="00C81901">
        <w:rPr>
          <w:rFonts w:cs="Arial"/>
          <w:szCs w:val="24"/>
          <w:lang w:val="es-ES"/>
        </w:rPr>
        <w:t>.</w:t>
      </w:r>
    </w:p>
    <w:p w14:paraId="17C08FCC" w14:textId="77777777" w:rsidR="00C81901" w:rsidRDefault="00C81901">
      <w:pPr>
        <w:spacing w:after="160" w:line="259" w:lineRule="auto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br w:type="page"/>
      </w:r>
    </w:p>
    <w:p w14:paraId="43C0DBEF" w14:textId="1710C58F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lang w:val="es-ES"/>
        </w:rPr>
      </w:pPr>
      <w:r w:rsidRPr="00C81901">
        <w:rPr>
          <w:rFonts w:cs="Arial"/>
          <w:b/>
          <w:szCs w:val="24"/>
          <w:lang w:val="es-ES"/>
        </w:rPr>
        <w:lastRenderedPageBreak/>
        <w:t xml:space="preserve">2.2.3 </w:t>
      </w:r>
      <w:r>
        <w:rPr>
          <w:rFonts w:cs="Arial"/>
          <w:b/>
          <w:szCs w:val="24"/>
          <w:lang w:val="es-ES"/>
        </w:rPr>
        <w:t>“</w:t>
      </w:r>
      <w:proofErr w:type="spellStart"/>
      <w:r w:rsidRPr="00C81901">
        <w:rPr>
          <w:rFonts w:cs="Arial"/>
          <w:b/>
          <w:szCs w:val="24"/>
          <w:lang w:val="es-ES"/>
        </w:rPr>
        <w:t>Outros</w:t>
      </w:r>
      <w:proofErr w:type="spellEnd"/>
      <w:r w:rsidRPr="00C81901">
        <w:rPr>
          <w:rFonts w:cs="Arial"/>
          <w:b/>
          <w:szCs w:val="24"/>
          <w:lang w:val="es-ES"/>
        </w:rPr>
        <w:t xml:space="preserve"> (</w:t>
      </w:r>
      <w:proofErr w:type="spellStart"/>
      <w:r w:rsidRPr="00C81901">
        <w:rPr>
          <w:rFonts w:cs="Arial"/>
          <w:b/>
          <w:szCs w:val="24"/>
          <w:lang w:val="es-ES"/>
        </w:rPr>
        <w:t>Cordas</w:t>
      </w:r>
      <w:proofErr w:type="spellEnd"/>
      <w:r w:rsidRPr="00C81901">
        <w:rPr>
          <w:rFonts w:cs="Arial"/>
          <w:b/>
          <w:szCs w:val="24"/>
          <w:lang w:val="es-ES"/>
        </w:rPr>
        <w:t xml:space="preserve"> e cabos, de ferro </w:t>
      </w:r>
      <w:proofErr w:type="spellStart"/>
      <w:r w:rsidRPr="00C81901">
        <w:rPr>
          <w:rFonts w:cs="Arial"/>
          <w:b/>
          <w:szCs w:val="24"/>
          <w:lang w:val="es-ES"/>
        </w:rPr>
        <w:t>ou</w:t>
      </w:r>
      <w:proofErr w:type="spellEnd"/>
      <w:r w:rsidRPr="00C81901">
        <w:rPr>
          <w:rFonts w:cs="Arial"/>
          <w:b/>
          <w:szCs w:val="24"/>
          <w:lang w:val="es-ES"/>
        </w:rPr>
        <w:t xml:space="preserve"> </w:t>
      </w:r>
      <w:proofErr w:type="spellStart"/>
      <w:r w:rsidRPr="00C81901">
        <w:rPr>
          <w:rFonts w:cs="Arial"/>
          <w:b/>
          <w:szCs w:val="24"/>
          <w:lang w:val="es-ES"/>
        </w:rPr>
        <w:t>aço</w:t>
      </w:r>
      <w:proofErr w:type="spellEnd"/>
      <w:r w:rsidRPr="00C81901">
        <w:rPr>
          <w:rFonts w:cs="Arial"/>
          <w:b/>
          <w:szCs w:val="24"/>
          <w:lang w:val="es-ES"/>
        </w:rPr>
        <w:t xml:space="preserve">, </w:t>
      </w:r>
      <w:proofErr w:type="spellStart"/>
      <w:r w:rsidRPr="00C81901">
        <w:rPr>
          <w:rFonts w:cs="Arial"/>
          <w:b/>
          <w:szCs w:val="24"/>
          <w:lang w:val="es-ES"/>
        </w:rPr>
        <w:t>não</w:t>
      </w:r>
      <w:proofErr w:type="spellEnd"/>
      <w:r w:rsidRPr="00C81901">
        <w:rPr>
          <w:rFonts w:cs="Arial"/>
          <w:b/>
          <w:szCs w:val="24"/>
          <w:lang w:val="es-ES"/>
        </w:rPr>
        <w:t xml:space="preserve"> </w:t>
      </w:r>
      <w:proofErr w:type="spellStart"/>
      <w:r w:rsidRPr="00C81901">
        <w:rPr>
          <w:rFonts w:cs="Arial"/>
          <w:b/>
          <w:szCs w:val="24"/>
          <w:lang w:val="es-ES"/>
        </w:rPr>
        <w:t>isolados</w:t>
      </w:r>
      <w:proofErr w:type="spellEnd"/>
      <w:r w:rsidRPr="00C81901">
        <w:rPr>
          <w:rFonts w:cs="Arial"/>
          <w:b/>
          <w:szCs w:val="24"/>
          <w:lang w:val="es-ES"/>
        </w:rPr>
        <w:t xml:space="preserve"> para usos </w:t>
      </w:r>
      <w:proofErr w:type="spellStart"/>
      <w:r w:rsidRPr="00C81901">
        <w:rPr>
          <w:rFonts w:cs="Arial"/>
          <w:b/>
          <w:szCs w:val="24"/>
          <w:lang w:val="es-ES"/>
        </w:rPr>
        <w:t>elétricos</w:t>
      </w:r>
      <w:proofErr w:type="spellEnd"/>
      <w:r w:rsidRPr="00C81901">
        <w:rPr>
          <w:rFonts w:cs="Arial"/>
          <w:b/>
          <w:szCs w:val="24"/>
          <w:lang w:val="es-ES"/>
        </w:rPr>
        <w:t>)</w:t>
      </w:r>
      <w:r>
        <w:rPr>
          <w:rFonts w:cs="Arial"/>
          <w:b/>
          <w:szCs w:val="24"/>
          <w:lang w:val="es-ES"/>
        </w:rPr>
        <w:t>”</w:t>
      </w:r>
      <w:r w:rsidRPr="00C81901">
        <w:rPr>
          <w:rFonts w:cs="Arial"/>
          <w:b/>
          <w:szCs w:val="24"/>
          <w:lang w:val="es-ES"/>
        </w:rPr>
        <w:t xml:space="preserve"> (</w:t>
      </w:r>
      <w:proofErr w:type="spellStart"/>
      <w:r w:rsidRPr="00C81901">
        <w:rPr>
          <w:rFonts w:cs="Arial"/>
          <w:b/>
          <w:szCs w:val="24"/>
          <w:lang w:val="es-ES"/>
        </w:rPr>
        <w:t>N</w:t>
      </w:r>
      <w:r>
        <w:rPr>
          <w:rFonts w:cs="Arial"/>
          <w:b/>
          <w:szCs w:val="24"/>
          <w:lang w:val="es-ES"/>
        </w:rPr>
        <w:t>º</w:t>
      </w:r>
      <w:proofErr w:type="spellEnd"/>
      <w:r w:rsidRPr="00C81901">
        <w:rPr>
          <w:rFonts w:cs="Arial"/>
          <w:b/>
          <w:szCs w:val="24"/>
          <w:lang w:val="es-ES"/>
        </w:rPr>
        <w:t xml:space="preserve"> de orden 1254)</w:t>
      </w:r>
    </w:p>
    <w:p w14:paraId="58C23DB5" w14:textId="77777777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szCs w:val="24"/>
          <w:lang w:val="es-ES"/>
        </w:rPr>
      </w:pPr>
      <w:r w:rsidRPr="00C81901">
        <w:rPr>
          <w:rFonts w:cs="Arial"/>
          <w:szCs w:val="24"/>
          <w:lang w:val="es-ES"/>
        </w:rPr>
        <w:t>Los Técnicos en Nomenclatura retomaron el análisis del presente caso, y de acuerdo a la nueva información adicional presentada en el Acta 03/22, entienden que no es posible realizar la apertura solicitada, debido a que no surgen características que permitan diferenciar estos productos de los demás cables.</w:t>
      </w:r>
    </w:p>
    <w:p w14:paraId="2EC63973" w14:textId="7E902E95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lang w:val="es-ES"/>
        </w:rPr>
      </w:pPr>
      <w:r w:rsidRPr="00C81901">
        <w:rPr>
          <w:rFonts w:cs="Arial"/>
          <w:b/>
          <w:szCs w:val="24"/>
          <w:lang w:val="es-ES"/>
        </w:rPr>
        <w:t>2.2.4 “Preparaciones que contengan vitamina B12” (</w:t>
      </w:r>
      <w:proofErr w:type="spellStart"/>
      <w:r w:rsidRPr="00C81901">
        <w:rPr>
          <w:rFonts w:cs="Arial"/>
          <w:b/>
          <w:szCs w:val="24"/>
          <w:lang w:val="es-ES"/>
        </w:rPr>
        <w:t>Nº</w:t>
      </w:r>
      <w:proofErr w:type="spellEnd"/>
      <w:r w:rsidRPr="00C81901">
        <w:rPr>
          <w:rFonts w:cs="Arial"/>
          <w:b/>
          <w:szCs w:val="24"/>
          <w:lang w:val="es-ES"/>
        </w:rPr>
        <w:t xml:space="preserve"> de orden 1263)</w:t>
      </w:r>
    </w:p>
    <w:p w14:paraId="0596AB73" w14:textId="77777777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lang w:val="es-ES"/>
        </w:rPr>
      </w:pPr>
      <w:r w:rsidRPr="00C81901">
        <w:rPr>
          <w:rFonts w:cs="Arial"/>
          <w:szCs w:val="24"/>
          <w:lang w:val="es-ES"/>
        </w:rPr>
        <w:t xml:space="preserve">Los Técnicos en Nomenclatura acordaron los textos en sus versiones en español y portugués, que se detallan en el </w:t>
      </w:r>
      <w:r w:rsidRPr="00C81901">
        <w:rPr>
          <w:rFonts w:cs="Arial"/>
          <w:b/>
          <w:szCs w:val="24"/>
          <w:lang w:val="es-ES"/>
        </w:rPr>
        <w:t>ANEXO VIII.</w:t>
      </w:r>
    </w:p>
    <w:p w14:paraId="003C16E0" w14:textId="319A8810" w:rsidR="00C81901" w:rsidRP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lang w:val="es-ES"/>
        </w:rPr>
      </w:pPr>
      <w:r w:rsidRPr="00C81901">
        <w:rPr>
          <w:rFonts w:cs="Arial"/>
          <w:b/>
          <w:szCs w:val="24"/>
          <w:lang w:val="es-ES"/>
        </w:rPr>
        <w:t>2.2.5 “- - Cuadros y horquillas, y sus partes” (</w:t>
      </w:r>
      <w:proofErr w:type="spellStart"/>
      <w:r w:rsidRPr="00C81901">
        <w:rPr>
          <w:rFonts w:cs="Arial"/>
          <w:b/>
          <w:szCs w:val="24"/>
          <w:lang w:val="es-ES"/>
        </w:rPr>
        <w:t>Nº</w:t>
      </w:r>
      <w:proofErr w:type="spellEnd"/>
      <w:r w:rsidRPr="00C81901">
        <w:rPr>
          <w:rFonts w:cs="Arial"/>
          <w:b/>
          <w:szCs w:val="24"/>
          <w:lang w:val="es-ES"/>
        </w:rPr>
        <w:t xml:space="preserve"> de orden 1268)</w:t>
      </w:r>
    </w:p>
    <w:p w14:paraId="37C21A67" w14:textId="1062A64F" w:rsidR="006B7F62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lang w:val="es-ES"/>
        </w:rPr>
      </w:pPr>
      <w:r w:rsidRPr="00C81901">
        <w:rPr>
          <w:rFonts w:cs="Arial"/>
          <w:szCs w:val="24"/>
          <w:lang w:val="es-ES"/>
        </w:rPr>
        <w:t>Los Técnicos en Nomenclatura acordaron los textos en sus versiones en español y portugués, que se detallan en el</w:t>
      </w:r>
      <w:r w:rsidRPr="00C81901">
        <w:rPr>
          <w:rFonts w:cs="Arial"/>
          <w:b/>
          <w:szCs w:val="24"/>
          <w:lang w:val="es-ES"/>
        </w:rPr>
        <w:t xml:space="preserve"> ANEXO VIII.</w:t>
      </w:r>
    </w:p>
    <w:p w14:paraId="3392D375" w14:textId="77777777" w:rsidR="00C81901" w:rsidRDefault="00C81901" w:rsidP="00C81901">
      <w:pPr>
        <w:pStyle w:val="Sangradetextonormal"/>
        <w:tabs>
          <w:tab w:val="left" w:pos="993"/>
        </w:tabs>
        <w:spacing w:after="240" w:line="300" w:lineRule="exact"/>
        <w:ind w:left="360"/>
        <w:jc w:val="both"/>
        <w:rPr>
          <w:rFonts w:cs="Arial"/>
          <w:b/>
          <w:szCs w:val="24"/>
          <w:highlight w:val="yellow"/>
          <w:lang w:val="es-ES"/>
        </w:rPr>
      </w:pPr>
    </w:p>
    <w:p w14:paraId="39E7FCA6" w14:textId="24452864" w:rsidR="0071001E" w:rsidRDefault="0071001E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Presentación de información adicional de los casos en estudio del Anexo V.</w:t>
      </w:r>
    </w:p>
    <w:p w14:paraId="56B1336F" w14:textId="3A1BA8A4" w:rsidR="006D475C" w:rsidRDefault="00C25DAD" w:rsidP="00F32A60">
      <w:pPr>
        <w:pStyle w:val="Prrafodelista"/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La delegación de Brasil presenta información adicional para los casos Nros.1252</w:t>
      </w:r>
      <w:r w:rsidR="00EB2E58">
        <w:rPr>
          <w:rFonts w:cs="Arial"/>
          <w:szCs w:val="24"/>
          <w:lang w:val="es-ES"/>
        </w:rPr>
        <w:t>,</w:t>
      </w:r>
      <w:r>
        <w:rPr>
          <w:rFonts w:cs="Arial"/>
          <w:szCs w:val="24"/>
          <w:lang w:val="es-ES"/>
        </w:rPr>
        <w:t xml:space="preserve"> 1263</w:t>
      </w:r>
      <w:r w:rsidR="00EB2E58">
        <w:rPr>
          <w:rFonts w:cs="Arial"/>
          <w:szCs w:val="24"/>
          <w:lang w:val="es-ES"/>
        </w:rPr>
        <w:t xml:space="preserve"> y 1269</w:t>
      </w:r>
      <w:r>
        <w:rPr>
          <w:rFonts w:cs="Arial"/>
          <w:szCs w:val="24"/>
          <w:lang w:val="es-ES"/>
        </w:rPr>
        <w:t>.</w:t>
      </w:r>
    </w:p>
    <w:p w14:paraId="18900CAA" w14:textId="003627D8" w:rsidR="004F49E3" w:rsidRDefault="001C6325" w:rsidP="00F32A60">
      <w:pPr>
        <w:pStyle w:val="Prrafodelista"/>
        <w:spacing w:after="240" w:line="300" w:lineRule="exact"/>
        <w:ind w:left="0"/>
        <w:jc w:val="both"/>
        <w:rPr>
          <w:rFonts w:cs="Arial"/>
          <w:szCs w:val="24"/>
          <w:lang w:val="es-ES"/>
        </w:rPr>
      </w:pPr>
      <w:r w:rsidRPr="001C6325">
        <w:rPr>
          <w:rFonts w:cs="Arial"/>
          <w:szCs w:val="24"/>
          <w:lang w:val="es-ES"/>
        </w:rPr>
        <w:t xml:space="preserve">Las informaciones presentadas </w:t>
      </w:r>
      <w:r w:rsidR="00130912">
        <w:rPr>
          <w:rFonts w:cs="Arial"/>
          <w:szCs w:val="24"/>
          <w:lang w:val="es-ES"/>
        </w:rPr>
        <w:t xml:space="preserve">por </w:t>
      </w:r>
      <w:r w:rsidR="00074628">
        <w:rPr>
          <w:rFonts w:cs="Arial"/>
          <w:szCs w:val="24"/>
          <w:lang w:val="es-ES"/>
        </w:rPr>
        <w:t>la delegación constan</w:t>
      </w:r>
      <w:r w:rsidRPr="001C6325">
        <w:rPr>
          <w:rFonts w:cs="Arial"/>
          <w:szCs w:val="24"/>
          <w:lang w:val="es-ES"/>
        </w:rPr>
        <w:t xml:space="preserve"> en el </w:t>
      </w:r>
      <w:r w:rsidRPr="001C6325">
        <w:rPr>
          <w:rFonts w:cs="Arial"/>
          <w:b/>
          <w:szCs w:val="24"/>
          <w:lang w:val="es-ES"/>
        </w:rPr>
        <w:t>A</w:t>
      </w:r>
      <w:r w:rsidR="00C870ED" w:rsidRPr="001C6325">
        <w:rPr>
          <w:rFonts w:cs="Arial"/>
          <w:b/>
          <w:szCs w:val="24"/>
          <w:lang w:val="es-ES"/>
        </w:rPr>
        <w:t>NEXO</w:t>
      </w:r>
      <w:r w:rsidRPr="001C6325">
        <w:rPr>
          <w:rFonts w:cs="Arial"/>
          <w:b/>
          <w:szCs w:val="24"/>
          <w:lang w:val="es-ES"/>
        </w:rPr>
        <w:t xml:space="preserve"> VII</w:t>
      </w:r>
      <w:r w:rsidR="00EB2E58">
        <w:rPr>
          <w:rFonts w:cs="Arial"/>
          <w:b/>
          <w:szCs w:val="24"/>
          <w:lang w:val="es-ES"/>
        </w:rPr>
        <w:t xml:space="preserve"> - </w:t>
      </w:r>
      <w:r w:rsidR="00130912">
        <w:rPr>
          <w:rFonts w:cs="Arial"/>
          <w:b/>
          <w:szCs w:val="24"/>
          <w:lang w:val="es-ES"/>
        </w:rPr>
        <w:t>R</w:t>
      </w:r>
      <w:r w:rsidR="00EB2E58">
        <w:rPr>
          <w:rFonts w:cs="Arial"/>
          <w:b/>
          <w:szCs w:val="24"/>
          <w:lang w:val="es-ES"/>
        </w:rPr>
        <w:t>eservado</w:t>
      </w:r>
      <w:r w:rsidRPr="001C6325">
        <w:rPr>
          <w:rFonts w:cs="Arial"/>
          <w:szCs w:val="24"/>
          <w:lang w:val="es-ES"/>
        </w:rPr>
        <w:t>.</w:t>
      </w:r>
    </w:p>
    <w:p w14:paraId="665937AD" w14:textId="446E639B" w:rsidR="00333106" w:rsidRPr="0073322F" w:rsidRDefault="00F32A60" w:rsidP="00F32A60">
      <w:pPr>
        <w:pStyle w:val="Sangradetextonormal"/>
        <w:numPr>
          <w:ilvl w:val="1"/>
          <w:numId w:val="1"/>
        </w:numPr>
        <w:tabs>
          <w:tab w:val="left" w:pos="993"/>
        </w:tabs>
        <w:spacing w:after="240" w:line="300" w:lineRule="exact"/>
        <w:ind w:left="567" w:hanging="567"/>
        <w:jc w:val="both"/>
        <w:rPr>
          <w:rFonts w:cs="Arial"/>
          <w:b/>
          <w:szCs w:val="24"/>
          <w:lang w:val="es-ES"/>
        </w:rPr>
      </w:pPr>
      <w:r w:rsidRPr="0073322F">
        <w:rPr>
          <w:rFonts w:cs="Arial"/>
          <w:b/>
          <w:szCs w:val="24"/>
          <w:lang w:val="es-ES"/>
        </w:rPr>
        <w:t>Presentación de nuevos casos</w:t>
      </w:r>
    </w:p>
    <w:p w14:paraId="3F2B795F" w14:textId="6A669D16" w:rsidR="006D475C" w:rsidRDefault="00755762" w:rsidP="006D475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La </w:t>
      </w:r>
      <w:r w:rsidR="00FD5F8C">
        <w:rPr>
          <w:rFonts w:cs="Arial"/>
          <w:szCs w:val="24"/>
          <w:lang w:val="es-PY"/>
        </w:rPr>
        <w:t>d</w:t>
      </w:r>
      <w:r>
        <w:rPr>
          <w:rFonts w:cs="Arial"/>
          <w:szCs w:val="24"/>
          <w:lang w:val="es-PY"/>
        </w:rPr>
        <w:t xml:space="preserve">elegación de Brasil presentó </w:t>
      </w:r>
      <w:r w:rsidR="00405C2F">
        <w:rPr>
          <w:rFonts w:cs="Arial"/>
          <w:szCs w:val="24"/>
          <w:lang w:val="es-PY"/>
        </w:rPr>
        <w:t>6</w:t>
      </w:r>
      <w:r w:rsidR="00F32A60">
        <w:rPr>
          <w:rFonts w:cs="Arial"/>
          <w:szCs w:val="24"/>
          <w:lang w:val="es-PY"/>
        </w:rPr>
        <w:t xml:space="preserve"> </w:t>
      </w:r>
      <w:r>
        <w:rPr>
          <w:rFonts w:cs="Arial"/>
          <w:szCs w:val="24"/>
          <w:lang w:val="es-PY"/>
        </w:rPr>
        <w:t>(</w:t>
      </w:r>
      <w:r w:rsidR="00405C2F">
        <w:rPr>
          <w:rFonts w:cs="Arial"/>
          <w:szCs w:val="24"/>
          <w:lang w:val="es-PY"/>
        </w:rPr>
        <w:t>seis</w:t>
      </w:r>
      <w:r>
        <w:rPr>
          <w:rFonts w:cs="Arial"/>
          <w:szCs w:val="24"/>
          <w:lang w:val="es-PY"/>
        </w:rPr>
        <w:t>) casos nuevos:</w:t>
      </w:r>
    </w:p>
    <w:p w14:paraId="7DA53366" w14:textId="54D186C2" w:rsidR="006D475C" w:rsidRDefault="00832CC1" w:rsidP="00126E3E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szCs w:val="24"/>
        </w:rPr>
      </w:pPr>
      <w:r w:rsidRPr="00832CC1">
        <w:rPr>
          <w:rFonts w:cs="Arial"/>
          <w:b/>
          <w:szCs w:val="24"/>
        </w:rPr>
        <w:t>Caso 1282</w:t>
      </w:r>
      <w:r w:rsidRPr="00832CC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832CC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Posición arancelaria </w:t>
      </w:r>
      <w:r w:rsidRPr="00832CC1">
        <w:rPr>
          <w:rFonts w:cs="Arial"/>
          <w:szCs w:val="24"/>
        </w:rPr>
        <w:t>3004.90.69</w:t>
      </w:r>
    </w:p>
    <w:p w14:paraId="47FA4127" w14:textId="2B4E88DD" w:rsidR="00832CC1" w:rsidRDefault="00832CC1" w:rsidP="00126E3E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Caso 1283 </w:t>
      </w:r>
      <w:r w:rsidRPr="00832CC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Posición arancelaria </w:t>
      </w:r>
      <w:r w:rsidRPr="00832CC1">
        <w:rPr>
          <w:rFonts w:cs="Arial"/>
          <w:szCs w:val="24"/>
        </w:rPr>
        <w:t>3917.23.00</w:t>
      </w:r>
    </w:p>
    <w:p w14:paraId="3A2E969C" w14:textId="039AB8C1" w:rsidR="00832CC1" w:rsidRDefault="00832CC1" w:rsidP="00126E3E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Caso 1284 </w:t>
      </w:r>
      <w:r w:rsidRPr="00832CC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Posición arancelaria</w:t>
      </w:r>
      <w:r w:rsidRPr="00832CC1">
        <w:t xml:space="preserve"> </w:t>
      </w:r>
      <w:r w:rsidRPr="00832CC1">
        <w:rPr>
          <w:rFonts w:cs="Arial"/>
          <w:szCs w:val="24"/>
        </w:rPr>
        <w:t>2921.51.32</w:t>
      </w:r>
    </w:p>
    <w:p w14:paraId="51E71D3D" w14:textId="2E512B7A" w:rsidR="00832CC1" w:rsidRDefault="00832CC1" w:rsidP="00126E3E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Caso 1285 </w:t>
      </w:r>
      <w:r w:rsidRPr="00832CC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Posición arancelaria</w:t>
      </w:r>
      <w:r w:rsidRPr="00832CC1">
        <w:t xml:space="preserve"> </w:t>
      </w:r>
      <w:r w:rsidRPr="00832CC1">
        <w:rPr>
          <w:rFonts w:cs="Arial"/>
          <w:szCs w:val="24"/>
        </w:rPr>
        <w:t>2921.51.33</w:t>
      </w:r>
    </w:p>
    <w:p w14:paraId="50CBCE84" w14:textId="01DA872F" w:rsidR="006D475C" w:rsidRPr="00832CC1" w:rsidRDefault="00832CC1" w:rsidP="00454FF6">
      <w:pPr>
        <w:pStyle w:val="Textoindependiente"/>
        <w:numPr>
          <w:ilvl w:val="0"/>
          <w:numId w:val="13"/>
        </w:numPr>
        <w:tabs>
          <w:tab w:val="left" w:pos="284"/>
          <w:tab w:val="left" w:pos="851"/>
          <w:tab w:val="left" w:pos="5040"/>
        </w:tabs>
        <w:spacing w:after="240" w:line="300" w:lineRule="exact"/>
        <w:rPr>
          <w:rFonts w:cs="Arial"/>
          <w:szCs w:val="24"/>
        </w:rPr>
      </w:pPr>
      <w:r w:rsidRPr="00832CC1">
        <w:rPr>
          <w:rFonts w:cs="Arial"/>
          <w:b/>
          <w:szCs w:val="24"/>
        </w:rPr>
        <w:t xml:space="preserve">Caso 1286 </w:t>
      </w:r>
      <w:r w:rsidRPr="00832CC1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 xml:space="preserve">Posición arancelaria </w:t>
      </w:r>
      <w:r w:rsidR="00141E94">
        <w:rPr>
          <w:rFonts w:cs="Arial"/>
          <w:szCs w:val="24"/>
        </w:rPr>
        <w:t>2930.20.22</w:t>
      </w:r>
    </w:p>
    <w:p w14:paraId="64413F7C" w14:textId="557BB00A" w:rsidR="00977F17" w:rsidRDefault="00977F17" w:rsidP="006D475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Los formularios presentados constan en el </w:t>
      </w:r>
      <w:r w:rsidRPr="00977F17">
        <w:rPr>
          <w:rFonts w:cs="Arial"/>
          <w:b/>
          <w:szCs w:val="24"/>
          <w:lang w:val="es-PY"/>
        </w:rPr>
        <w:t>ANEXO VI</w:t>
      </w:r>
      <w:r w:rsidR="00141E94">
        <w:rPr>
          <w:rFonts w:cs="Arial"/>
          <w:b/>
          <w:szCs w:val="24"/>
          <w:lang w:val="es-PY"/>
        </w:rPr>
        <w:t xml:space="preserve"> - Reservado</w:t>
      </w:r>
      <w:r>
        <w:rPr>
          <w:rFonts w:cs="Arial"/>
          <w:szCs w:val="24"/>
          <w:lang w:val="es-PY"/>
        </w:rPr>
        <w:t>.</w:t>
      </w:r>
    </w:p>
    <w:p w14:paraId="70141FBB" w14:textId="00D130CC" w:rsidR="00141E94" w:rsidRDefault="00141E94">
      <w:pPr>
        <w:spacing w:after="160" w:line="259" w:lineRule="auto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br w:type="page"/>
      </w:r>
    </w:p>
    <w:p w14:paraId="7449A0FA" w14:textId="77777777" w:rsidR="006D475C" w:rsidRDefault="006D475C" w:rsidP="006D475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es-PY"/>
        </w:rPr>
      </w:pPr>
    </w:p>
    <w:p w14:paraId="4116034B" w14:textId="317F63DA" w:rsidR="00333106" w:rsidRPr="006F1C1B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6F1C1B">
        <w:rPr>
          <w:rFonts w:cs="Arial"/>
          <w:b/>
          <w:color w:val="auto"/>
          <w:szCs w:val="24"/>
          <w:lang w:val="es-ES"/>
        </w:rPr>
        <w:t xml:space="preserve">PRESENTACIÓN DE NORMAS NACIONALES RELACIONADAS A LA NCM </w:t>
      </w:r>
      <w:r w:rsidR="005C4A8D" w:rsidRPr="006F1C1B">
        <w:rPr>
          <w:rFonts w:cs="Arial"/>
          <w:b/>
          <w:color w:val="auto"/>
          <w:szCs w:val="24"/>
          <w:lang w:val="es-ES"/>
        </w:rPr>
        <w:t>Y AL</w:t>
      </w:r>
      <w:r w:rsidRPr="006F1C1B">
        <w:rPr>
          <w:rFonts w:cs="Arial"/>
          <w:b/>
          <w:color w:val="auto"/>
          <w:szCs w:val="24"/>
          <w:lang w:val="es-ES"/>
        </w:rPr>
        <w:t xml:space="preserve"> AEC </w:t>
      </w:r>
    </w:p>
    <w:p w14:paraId="58AB8DC2" w14:textId="77777777" w:rsidR="006D475C" w:rsidRPr="006D475C" w:rsidRDefault="006D475C" w:rsidP="006D475C">
      <w:pPr>
        <w:pStyle w:val="Textoindependiente"/>
        <w:tabs>
          <w:tab w:val="left" w:pos="284"/>
        </w:tabs>
        <w:spacing w:after="240" w:line="300" w:lineRule="exact"/>
        <w:ind w:left="360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La delegación de Brasil presentó las siguientes Resoluciones del Comité Ejecutivo de Gestión de la Cámara de Comercio Exterior (</w:t>
      </w:r>
      <w:proofErr w:type="spellStart"/>
      <w:r w:rsidRPr="006D475C">
        <w:rPr>
          <w:rFonts w:cs="Arial"/>
          <w:color w:val="auto"/>
          <w:szCs w:val="24"/>
          <w:lang w:val="es-ES"/>
        </w:rPr>
        <w:t>Gecex</w:t>
      </w:r>
      <w:proofErr w:type="spellEnd"/>
      <w:r w:rsidRPr="006D475C">
        <w:rPr>
          <w:rFonts w:cs="Arial"/>
          <w:color w:val="auto"/>
          <w:szCs w:val="24"/>
          <w:lang w:val="es-ES"/>
        </w:rPr>
        <w:t>) sobre modificaciones arancelarias:</w:t>
      </w:r>
    </w:p>
    <w:p w14:paraId="486A1E46" w14:textId="7EC4E44A" w:rsidR="006D475C" w:rsidRPr="006D475C" w:rsidRDefault="00141E94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>
        <w:rPr>
          <w:rFonts w:cs="Arial"/>
          <w:color w:val="auto"/>
          <w:szCs w:val="24"/>
          <w:lang w:val="es-ES"/>
        </w:rPr>
        <w:t>Resoluciones Nros.</w:t>
      </w:r>
      <w:r w:rsidR="006D475C" w:rsidRPr="006D475C">
        <w:rPr>
          <w:rFonts w:cs="Arial"/>
          <w:color w:val="auto"/>
          <w:szCs w:val="24"/>
          <w:lang w:val="es-ES"/>
        </w:rPr>
        <w:t>353/2022 y 355/2022, referentes a modificaciones arancelarias por el COVID-19.</w:t>
      </w:r>
    </w:p>
    <w:p w14:paraId="2A183242" w14:textId="3D5CC47E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Resoluciones Nros.349/2022, 362/2022, 369/2022, 381/2022, 382/2022 y 388/2022, sobre Lista de Excepciones al Arancel Externo Común del MERCOSUR.</w:t>
      </w:r>
    </w:p>
    <w:p w14:paraId="7D4CC4BF" w14:textId="2CD03460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Resoluciones Nros.354/2022, 365/2022, 380/2022, y 383/2022, sobre reducciones arancelarias por razones de abastecimiento – Resolución GMC 49/19.</w:t>
      </w:r>
    </w:p>
    <w:p w14:paraId="0524CB20" w14:textId="25415EE4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Resoluciones Nros.347/2022, 343/2022, 358/2022,</w:t>
      </w:r>
      <w:r w:rsidR="00141E94">
        <w:rPr>
          <w:rFonts w:cs="Arial"/>
          <w:color w:val="auto"/>
          <w:szCs w:val="24"/>
          <w:lang w:val="es-ES"/>
        </w:rPr>
        <w:t xml:space="preserve"> 364/2022, 369/2022, 374/2022,</w:t>
      </w:r>
      <w:r w:rsidRPr="006D475C">
        <w:rPr>
          <w:rFonts w:cs="Arial"/>
          <w:color w:val="auto"/>
          <w:szCs w:val="24"/>
          <w:lang w:val="es-ES"/>
        </w:rPr>
        <w:t xml:space="preserve"> 387/2022 y 391/2022, sobre consolidación de excepciones al Arancel Externo Común.</w:t>
      </w:r>
    </w:p>
    <w:p w14:paraId="6F91484A" w14:textId="0A2B0871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Resolución Nros.371/2022 y 390/2022, sobre alteraciones en el Arancel Externo Común y la Nomenclatura Común del Mercosur.</w:t>
      </w:r>
    </w:p>
    <w:p w14:paraId="338F2B88" w14:textId="53576CAD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Resoluciones Nros.344/2022, 356/2022, 375/2022 y 394/2022, referentes a modificaciones arancelarias para Bienes de Capital.</w:t>
      </w:r>
    </w:p>
    <w:p w14:paraId="1685C292" w14:textId="19442002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Resoluciones Nros.339/2022, 345/2022, 357/2022, 376/2022 y 395/2022, referentes a modificaciones arancelarias para Bienes de Informática y Telecomunicaciones.</w:t>
      </w:r>
    </w:p>
    <w:p w14:paraId="24861D6D" w14:textId="77777777" w:rsidR="006D475C" w:rsidRPr="006D475C" w:rsidRDefault="006D475C" w:rsidP="006D475C">
      <w:pPr>
        <w:pStyle w:val="Textoindependiente"/>
        <w:tabs>
          <w:tab w:val="left" w:pos="284"/>
        </w:tabs>
        <w:spacing w:after="240" w:line="300" w:lineRule="exact"/>
        <w:ind w:left="360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La delegación de Paraguay presentó las Resoluciones del Ministerio de Hacienda, referente a modificaciones arancelarias por razones de abastecimiento, al amparo de la Resolución GMC N°49/19:</w:t>
      </w:r>
    </w:p>
    <w:p w14:paraId="4823B5E4" w14:textId="1B657759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Resolución MH N°325/22 “Por la cual se incorpora al ordenamiento jurídico la Directiva de la Comisión de Comercio del MERCOSUR N°66/22 – Reducción del arancel para la importación de 48 unidades del medicamento «CERLIPONASA ALFA».</w:t>
      </w:r>
    </w:p>
    <w:p w14:paraId="1D05B6C2" w14:textId="32ADFD93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Resolución MH N°383/22 “Por la cual se incorpora al ordenamiento jurídico interno la Directiva de la Comisión de Comercio del MERCOSUR N°95/22 – Reducción del arancel para la importación de 600 unidades del medicamento «GALSULFASA».</w:t>
      </w:r>
    </w:p>
    <w:p w14:paraId="5246D012" w14:textId="77777777" w:rsidR="00141E94" w:rsidRDefault="00141E94">
      <w:pPr>
        <w:spacing w:after="160" w:line="259" w:lineRule="auto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br w:type="page"/>
      </w:r>
    </w:p>
    <w:p w14:paraId="7F40FC86" w14:textId="4027CF41" w:rsidR="006D475C" w:rsidRPr="006D475C" w:rsidRDefault="00141E94" w:rsidP="006D475C">
      <w:pPr>
        <w:pStyle w:val="Textoindependiente"/>
        <w:tabs>
          <w:tab w:val="left" w:pos="284"/>
        </w:tabs>
        <w:spacing w:after="240" w:line="300" w:lineRule="exact"/>
        <w:ind w:left="360"/>
        <w:rPr>
          <w:rFonts w:cs="Arial"/>
          <w:color w:val="auto"/>
          <w:szCs w:val="24"/>
          <w:lang w:val="es-ES"/>
        </w:rPr>
      </w:pPr>
      <w:r>
        <w:rPr>
          <w:rFonts w:cs="Arial"/>
          <w:color w:val="auto"/>
          <w:szCs w:val="24"/>
          <w:lang w:val="es-ES"/>
        </w:rPr>
        <w:lastRenderedPageBreak/>
        <w:t>Finalmente, l</w:t>
      </w:r>
      <w:r w:rsidR="006D475C" w:rsidRPr="006D475C">
        <w:rPr>
          <w:rFonts w:cs="Arial"/>
          <w:color w:val="auto"/>
          <w:szCs w:val="24"/>
          <w:lang w:val="es-ES"/>
        </w:rPr>
        <w:t>a delegación de Uruguay presentó las siguientes normas nacionales:</w:t>
      </w:r>
    </w:p>
    <w:p w14:paraId="7B24AEE4" w14:textId="6E030B05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 xml:space="preserve">Decreto Nº241/022 sobre incorporación de la Resolución GMC Nº01/22, modificación de la Nomenclatura Común </w:t>
      </w:r>
      <w:r w:rsidR="00141E94">
        <w:rPr>
          <w:rFonts w:cs="Arial"/>
          <w:color w:val="auto"/>
          <w:szCs w:val="24"/>
          <w:lang w:val="es-ES"/>
        </w:rPr>
        <w:t>d</w:t>
      </w:r>
      <w:r w:rsidRPr="006D475C">
        <w:rPr>
          <w:rFonts w:cs="Arial"/>
          <w:color w:val="auto"/>
          <w:szCs w:val="24"/>
          <w:lang w:val="es-ES"/>
        </w:rPr>
        <w:t>el Mercosur y su correspondiente Arancel Externo Común.</w:t>
      </w:r>
    </w:p>
    <w:p w14:paraId="495657BD" w14:textId="606550AB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Decreto Nº178/022 sobre incorporación de las Directivas Nros.10/22, 11/22 y 12/22, relativas a los cambios por desabastecimiento (Resolución GMC Nº49/19).</w:t>
      </w:r>
    </w:p>
    <w:p w14:paraId="1070D1B1" w14:textId="4833B036" w:rsidR="006D475C" w:rsidRPr="006D475C" w:rsidRDefault="006D475C" w:rsidP="006D475C">
      <w:pPr>
        <w:pStyle w:val="Textoindependiente"/>
        <w:numPr>
          <w:ilvl w:val="0"/>
          <w:numId w:val="13"/>
        </w:numPr>
        <w:tabs>
          <w:tab w:val="left" w:pos="284"/>
        </w:tabs>
        <w:spacing w:after="240" w:line="300" w:lineRule="exact"/>
        <w:rPr>
          <w:rFonts w:cs="Arial"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>Decreto Nº242/022 sobre incorporación de la Directiva Nº53/22, relativa a los cambios por desabastecimiento (Resolución GMC Nº49/19).</w:t>
      </w:r>
    </w:p>
    <w:p w14:paraId="53293995" w14:textId="2CD35CCB" w:rsidR="006D475C" w:rsidRDefault="006D475C" w:rsidP="006D475C">
      <w:pPr>
        <w:pStyle w:val="Textoindependiente"/>
        <w:tabs>
          <w:tab w:val="left" w:pos="284"/>
        </w:tabs>
        <w:spacing w:after="240" w:line="300" w:lineRule="exact"/>
        <w:ind w:left="360"/>
        <w:rPr>
          <w:rFonts w:cs="Arial"/>
          <w:b/>
          <w:color w:val="auto"/>
          <w:szCs w:val="24"/>
          <w:lang w:val="es-ES"/>
        </w:rPr>
      </w:pPr>
      <w:r w:rsidRPr="006D475C">
        <w:rPr>
          <w:rFonts w:cs="Arial"/>
          <w:color w:val="auto"/>
          <w:szCs w:val="24"/>
          <w:lang w:val="es-ES"/>
        </w:rPr>
        <w:t xml:space="preserve">Las normas presentadas constan en </w:t>
      </w:r>
      <w:r w:rsidRPr="00832CC1">
        <w:rPr>
          <w:rFonts w:cs="Arial"/>
          <w:b/>
          <w:color w:val="auto"/>
          <w:szCs w:val="24"/>
          <w:lang w:val="es-ES"/>
        </w:rPr>
        <w:t>ANEXO X.</w:t>
      </w:r>
    </w:p>
    <w:p w14:paraId="439BAA3E" w14:textId="77777777" w:rsidR="003A65AB" w:rsidRPr="00832CC1" w:rsidRDefault="003A65AB" w:rsidP="006D475C">
      <w:pPr>
        <w:pStyle w:val="Textoindependiente"/>
        <w:tabs>
          <w:tab w:val="left" w:pos="284"/>
        </w:tabs>
        <w:spacing w:after="240" w:line="300" w:lineRule="exact"/>
        <w:ind w:left="360"/>
        <w:rPr>
          <w:rFonts w:cs="Arial"/>
          <w:b/>
          <w:color w:val="auto"/>
          <w:szCs w:val="24"/>
          <w:lang w:val="es-ES"/>
        </w:rPr>
      </w:pPr>
    </w:p>
    <w:p w14:paraId="2D2C7BB6" w14:textId="5FEFB997" w:rsidR="00E274B3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ind w:left="284" w:hanging="284"/>
        <w:rPr>
          <w:rFonts w:cs="Arial"/>
          <w:b/>
          <w:color w:val="auto"/>
          <w:szCs w:val="24"/>
          <w:lang w:val="es-ES"/>
        </w:rPr>
      </w:pPr>
      <w:r w:rsidRPr="001E7593">
        <w:rPr>
          <w:rFonts w:cs="Arial"/>
          <w:b/>
          <w:color w:val="auto"/>
          <w:szCs w:val="24"/>
          <w:lang w:val="es-ES"/>
        </w:rPr>
        <w:t xml:space="preserve">DICTÁMENES DE CLASIFICACIÓN DE MERCADERÍA </w:t>
      </w:r>
    </w:p>
    <w:p w14:paraId="3FB544AF" w14:textId="77777777" w:rsidR="00C81901" w:rsidRPr="00C81901" w:rsidRDefault="00C81901" w:rsidP="00C81901">
      <w:pPr>
        <w:pStyle w:val="Textoindependiente"/>
        <w:numPr>
          <w:ilvl w:val="1"/>
          <w:numId w:val="1"/>
        </w:numPr>
        <w:tabs>
          <w:tab w:val="left" w:pos="284"/>
        </w:tabs>
        <w:spacing w:after="240" w:line="300" w:lineRule="exact"/>
        <w:ind w:left="567" w:hanging="567"/>
        <w:rPr>
          <w:rFonts w:eastAsia="Calibri"/>
          <w:b/>
          <w:lang w:val="es-ES" w:eastAsia="en-US"/>
        </w:rPr>
      </w:pPr>
      <w:r w:rsidRPr="00C81901">
        <w:rPr>
          <w:rFonts w:eastAsia="Calibri"/>
          <w:b/>
          <w:lang w:val="es-ES" w:eastAsia="en-US"/>
        </w:rPr>
        <w:t>COPOLÍMEROS ACRÍLICOS, EN FORMA DE MICROESFERAS TERMOPLÁSTICAS QUE CONTIENEN ENCAPSULADO UN GAS INERTE</w:t>
      </w:r>
    </w:p>
    <w:p w14:paraId="2818CAB6" w14:textId="5A25797D" w:rsidR="00C81901" w:rsidRDefault="00C81901" w:rsidP="00C81901">
      <w:pPr>
        <w:pStyle w:val="Textoindependiente"/>
        <w:spacing w:after="240" w:line="300" w:lineRule="exact"/>
        <w:rPr>
          <w:rFonts w:cs="Arial"/>
          <w:color w:val="auto"/>
          <w:szCs w:val="24"/>
          <w:lang w:val="es-ES"/>
        </w:rPr>
      </w:pPr>
      <w:r w:rsidRPr="00C81901">
        <w:rPr>
          <w:rFonts w:cs="Arial"/>
          <w:color w:val="auto"/>
          <w:szCs w:val="24"/>
          <w:lang w:val="es-ES"/>
        </w:rPr>
        <w:t>Los Técnicos en Nomenclatura intercambiaron opiniones respecto a la clasificación de las microesferas. El tema continuará en estudio en la próxima reunión.</w:t>
      </w:r>
    </w:p>
    <w:p w14:paraId="5A7BF3AA" w14:textId="1C4BCD0D" w:rsidR="00333106" w:rsidRPr="001E7593" w:rsidRDefault="00E274B3" w:rsidP="00F32A60">
      <w:pPr>
        <w:pStyle w:val="Textoindependiente"/>
        <w:numPr>
          <w:ilvl w:val="1"/>
          <w:numId w:val="1"/>
        </w:numPr>
        <w:tabs>
          <w:tab w:val="left" w:pos="284"/>
        </w:tabs>
        <w:spacing w:after="240" w:line="300" w:lineRule="exact"/>
        <w:ind w:left="567" w:hanging="567"/>
        <w:rPr>
          <w:rFonts w:cs="Arial"/>
          <w:b/>
          <w:color w:val="auto"/>
          <w:szCs w:val="24"/>
          <w:lang w:val="es-ES"/>
        </w:rPr>
      </w:pPr>
      <w:r w:rsidRPr="00E274B3">
        <w:rPr>
          <w:rFonts w:eastAsia="Calibri"/>
          <w:b/>
          <w:lang w:val="es-ES" w:eastAsia="en-US"/>
        </w:rPr>
        <w:t>REGISTRO DE REMISIÓN</w:t>
      </w:r>
      <w:r>
        <w:rPr>
          <w:rFonts w:eastAsia="Calibri"/>
          <w:b/>
          <w:lang w:val="es-ES" w:eastAsia="en-US"/>
        </w:rPr>
        <w:t>,</w:t>
      </w:r>
      <w:r w:rsidRPr="001E7593">
        <w:rPr>
          <w:rFonts w:cs="Arial"/>
          <w:b/>
          <w:color w:val="auto"/>
          <w:szCs w:val="24"/>
          <w:lang w:val="es-ES"/>
        </w:rPr>
        <w:t xml:space="preserve"> </w:t>
      </w:r>
      <w:r w:rsidR="00333106" w:rsidRPr="001E7593">
        <w:rPr>
          <w:rFonts w:cs="Arial"/>
          <w:b/>
          <w:color w:val="auto"/>
          <w:szCs w:val="24"/>
          <w:lang w:val="es-ES"/>
        </w:rPr>
        <w:t>A LA SECRETARÍA DEL MERCOSUR</w:t>
      </w:r>
      <w:r>
        <w:rPr>
          <w:rFonts w:cs="Arial"/>
          <w:b/>
          <w:color w:val="auto"/>
          <w:szCs w:val="24"/>
          <w:lang w:val="es-ES"/>
        </w:rPr>
        <w:t>,</w:t>
      </w:r>
      <w:r w:rsidR="00333106" w:rsidRPr="001E7593">
        <w:rPr>
          <w:rFonts w:cs="Arial"/>
          <w:b/>
          <w:color w:val="auto"/>
          <w:szCs w:val="24"/>
          <w:lang w:val="es-ES"/>
        </w:rPr>
        <w:t xml:space="preserve"> </w:t>
      </w:r>
      <w:r w:rsidRPr="00E274B3">
        <w:rPr>
          <w:rFonts w:eastAsia="Calibri"/>
          <w:b/>
          <w:lang w:val="es-ES" w:eastAsia="en-US"/>
        </w:rPr>
        <w:t>DE DICTÁMENES DE CLASIFICACIÓN DE ALCANCE NACIONAL</w:t>
      </w:r>
    </w:p>
    <w:p w14:paraId="20965F06" w14:textId="7BA41C07" w:rsidR="00587AFD" w:rsidRDefault="007C09BC" w:rsidP="00F32A60">
      <w:pPr>
        <w:pStyle w:val="Textoindependiente"/>
        <w:spacing w:after="240" w:line="300" w:lineRule="exact"/>
        <w:rPr>
          <w:rFonts w:cs="Arial"/>
          <w:color w:val="auto"/>
          <w:szCs w:val="24"/>
          <w:lang w:val="es-ES"/>
        </w:rPr>
      </w:pPr>
      <w:r w:rsidRPr="007C09BC">
        <w:rPr>
          <w:rFonts w:cs="Arial"/>
          <w:color w:val="auto"/>
          <w:szCs w:val="24"/>
          <w:lang w:val="es-ES"/>
        </w:rPr>
        <w:t>En esta reunión, las delegaciones manifestaron que no cuentan con Dictámenes remitidos a la Secretaría del MERCOSUR.</w:t>
      </w:r>
    </w:p>
    <w:p w14:paraId="61D42749" w14:textId="77777777" w:rsidR="00C81901" w:rsidRDefault="00C81901" w:rsidP="00F32A60">
      <w:pPr>
        <w:pStyle w:val="Textoindependiente"/>
        <w:spacing w:after="240" w:line="300" w:lineRule="exact"/>
        <w:rPr>
          <w:rFonts w:cs="Arial"/>
          <w:color w:val="auto"/>
          <w:szCs w:val="24"/>
          <w:lang w:val="es-ES"/>
        </w:rPr>
      </w:pPr>
    </w:p>
    <w:p w14:paraId="67B31D31" w14:textId="61CC64B8" w:rsidR="00C81901" w:rsidRPr="00C81901" w:rsidRDefault="00C81901" w:rsidP="00C81901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C81901">
        <w:rPr>
          <w:rFonts w:cs="Arial"/>
          <w:b/>
          <w:color w:val="auto"/>
          <w:szCs w:val="24"/>
          <w:lang w:val="es-ES"/>
        </w:rPr>
        <w:t>OTROS TEMAS</w:t>
      </w:r>
    </w:p>
    <w:p w14:paraId="01C013C5" w14:textId="38A338C0" w:rsidR="00C81901" w:rsidRPr="00C81901" w:rsidRDefault="00C81901" w:rsidP="00C81901">
      <w:pPr>
        <w:pStyle w:val="Textoindependiente"/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C81901">
        <w:rPr>
          <w:rFonts w:cs="Arial"/>
          <w:b/>
          <w:color w:val="auto"/>
          <w:szCs w:val="24"/>
          <w:lang w:val="es-ES"/>
        </w:rPr>
        <w:t>5.1</w:t>
      </w:r>
      <w:r w:rsidR="00141E94">
        <w:rPr>
          <w:rFonts w:cs="Arial"/>
          <w:b/>
          <w:color w:val="auto"/>
          <w:szCs w:val="24"/>
          <w:lang w:val="es-ES"/>
        </w:rPr>
        <w:t>.</w:t>
      </w:r>
      <w:r w:rsidRPr="00C81901">
        <w:rPr>
          <w:rFonts w:cs="Arial"/>
          <w:b/>
          <w:color w:val="auto"/>
          <w:szCs w:val="24"/>
          <w:lang w:val="es-ES"/>
        </w:rPr>
        <w:t xml:space="preserve"> FE </w:t>
      </w:r>
      <w:r w:rsidR="00141E94">
        <w:rPr>
          <w:rFonts w:cs="Arial"/>
          <w:b/>
          <w:color w:val="auto"/>
          <w:szCs w:val="24"/>
          <w:lang w:val="es-ES"/>
        </w:rPr>
        <w:t xml:space="preserve">DE </w:t>
      </w:r>
      <w:r w:rsidRPr="00C81901">
        <w:rPr>
          <w:rFonts w:cs="Arial"/>
          <w:b/>
          <w:color w:val="auto"/>
          <w:szCs w:val="24"/>
          <w:lang w:val="es-ES"/>
        </w:rPr>
        <w:t>ERRATAS DE LA RESOLUCIÓN GMC N</w:t>
      </w:r>
      <w:r>
        <w:rPr>
          <w:rFonts w:cs="Arial"/>
          <w:b/>
          <w:color w:val="auto"/>
          <w:szCs w:val="24"/>
          <w:lang w:val="es-ES"/>
        </w:rPr>
        <w:t>º</w:t>
      </w:r>
      <w:r w:rsidRPr="00C81901">
        <w:rPr>
          <w:rFonts w:cs="Arial"/>
          <w:b/>
          <w:color w:val="auto"/>
          <w:szCs w:val="24"/>
          <w:lang w:val="es-ES"/>
        </w:rPr>
        <w:t>16/21</w:t>
      </w:r>
    </w:p>
    <w:p w14:paraId="3DD9FF95" w14:textId="687A8B6E" w:rsidR="00C81901" w:rsidRDefault="00C81901" w:rsidP="00C81901">
      <w:pPr>
        <w:pStyle w:val="Textoindependiente"/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C81901">
        <w:rPr>
          <w:rFonts w:cs="Arial"/>
          <w:color w:val="auto"/>
          <w:szCs w:val="24"/>
          <w:lang w:val="es-ES"/>
        </w:rPr>
        <w:t xml:space="preserve">Las delegaciones de Brasil y Uruguay agregaron modificaciones al listado presentado en el ANEXO XV del Acta 03/22, para la evaluación de los Estados Parte. </w:t>
      </w:r>
      <w:r w:rsidR="00141E94">
        <w:rPr>
          <w:rFonts w:cs="Arial"/>
          <w:b/>
          <w:color w:val="auto"/>
          <w:szCs w:val="24"/>
          <w:lang w:val="es-ES"/>
        </w:rPr>
        <w:t>ANEXO XV – Reservado</w:t>
      </w:r>
    </w:p>
    <w:p w14:paraId="41803446" w14:textId="7CDEF765" w:rsidR="00141E94" w:rsidRPr="00C81901" w:rsidRDefault="00141E94" w:rsidP="00C81901">
      <w:pPr>
        <w:pStyle w:val="Textoindependiente"/>
        <w:spacing w:after="240" w:line="300" w:lineRule="exact"/>
        <w:rPr>
          <w:rFonts w:cs="Arial"/>
          <w:b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lang w:val="es-ES"/>
        </w:rPr>
        <w:t xml:space="preserve">5.2. </w:t>
      </w:r>
      <w:r w:rsidR="00E41016" w:rsidRPr="00E41016">
        <w:rPr>
          <w:rFonts w:cs="Arial"/>
          <w:b/>
          <w:color w:val="auto"/>
          <w:szCs w:val="24"/>
          <w:lang w:val="es-ES"/>
        </w:rPr>
        <w:t>MODIFICACIONES A LAS TABLAS DE CORRELACIÓN DE NCM 2017- NCM 2022 Y NCM 2022- NCM 2017</w:t>
      </w:r>
    </w:p>
    <w:p w14:paraId="1324305E" w14:textId="36BE6188" w:rsidR="003A65AB" w:rsidRDefault="00E41016" w:rsidP="00F32A60">
      <w:pPr>
        <w:pStyle w:val="Textoindependiente"/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E41016">
        <w:rPr>
          <w:rFonts w:cs="Arial"/>
          <w:color w:val="auto"/>
          <w:szCs w:val="24"/>
          <w:lang w:val="es-ES"/>
        </w:rPr>
        <w:t xml:space="preserve">Los Técnicos en Nomenclatura analizaron la propuesta de Perfeccionamiento de las Tablas de Correlación presentada por la Delegación de Brasil, que consta en </w:t>
      </w:r>
      <w:r w:rsidRPr="00E41016">
        <w:rPr>
          <w:rFonts w:cs="Arial"/>
          <w:b/>
          <w:color w:val="auto"/>
          <w:szCs w:val="24"/>
          <w:lang w:val="es-ES"/>
        </w:rPr>
        <w:t>ANEXO XV</w:t>
      </w:r>
      <w:r>
        <w:rPr>
          <w:rFonts w:cs="Arial"/>
          <w:color w:val="auto"/>
          <w:szCs w:val="24"/>
          <w:lang w:val="es-ES"/>
        </w:rPr>
        <w:t xml:space="preserve"> </w:t>
      </w:r>
      <w:r>
        <w:rPr>
          <w:rFonts w:cs="Arial"/>
          <w:b/>
          <w:color w:val="auto"/>
          <w:szCs w:val="24"/>
          <w:lang w:val="es-ES"/>
        </w:rPr>
        <w:t>–</w:t>
      </w:r>
      <w:r w:rsidRPr="00E41016">
        <w:rPr>
          <w:rFonts w:cs="Arial"/>
          <w:b/>
          <w:color w:val="auto"/>
          <w:szCs w:val="24"/>
          <w:lang w:val="es-ES"/>
        </w:rPr>
        <w:t xml:space="preserve"> Reservado</w:t>
      </w:r>
    </w:p>
    <w:p w14:paraId="3F0B00D0" w14:textId="77777777" w:rsidR="00E41016" w:rsidRDefault="00E41016" w:rsidP="00E41016">
      <w:r>
        <w:lastRenderedPageBreak/>
        <w:t xml:space="preserve">En función de ello, se </w:t>
      </w:r>
      <w:r>
        <w:rPr>
          <w:lang w:val="es-ES"/>
        </w:rPr>
        <w:t>procede</w:t>
      </w:r>
      <w:r w:rsidRPr="00FF4302">
        <w:rPr>
          <w:lang w:val="es-ES"/>
        </w:rPr>
        <w:t xml:space="preserve"> en esta oportunidad a introducir los siguientes ajustes:</w:t>
      </w:r>
    </w:p>
    <w:tbl>
      <w:tblPr>
        <w:tblStyle w:val="Tablaconcuadrcula"/>
        <w:tblpPr w:leftFromText="141" w:rightFromText="141" w:vertAnchor="text" w:horzAnchor="page" w:tblpX="2821" w:tblpY="103"/>
        <w:tblW w:w="0" w:type="auto"/>
        <w:tblLook w:val="04A0" w:firstRow="1" w:lastRow="0" w:firstColumn="1" w:lastColumn="0" w:noHBand="0" w:noVBand="1"/>
      </w:tblPr>
      <w:tblGrid>
        <w:gridCol w:w="2093"/>
        <w:gridCol w:w="2013"/>
      </w:tblGrid>
      <w:tr w:rsidR="00E41016" w:rsidRPr="00E41016" w14:paraId="1557A28F" w14:textId="77777777" w:rsidTr="002D3F95">
        <w:tc>
          <w:tcPr>
            <w:tcW w:w="2093" w:type="dxa"/>
          </w:tcPr>
          <w:p w14:paraId="242B021B" w14:textId="77777777" w:rsidR="00E41016" w:rsidRPr="00E41016" w:rsidRDefault="00E41016" w:rsidP="002D3F95">
            <w:pPr>
              <w:jc w:val="center"/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NCM 2017</w:t>
            </w:r>
          </w:p>
        </w:tc>
        <w:tc>
          <w:tcPr>
            <w:tcW w:w="2013" w:type="dxa"/>
          </w:tcPr>
          <w:p w14:paraId="20FC97C8" w14:textId="77777777" w:rsidR="00E41016" w:rsidRPr="00E41016" w:rsidRDefault="00E41016" w:rsidP="002D3F95">
            <w:pPr>
              <w:jc w:val="center"/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NCM 2022</w:t>
            </w:r>
          </w:p>
        </w:tc>
      </w:tr>
    </w:tbl>
    <w:p w14:paraId="5E0405B0" w14:textId="77777777" w:rsidR="00E41016" w:rsidRPr="00E41016" w:rsidRDefault="00E41016" w:rsidP="00E41016">
      <w:pPr>
        <w:jc w:val="center"/>
        <w:rPr>
          <w:sz w:val="22"/>
          <w:szCs w:val="22"/>
        </w:rPr>
      </w:pPr>
    </w:p>
    <w:p w14:paraId="5B5B248D" w14:textId="77777777" w:rsidR="00E41016" w:rsidRPr="00E41016" w:rsidRDefault="00E41016" w:rsidP="00E41016">
      <w:pPr>
        <w:rPr>
          <w:sz w:val="22"/>
          <w:szCs w:val="22"/>
        </w:rPr>
      </w:pPr>
    </w:p>
    <w:p w14:paraId="5296197A" w14:textId="3B99FA37" w:rsidR="00E41016" w:rsidRPr="00E41016" w:rsidRDefault="00E41016" w:rsidP="00E41016">
      <w:pPr>
        <w:rPr>
          <w:sz w:val="22"/>
          <w:szCs w:val="22"/>
        </w:rPr>
      </w:pPr>
      <w:r w:rsidRPr="00E41016">
        <w:rPr>
          <w:sz w:val="22"/>
          <w:szCs w:val="22"/>
        </w:rPr>
        <w:t>SE ELIMINA:</w:t>
      </w:r>
    </w:p>
    <w:p w14:paraId="1D20E3E7" w14:textId="77777777" w:rsidR="00E41016" w:rsidRPr="00E41016" w:rsidRDefault="00E41016" w:rsidP="00E41016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867" w:tblpY="-6"/>
        <w:tblW w:w="0" w:type="auto"/>
        <w:tblLook w:val="04A0" w:firstRow="1" w:lastRow="0" w:firstColumn="1" w:lastColumn="0" w:noHBand="0" w:noVBand="1"/>
      </w:tblPr>
      <w:tblGrid>
        <w:gridCol w:w="2240"/>
        <w:gridCol w:w="1866"/>
      </w:tblGrid>
      <w:tr w:rsidR="00E41016" w:rsidRPr="00E41016" w14:paraId="237F9319" w14:textId="77777777" w:rsidTr="00A83EA8">
        <w:trPr>
          <w:trHeight w:val="510"/>
        </w:trPr>
        <w:tc>
          <w:tcPr>
            <w:tcW w:w="2240" w:type="dxa"/>
            <w:vMerge w:val="restart"/>
          </w:tcPr>
          <w:p w14:paraId="635C3882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8473.30.43</w:t>
            </w:r>
          </w:p>
        </w:tc>
        <w:tc>
          <w:tcPr>
            <w:tcW w:w="1866" w:type="dxa"/>
          </w:tcPr>
          <w:p w14:paraId="63F0AF3D" w14:textId="0471A81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ex 8542.31.20</w:t>
            </w:r>
          </w:p>
        </w:tc>
      </w:tr>
      <w:tr w:rsidR="00E41016" w:rsidRPr="00E41016" w14:paraId="104BD65B" w14:textId="77777777" w:rsidTr="00A83EA8">
        <w:trPr>
          <w:trHeight w:val="510"/>
        </w:trPr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703AFB0C" w14:textId="77777777" w:rsidR="00E41016" w:rsidRPr="00E41016" w:rsidRDefault="00E41016" w:rsidP="002D3F95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1BDFAD1" w14:textId="12D5E12D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ex 8542.31.90</w:t>
            </w:r>
          </w:p>
        </w:tc>
      </w:tr>
      <w:tr w:rsidR="00E41016" w:rsidRPr="00E41016" w14:paraId="17A985C7" w14:textId="77777777" w:rsidTr="00A83EA8">
        <w:tc>
          <w:tcPr>
            <w:tcW w:w="2240" w:type="dxa"/>
          </w:tcPr>
          <w:p w14:paraId="486B1DE6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 xml:space="preserve">8542.31.20 </w:t>
            </w:r>
          </w:p>
        </w:tc>
        <w:tc>
          <w:tcPr>
            <w:tcW w:w="1866" w:type="dxa"/>
          </w:tcPr>
          <w:p w14:paraId="5066ED46" w14:textId="655A9752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ex 8542.31.20</w:t>
            </w:r>
          </w:p>
        </w:tc>
      </w:tr>
      <w:tr w:rsidR="00E41016" w:rsidRPr="00E41016" w14:paraId="239F3F25" w14:textId="77777777" w:rsidTr="00A83EA8">
        <w:tc>
          <w:tcPr>
            <w:tcW w:w="2240" w:type="dxa"/>
          </w:tcPr>
          <w:p w14:paraId="5D7DD39F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8542.31.90</w:t>
            </w:r>
          </w:p>
        </w:tc>
        <w:tc>
          <w:tcPr>
            <w:tcW w:w="1866" w:type="dxa"/>
          </w:tcPr>
          <w:p w14:paraId="3F2C5AAC" w14:textId="501C553E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ex 8542.31.90</w:t>
            </w:r>
          </w:p>
        </w:tc>
      </w:tr>
    </w:tbl>
    <w:p w14:paraId="2F462CEF" w14:textId="77777777" w:rsidR="00E41016" w:rsidRPr="00E41016" w:rsidRDefault="00E41016" w:rsidP="00E41016">
      <w:pPr>
        <w:rPr>
          <w:sz w:val="22"/>
          <w:szCs w:val="22"/>
        </w:rPr>
      </w:pPr>
    </w:p>
    <w:p w14:paraId="32369308" w14:textId="77777777" w:rsidR="00E41016" w:rsidRPr="00E41016" w:rsidRDefault="00E41016" w:rsidP="00E41016">
      <w:pPr>
        <w:rPr>
          <w:sz w:val="22"/>
          <w:szCs w:val="22"/>
        </w:rPr>
      </w:pPr>
    </w:p>
    <w:p w14:paraId="72B37B4F" w14:textId="77777777" w:rsidR="00E41016" w:rsidRPr="00E41016" w:rsidRDefault="00E41016" w:rsidP="00E41016">
      <w:pPr>
        <w:rPr>
          <w:sz w:val="22"/>
          <w:szCs w:val="22"/>
        </w:rPr>
      </w:pPr>
    </w:p>
    <w:p w14:paraId="6A8E8AFF" w14:textId="0B958EA3" w:rsidR="00E41016" w:rsidRPr="00E41016" w:rsidRDefault="00E41016" w:rsidP="00E41016">
      <w:pPr>
        <w:rPr>
          <w:sz w:val="22"/>
          <w:szCs w:val="22"/>
        </w:rPr>
      </w:pPr>
    </w:p>
    <w:p w14:paraId="038DBFD6" w14:textId="717D27BB" w:rsidR="00E41016" w:rsidRDefault="00E41016" w:rsidP="00E41016">
      <w:pPr>
        <w:rPr>
          <w:sz w:val="22"/>
          <w:szCs w:val="22"/>
        </w:rPr>
      </w:pPr>
    </w:p>
    <w:p w14:paraId="696A2466" w14:textId="77777777" w:rsidR="00E41016" w:rsidRPr="00E41016" w:rsidRDefault="00E41016" w:rsidP="00E41016">
      <w:pPr>
        <w:rPr>
          <w:sz w:val="22"/>
          <w:szCs w:val="22"/>
        </w:rPr>
      </w:pPr>
    </w:p>
    <w:p w14:paraId="797737DE" w14:textId="77777777" w:rsidR="00E41016" w:rsidRPr="00E41016" w:rsidRDefault="00E41016" w:rsidP="00E41016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836" w:tblpY="363"/>
        <w:tblW w:w="0" w:type="auto"/>
        <w:tblLook w:val="04A0" w:firstRow="1" w:lastRow="0" w:firstColumn="1" w:lastColumn="0" w:noHBand="0" w:noVBand="1"/>
      </w:tblPr>
      <w:tblGrid>
        <w:gridCol w:w="2381"/>
        <w:gridCol w:w="1725"/>
      </w:tblGrid>
      <w:tr w:rsidR="00E41016" w:rsidRPr="00E41016" w14:paraId="14FAD667" w14:textId="77777777" w:rsidTr="002D3F95">
        <w:tc>
          <w:tcPr>
            <w:tcW w:w="2381" w:type="dxa"/>
            <w:tcBorders>
              <w:bottom w:val="single" w:sz="4" w:space="0" w:color="auto"/>
            </w:tcBorders>
          </w:tcPr>
          <w:p w14:paraId="6DA73AAE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8473.30.43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438308F1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 xml:space="preserve">ex 8473.30.49 </w:t>
            </w:r>
          </w:p>
        </w:tc>
      </w:tr>
      <w:tr w:rsidR="00E41016" w:rsidRPr="00E41016" w14:paraId="0140204D" w14:textId="77777777" w:rsidTr="002D3F95">
        <w:tc>
          <w:tcPr>
            <w:tcW w:w="2381" w:type="dxa"/>
            <w:tcBorders>
              <w:bottom w:val="single" w:sz="4" w:space="0" w:color="auto"/>
            </w:tcBorders>
          </w:tcPr>
          <w:p w14:paraId="75FFE084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8473.30.49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74552382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ex 8473.30.49</w:t>
            </w:r>
          </w:p>
        </w:tc>
      </w:tr>
    </w:tbl>
    <w:p w14:paraId="7CF81DDE" w14:textId="331C4E41" w:rsidR="00E41016" w:rsidRPr="00E41016" w:rsidRDefault="00E41016" w:rsidP="00E41016">
      <w:pPr>
        <w:rPr>
          <w:sz w:val="22"/>
          <w:szCs w:val="22"/>
        </w:rPr>
      </w:pPr>
      <w:r w:rsidRPr="00E41016">
        <w:rPr>
          <w:sz w:val="22"/>
          <w:szCs w:val="22"/>
        </w:rPr>
        <w:t>SE AGREGA:</w:t>
      </w:r>
    </w:p>
    <w:p w14:paraId="3DFC2193" w14:textId="77777777" w:rsidR="00E41016" w:rsidRPr="00E41016" w:rsidRDefault="00E41016" w:rsidP="00E41016">
      <w:pPr>
        <w:rPr>
          <w:sz w:val="22"/>
          <w:szCs w:val="22"/>
        </w:rPr>
      </w:pPr>
    </w:p>
    <w:p w14:paraId="0CA0CC13" w14:textId="77777777" w:rsidR="00E41016" w:rsidRPr="00E41016" w:rsidRDefault="00E41016" w:rsidP="00E41016">
      <w:pPr>
        <w:rPr>
          <w:sz w:val="22"/>
          <w:szCs w:val="22"/>
        </w:rPr>
      </w:pPr>
    </w:p>
    <w:p w14:paraId="0FC1B199" w14:textId="77777777" w:rsidR="00E41016" w:rsidRPr="00E41016" w:rsidRDefault="00E41016" w:rsidP="00E41016">
      <w:pPr>
        <w:rPr>
          <w:sz w:val="22"/>
          <w:szCs w:val="22"/>
        </w:rPr>
      </w:pPr>
      <w:r w:rsidRPr="00E41016">
        <w:rPr>
          <w:sz w:val="22"/>
          <w:szCs w:val="22"/>
        </w:rPr>
        <w:t xml:space="preserve"> </w:t>
      </w:r>
    </w:p>
    <w:p w14:paraId="2F653E96" w14:textId="77777777" w:rsidR="00E41016" w:rsidRPr="00E41016" w:rsidRDefault="00E41016" w:rsidP="00E41016">
      <w:pPr>
        <w:rPr>
          <w:sz w:val="22"/>
          <w:szCs w:val="22"/>
        </w:rPr>
      </w:pPr>
    </w:p>
    <w:p w14:paraId="5A1ED66F" w14:textId="77777777" w:rsidR="00E41016" w:rsidRPr="00E41016" w:rsidRDefault="00E41016" w:rsidP="00E41016">
      <w:pPr>
        <w:rPr>
          <w:sz w:val="22"/>
          <w:szCs w:val="22"/>
        </w:rPr>
      </w:pPr>
      <w:r w:rsidRPr="00E4101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2390" wp14:editId="3E6205D5">
                <wp:simplePos x="0" y="0"/>
                <wp:positionH relativeFrom="column">
                  <wp:posOffset>1310640</wp:posOffset>
                </wp:positionH>
                <wp:positionV relativeFrom="paragraph">
                  <wp:posOffset>102870</wp:posOffset>
                </wp:positionV>
                <wp:extent cx="1962150" cy="0"/>
                <wp:effectExtent l="9525" t="12065" r="9525" b="69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E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03.2pt;margin-top:8.1pt;width:1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"/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833" w:tblpY="273"/>
        <w:tblW w:w="0" w:type="auto"/>
        <w:tblLook w:val="04A0" w:firstRow="1" w:lastRow="0" w:firstColumn="1" w:lastColumn="0" w:noHBand="0" w:noVBand="1"/>
      </w:tblPr>
      <w:tblGrid>
        <w:gridCol w:w="2235"/>
        <w:gridCol w:w="2013"/>
      </w:tblGrid>
      <w:tr w:rsidR="00E41016" w:rsidRPr="00E41016" w14:paraId="77E89CCA" w14:textId="77777777" w:rsidTr="002D3F95">
        <w:tc>
          <w:tcPr>
            <w:tcW w:w="2235" w:type="dxa"/>
          </w:tcPr>
          <w:p w14:paraId="6C154746" w14:textId="77777777" w:rsidR="00E41016" w:rsidRPr="00E41016" w:rsidRDefault="00E41016" w:rsidP="002D3F95">
            <w:pPr>
              <w:jc w:val="center"/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NCM 2022</w:t>
            </w:r>
          </w:p>
        </w:tc>
        <w:tc>
          <w:tcPr>
            <w:tcW w:w="2013" w:type="dxa"/>
          </w:tcPr>
          <w:p w14:paraId="075C384D" w14:textId="77777777" w:rsidR="00E41016" w:rsidRPr="00E41016" w:rsidRDefault="00E41016" w:rsidP="002D3F95">
            <w:pPr>
              <w:jc w:val="center"/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NCM 2017</w:t>
            </w:r>
          </w:p>
        </w:tc>
      </w:tr>
    </w:tbl>
    <w:p w14:paraId="31D3E1C7" w14:textId="77777777" w:rsidR="00E41016" w:rsidRPr="00E41016" w:rsidRDefault="00E41016" w:rsidP="00E41016">
      <w:pPr>
        <w:rPr>
          <w:sz w:val="22"/>
          <w:szCs w:val="22"/>
        </w:rPr>
      </w:pPr>
    </w:p>
    <w:p w14:paraId="28895474" w14:textId="77777777" w:rsidR="00E41016" w:rsidRPr="00E41016" w:rsidRDefault="00E41016" w:rsidP="00E41016">
      <w:pPr>
        <w:rPr>
          <w:sz w:val="22"/>
          <w:szCs w:val="22"/>
        </w:rPr>
      </w:pPr>
    </w:p>
    <w:p w14:paraId="47D2E708" w14:textId="77777777" w:rsidR="00E41016" w:rsidRPr="00E41016" w:rsidRDefault="00E41016" w:rsidP="00E41016">
      <w:pPr>
        <w:rPr>
          <w:sz w:val="22"/>
          <w:szCs w:val="22"/>
        </w:rPr>
      </w:pPr>
    </w:p>
    <w:p w14:paraId="3C96931B" w14:textId="6B1265A0" w:rsidR="00E41016" w:rsidRPr="00E41016" w:rsidRDefault="00E41016" w:rsidP="00E41016">
      <w:pPr>
        <w:rPr>
          <w:sz w:val="22"/>
          <w:szCs w:val="22"/>
        </w:rPr>
      </w:pPr>
      <w:r w:rsidRPr="00E41016">
        <w:rPr>
          <w:sz w:val="22"/>
          <w:szCs w:val="22"/>
        </w:rPr>
        <w:t>SE ELIMINA:</w:t>
      </w:r>
    </w:p>
    <w:p w14:paraId="3BD190CE" w14:textId="77777777" w:rsidR="00E41016" w:rsidRPr="00E41016" w:rsidRDefault="00E41016" w:rsidP="00E41016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867" w:tblpY="-6"/>
        <w:tblW w:w="0" w:type="auto"/>
        <w:tblLook w:val="04A0" w:firstRow="1" w:lastRow="0" w:firstColumn="1" w:lastColumn="0" w:noHBand="0" w:noVBand="1"/>
      </w:tblPr>
      <w:tblGrid>
        <w:gridCol w:w="2240"/>
        <w:gridCol w:w="2008"/>
      </w:tblGrid>
      <w:tr w:rsidR="00E41016" w:rsidRPr="00E41016" w14:paraId="41A79F9D" w14:textId="77777777" w:rsidTr="002D3F95">
        <w:trPr>
          <w:trHeight w:val="345"/>
        </w:trPr>
        <w:tc>
          <w:tcPr>
            <w:tcW w:w="2240" w:type="dxa"/>
            <w:vMerge w:val="restart"/>
          </w:tcPr>
          <w:p w14:paraId="52CA08BF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8542.31.20</w:t>
            </w:r>
          </w:p>
        </w:tc>
        <w:tc>
          <w:tcPr>
            <w:tcW w:w="2008" w:type="dxa"/>
          </w:tcPr>
          <w:p w14:paraId="2BBE614D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ex 8473.30.43</w:t>
            </w:r>
          </w:p>
        </w:tc>
      </w:tr>
      <w:tr w:rsidR="00E41016" w:rsidRPr="00E41016" w14:paraId="2AC0DC6C" w14:textId="77777777" w:rsidTr="002D3F95">
        <w:trPr>
          <w:trHeight w:val="345"/>
        </w:trPr>
        <w:tc>
          <w:tcPr>
            <w:tcW w:w="2240" w:type="dxa"/>
            <w:vMerge/>
          </w:tcPr>
          <w:p w14:paraId="56A31F4D" w14:textId="77777777" w:rsidR="00E41016" w:rsidRPr="00E41016" w:rsidRDefault="00E41016" w:rsidP="002D3F95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4AF4C1EF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 xml:space="preserve">     8542.31.20</w:t>
            </w:r>
          </w:p>
        </w:tc>
      </w:tr>
      <w:tr w:rsidR="00E41016" w:rsidRPr="00E41016" w14:paraId="629EBA16" w14:textId="77777777" w:rsidTr="002D3F95">
        <w:trPr>
          <w:trHeight w:val="270"/>
        </w:trPr>
        <w:tc>
          <w:tcPr>
            <w:tcW w:w="2240" w:type="dxa"/>
            <w:vMerge w:val="restart"/>
          </w:tcPr>
          <w:p w14:paraId="43D4D29B" w14:textId="77777777" w:rsidR="00E41016" w:rsidRPr="00E41016" w:rsidRDefault="00E41016" w:rsidP="002D3F95">
            <w:pPr>
              <w:ind w:left="29"/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8542.31.90</w:t>
            </w:r>
          </w:p>
        </w:tc>
        <w:tc>
          <w:tcPr>
            <w:tcW w:w="2008" w:type="dxa"/>
          </w:tcPr>
          <w:p w14:paraId="56A06710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 xml:space="preserve">ex 8473.30.43     </w:t>
            </w:r>
          </w:p>
        </w:tc>
      </w:tr>
      <w:tr w:rsidR="00E41016" w:rsidRPr="00E41016" w14:paraId="5BA692B5" w14:textId="77777777" w:rsidTr="002D3F95">
        <w:trPr>
          <w:trHeight w:val="270"/>
        </w:trPr>
        <w:tc>
          <w:tcPr>
            <w:tcW w:w="2240" w:type="dxa"/>
            <w:vMerge/>
          </w:tcPr>
          <w:p w14:paraId="7E55BFB2" w14:textId="77777777" w:rsidR="00E41016" w:rsidRPr="00E41016" w:rsidRDefault="00E41016" w:rsidP="002D3F95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AA80A79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 xml:space="preserve">     8542.31.90</w:t>
            </w:r>
          </w:p>
        </w:tc>
      </w:tr>
    </w:tbl>
    <w:p w14:paraId="2056FFEC" w14:textId="77777777" w:rsidR="00E41016" w:rsidRPr="00E41016" w:rsidRDefault="00E41016" w:rsidP="00E41016">
      <w:pPr>
        <w:rPr>
          <w:sz w:val="22"/>
          <w:szCs w:val="22"/>
        </w:rPr>
      </w:pPr>
      <w:r w:rsidRPr="00E41016">
        <w:rPr>
          <w:sz w:val="22"/>
          <w:szCs w:val="22"/>
        </w:rPr>
        <w:t xml:space="preserve">   </w:t>
      </w:r>
    </w:p>
    <w:p w14:paraId="44A4D63A" w14:textId="77777777" w:rsidR="00E41016" w:rsidRPr="00E41016" w:rsidRDefault="00E41016" w:rsidP="00E41016">
      <w:pPr>
        <w:rPr>
          <w:sz w:val="22"/>
          <w:szCs w:val="22"/>
        </w:rPr>
      </w:pPr>
    </w:p>
    <w:p w14:paraId="02BB5294" w14:textId="77777777" w:rsidR="00E41016" w:rsidRPr="00E41016" w:rsidRDefault="00E41016" w:rsidP="00E41016">
      <w:pPr>
        <w:rPr>
          <w:sz w:val="22"/>
          <w:szCs w:val="22"/>
        </w:rPr>
      </w:pPr>
    </w:p>
    <w:p w14:paraId="675BB3A2" w14:textId="0D3796B5" w:rsidR="00E41016" w:rsidRDefault="00E41016" w:rsidP="00E41016">
      <w:pPr>
        <w:rPr>
          <w:sz w:val="22"/>
          <w:szCs w:val="22"/>
        </w:rPr>
      </w:pPr>
    </w:p>
    <w:p w14:paraId="289D629D" w14:textId="77777777" w:rsidR="00E41016" w:rsidRPr="00E41016" w:rsidRDefault="00E41016" w:rsidP="00E41016">
      <w:pPr>
        <w:rPr>
          <w:sz w:val="22"/>
          <w:szCs w:val="22"/>
        </w:rPr>
      </w:pPr>
    </w:p>
    <w:p w14:paraId="44072CB7" w14:textId="77777777" w:rsidR="00E41016" w:rsidRPr="00E41016" w:rsidRDefault="00E41016" w:rsidP="00E41016">
      <w:pPr>
        <w:rPr>
          <w:sz w:val="22"/>
          <w:szCs w:val="22"/>
        </w:rPr>
      </w:pPr>
    </w:p>
    <w:p w14:paraId="7D9DE7B3" w14:textId="412BEAE5" w:rsidR="00E41016" w:rsidRPr="00E41016" w:rsidRDefault="00E41016" w:rsidP="00E41016">
      <w:pPr>
        <w:rPr>
          <w:sz w:val="22"/>
          <w:szCs w:val="22"/>
        </w:rPr>
      </w:pPr>
      <w:r w:rsidRPr="00E41016">
        <w:rPr>
          <w:sz w:val="22"/>
          <w:szCs w:val="22"/>
        </w:rPr>
        <w:t>SE AGREGA:</w:t>
      </w:r>
    </w:p>
    <w:p w14:paraId="0A38E80D" w14:textId="77777777" w:rsidR="00E41016" w:rsidRPr="00E41016" w:rsidRDefault="00E41016" w:rsidP="00E41016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816" w:tblpY="-49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E41016" w:rsidRPr="00E41016" w14:paraId="22607953" w14:textId="77777777" w:rsidTr="002D3F95">
        <w:trPr>
          <w:trHeight w:val="270"/>
        </w:trPr>
        <w:tc>
          <w:tcPr>
            <w:tcW w:w="2263" w:type="dxa"/>
            <w:vMerge w:val="restart"/>
          </w:tcPr>
          <w:p w14:paraId="79AF92D1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8473.30.49</w:t>
            </w:r>
          </w:p>
        </w:tc>
        <w:tc>
          <w:tcPr>
            <w:tcW w:w="1985" w:type="dxa"/>
          </w:tcPr>
          <w:p w14:paraId="5FA04413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 xml:space="preserve">8473.30.43           </w:t>
            </w:r>
          </w:p>
        </w:tc>
      </w:tr>
      <w:tr w:rsidR="00E41016" w:rsidRPr="00E41016" w14:paraId="1ADB5F9A" w14:textId="77777777" w:rsidTr="002D3F95">
        <w:trPr>
          <w:trHeight w:val="270"/>
        </w:trPr>
        <w:tc>
          <w:tcPr>
            <w:tcW w:w="2263" w:type="dxa"/>
            <w:vMerge/>
          </w:tcPr>
          <w:p w14:paraId="6A1B389F" w14:textId="77777777" w:rsidR="00E41016" w:rsidRPr="00E41016" w:rsidRDefault="00E41016" w:rsidP="002D3F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15812F0" w14:textId="77777777" w:rsidR="00E41016" w:rsidRPr="00E41016" w:rsidRDefault="00E41016" w:rsidP="002D3F95">
            <w:pPr>
              <w:rPr>
                <w:sz w:val="22"/>
                <w:szCs w:val="22"/>
              </w:rPr>
            </w:pPr>
            <w:r w:rsidRPr="00E41016">
              <w:rPr>
                <w:sz w:val="22"/>
                <w:szCs w:val="22"/>
              </w:rPr>
              <w:t>8473.30.49</w:t>
            </w:r>
          </w:p>
        </w:tc>
      </w:tr>
    </w:tbl>
    <w:p w14:paraId="6CEF4553" w14:textId="77777777" w:rsidR="00E41016" w:rsidRDefault="00E41016" w:rsidP="00E41016"/>
    <w:p w14:paraId="32436BB4" w14:textId="77777777" w:rsidR="00E41016" w:rsidRDefault="00E41016" w:rsidP="00E41016">
      <w:r>
        <w:t xml:space="preserve">   </w:t>
      </w:r>
    </w:p>
    <w:p w14:paraId="5F879741" w14:textId="77777777" w:rsidR="00E41016" w:rsidRDefault="00E41016" w:rsidP="00E41016"/>
    <w:p w14:paraId="6FC281A9" w14:textId="5786B325" w:rsidR="00E41016" w:rsidRPr="00821AA8" w:rsidRDefault="00E41016" w:rsidP="00E41016">
      <w:r>
        <w:t xml:space="preserve">Las Tablas de Correlación revisadas, que constan en el </w:t>
      </w:r>
      <w:r>
        <w:rPr>
          <w:b/>
        </w:rPr>
        <w:t>ANEXO</w:t>
      </w:r>
      <w:r w:rsidRPr="00821AA8">
        <w:rPr>
          <w:b/>
        </w:rPr>
        <w:t xml:space="preserve"> IX </w:t>
      </w:r>
      <w:r>
        <w:rPr>
          <w:b/>
        </w:rPr>
        <w:t>- Reservado</w:t>
      </w:r>
      <w:r w:rsidRPr="00B74793">
        <w:t>,</w:t>
      </w:r>
      <w:r>
        <w:t xml:space="preserve"> sustituyen a las que constan en el ANEXO IX del Acta </w:t>
      </w:r>
      <w:r w:rsidRPr="000B62B0">
        <w:t>N</w:t>
      </w:r>
      <w:r w:rsidRPr="000B62B0">
        <w:rPr>
          <w:vertAlign w:val="superscript"/>
        </w:rPr>
        <w:t xml:space="preserve">o </w:t>
      </w:r>
      <w:r w:rsidR="000B62B0">
        <w:t xml:space="preserve">06/21. El documento </w:t>
      </w:r>
      <w:r w:rsidR="00126098">
        <w:t xml:space="preserve">de trabajo </w:t>
      </w:r>
      <w:r w:rsidR="000B62B0">
        <w:t>que consta en dicho Anexo</w:t>
      </w:r>
      <w:r w:rsidR="00126098">
        <w:t xml:space="preserve"> se eleva </w:t>
      </w:r>
      <w:r w:rsidR="000B62B0">
        <w:t>para conocimiento de la CCM.</w:t>
      </w:r>
    </w:p>
    <w:p w14:paraId="46B832D6" w14:textId="77777777" w:rsidR="00E41016" w:rsidRDefault="00E41016" w:rsidP="00F32A60">
      <w:pPr>
        <w:pStyle w:val="Textoindependiente"/>
        <w:spacing w:after="240" w:line="300" w:lineRule="exact"/>
        <w:rPr>
          <w:rFonts w:cs="Arial"/>
          <w:color w:val="auto"/>
          <w:szCs w:val="24"/>
          <w:lang w:val="es-ES"/>
        </w:rPr>
      </w:pPr>
    </w:p>
    <w:p w14:paraId="274AFBBA" w14:textId="3AFFDB78" w:rsidR="00333106" w:rsidRPr="006D6BEC" w:rsidRDefault="00333106" w:rsidP="00F32A60">
      <w:pPr>
        <w:pStyle w:val="Textoindependiente"/>
        <w:numPr>
          <w:ilvl w:val="0"/>
          <w:numId w:val="1"/>
        </w:numPr>
        <w:tabs>
          <w:tab w:val="left" w:pos="284"/>
        </w:tabs>
        <w:spacing w:after="240" w:line="300" w:lineRule="exact"/>
        <w:rPr>
          <w:rFonts w:cs="Arial"/>
          <w:b/>
          <w:color w:val="auto"/>
          <w:szCs w:val="24"/>
          <w:lang w:val="es-ES"/>
        </w:rPr>
      </w:pPr>
      <w:r w:rsidRPr="006D6BEC">
        <w:rPr>
          <w:rFonts w:cs="Arial"/>
          <w:b/>
          <w:color w:val="auto"/>
          <w:szCs w:val="24"/>
          <w:lang w:val="es-ES"/>
        </w:rPr>
        <w:t>PRÓXIMA</w:t>
      </w:r>
      <w:r w:rsidR="008042AF">
        <w:rPr>
          <w:rFonts w:cs="Arial"/>
          <w:b/>
          <w:color w:val="auto"/>
          <w:szCs w:val="24"/>
          <w:lang w:val="es-ES"/>
        </w:rPr>
        <w:t xml:space="preserve"> REUNI</w:t>
      </w:r>
      <w:r w:rsidR="00DC58B3">
        <w:rPr>
          <w:rFonts w:cs="Arial"/>
          <w:b/>
          <w:color w:val="auto"/>
          <w:szCs w:val="24"/>
          <w:lang w:val="es-ES"/>
        </w:rPr>
        <w:t>ÓN</w:t>
      </w:r>
    </w:p>
    <w:p w14:paraId="7DE7FD2F" w14:textId="129D7BA1" w:rsidR="00107EE0" w:rsidRDefault="003F2AB0" w:rsidP="0022691B">
      <w:pPr>
        <w:tabs>
          <w:tab w:val="left" w:pos="426"/>
        </w:tabs>
        <w:spacing w:after="240" w:line="300" w:lineRule="exact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La PPT</w:t>
      </w:r>
      <w:r w:rsidR="006D475C">
        <w:rPr>
          <w:rFonts w:cs="Arial"/>
          <w:szCs w:val="24"/>
          <w:lang w:val="es-ES"/>
        </w:rPr>
        <w:t>U</w:t>
      </w:r>
      <w:r>
        <w:rPr>
          <w:rFonts w:cs="Arial"/>
          <w:szCs w:val="24"/>
          <w:lang w:val="es-ES"/>
        </w:rPr>
        <w:t xml:space="preserve"> informó que la </w:t>
      </w:r>
      <w:r w:rsidR="00032307" w:rsidRPr="006D6BEC">
        <w:rPr>
          <w:rFonts w:cs="Arial"/>
          <w:szCs w:val="24"/>
          <w:lang w:val="es-ES"/>
        </w:rPr>
        <w:t>próxima</w:t>
      </w:r>
      <w:r w:rsidR="008042AF">
        <w:rPr>
          <w:rFonts w:cs="Arial"/>
          <w:szCs w:val="24"/>
          <w:lang w:val="es-ES"/>
        </w:rPr>
        <w:t xml:space="preserve"> reuni</w:t>
      </w:r>
      <w:r w:rsidR="0022691B">
        <w:rPr>
          <w:rFonts w:cs="Arial"/>
          <w:szCs w:val="24"/>
          <w:lang w:val="es-ES"/>
        </w:rPr>
        <w:t>ón</w:t>
      </w:r>
      <w:r w:rsidR="00032307" w:rsidRPr="006D6BEC">
        <w:rPr>
          <w:rFonts w:cs="Arial"/>
          <w:szCs w:val="24"/>
          <w:lang w:val="es-ES"/>
        </w:rPr>
        <w:t xml:space="preserve"> ordinaria del Comité </w:t>
      </w:r>
      <w:r w:rsidR="008042AF">
        <w:rPr>
          <w:rFonts w:cs="Arial"/>
          <w:szCs w:val="24"/>
          <w:lang w:val="es-ES"/>
        </w:rPr>
        <w:t>está prevista</w:t>
      </w:r>
      <w:r w:rsidR="0045750B">
        <w:rPr>
          <w:rFonts w:cs="Arial"/>
          <w:szCs w:val="24"/>
          <w:lang w:val="es-ES"/>
        </w:rPr>
        <w:t xml:space="preserve"> </w:t>
      </w:r>
      <w:r w:rsidR="00BA17DE">
        <w:rPr>
          <w:rFonts w:cs="Arial"/>
          <w:szCs w:val="24"/>
          <w:lang w:val="es-ES"/>
        </w:rPr>
        <w:t>d</w:t>
      </w:r>
      <w:r w:rsidR="0022691B">
        <w:rPr>
          <w:rFonts w:cs="Arial"/>
          <w:szCs w:val="24"/>
          <w:lang w:val="es-ES"/>
        </w:rPr>
        <w:t xml:space="preserve">el </w:t>
      </w:r>
      <w:r w:rsidR="006D475C">
        <w:rPr>
          <w:rFonts w:cs="Arial"/>
          <w:szCs w:val="24"/>
          <w:lang w:val="es-ES"/>
        </w:rPr>
        <w:t>24</w:t>
      </w:r>
      <w:r w:rsidR="008042AF" w:rsidRPr="003F2AB0">
        <w:rPr>
          <w:rFonts w:cs="Arial"/>
          <w:szCs w:val="24"/>
          <w:lang w:val="es-ES"/>
        </w:rPr>
        <w:t xml:space="preserve"> al 2</w:t>
      </w:r>
      <w:r w:rsidR="006D475C">
        <w:rPr>
          <w:rFonts w:cs="Arial"/>
          <w:szCs w:val="24"/>
          <w:lang w:val="es-ES"/>
        </w:rPr>
        <w:t>7</w:t>
      </w:r>
      <w:r w:rsidR="008042AF" w:rsidRPr="003F2AB0">
        <w:rPr>
          <w:rFonts w:cs="Arial"/>
          <w:szCs w:val="24"/>
          <w:lang w:val="es-ES"/>
        </w:rPr>
        <w:t xml:space="preserve"> de </w:t>
      </w:r>
      <w:r w:rsidR="006D475C">
        <w:rPr>
          <w:rFonts w:cs="Arial"/>
          <w:szCs w:val="24"/>
          <w:lang w:val="es-ES"/>
        </w:rPr>
        <w:t>octubre</w:t>
      </w:r>
      <w:r>
        <w:rPr>
          <w:rFonts w:cs="Arial"/>
          <w:szCs w:val="24"/>
          <w:lang w:val="es-ES"/>
        </w:rPr>
        <w:t xml:space="preserve"> de 2022</w:t>
      </w:r>
      <w:r w:rsidR="0022691B">
        <w:rPr>
          <w:rFonts w:cs="Arial"/>
          <w:szCs w:val="24"/>
          <w:lang w:val="es-ES"/>
        </w:rPr>
        <w:t>.</w:t>
      </w:r>
    </w:p>
    <w:p w14:paraId="3A70185A" w14:textId="77777777" w:rsidR="00107EE0" w:rsidRDefault="00107EE0">
      <w:pPr>
        <w:spacing w:after="160" w:line="259" w:lineRule="auto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br w:type="page"/>
      </w:r>
    </w:p>
    <w:p w14:paraId="7D30AF8D" w14:textId="7C9C47D3" w:rsidR="00333106" w:rsidRPr="006D6BEC" w:rsidRDefault="002C123D" w:rsidP="00F32A60">
      <w:pPr>
        <w:pStyle w:val="Textoindependiente"/>
        <w:spacing w:after="240" w:line="300" w:lineRule="exact"/>
        <w:jc w:val="center"/>
        <w:rPr>
          <w:rFonts w:cs="Arial"/>
          <w:b/>
          <w:color w:val="auto"/>
          <w:szCs w:val="24"/>
          <w:u w:val="single"/>
          <w:lang w:val="pt-BR"/>
        </w:rPr>
      </w:pPr>
      <w:r>
        <w:rPr>
          <w:rFonts w:cs="Arial"/>
          <w:b/>
          <w:color w:val="auto"/>
          <w:szCs w:val="24"/>
          <w:u w:val="single"/>
          <w:lang w:val="pt-BR"/>
        </w:rPr>
        <w:lastRenderedPageBreak/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pt-BR"/>
        </w:rPr>
        <w:t>S</w:t>
      </w:r>
    </w:p>
    <w:p w14:paraId="4FCBBADE" w14:textId="4B9C555E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pt-BR"/>
        </w:rPr>
        <w:t xml:space="preserve"> I</w:t>
      </w:r>
      <w:r w:rsidR="00333106" w:rsidRPr="006D6BEC">
        <w:rPr>
          <w:rFonts w:cs="Arial"/>
          <w:b/>
          <w:color w:val="auto"/>
          <w:szCs w:val="24"/>
          <w:lang w:val="pt-BR"/>
        </w:rPr>
        <w:t>:</w:t>
      </w:r>
      <w:r w:rsidR="00333106" w:rsidRPr="006D6BEC">
        <w:rPr>
          <w:rFonts w:cs="Arial"/>
          <w:color w:val="auto"/>
          <w:szCs w:val="24"/>
          <w:lang w:val="pt-BR"/>
        </w:rPr>
        <w:tab/>
      </w:r>
      <w:r w:rsidR="00333106" w:rsidRPr="006D6BEC">
        <w:rPr>
          <w:rFonts w:cs="Arial"/>
          <w:color w:val="auto"/>
          <w:szCs w:val="24"/>
          <w:lang w:val="es-ES"/>
        </w:rPr>
        <w:t>Lista de Participantes – Soporte digital</w:t>
      </w:r>
    </w:p>
    <w:p w14:paraId="55CCC039" w14:textId="2A2E4678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II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Agenda – Soporte digital</w:t>
      </w:r>
    </w:p>
    <w:p w14:paraId="2AF721ED" w14:textId="061AE2BD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III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Resumen de Acta – Soporte digital</w:t>
      </w:r>
    </w:p>
    <w:p w14:paraId="65DD450E" w14:textId="25F8E9BD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IV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Proyectos de Normas</w:t>
      </w:r>
      <w:r w:rsidR="00A046E0">
        <w:rPr>
          <w:rFonts w:cs="Arial"/>
          <w:color w:val="auto"/>
          <w:szCs w:val="24"/>
          <w:lang w:val="es-ES"/>
        </w:rPr>
        <w:t xml:space="preserve"> </w:t>
      </w:r>
      <w:r w:rsidR="00A046E0" w:rsidRPr="006D6BEC">
        <w:rPr>
          <w:rFonts w:cs="Arial"/>
          <w:color w:val="auto"/>
          <w:szCs w:val="24"/>
          <w:lang w:val="es-ES"/>
        </w:rPr>
        <w:t>– Soporte digital (</w:t>
      </w:r>
      <w:r w:rsidR="00A046E0" w:rsidRPr="006D6BEC">
        <w:rPr>
          <w:rFonts w:cs="Arial"/>
          <w:b/>
          <w:color w:val="auto"/>
          <w:szCs w:val="24"/>
          <w:lang w:val="es-ES"/>
        </w:rPr>
        <w:t>RESERVADO</w:t>
      </w:r>
      <w:r w:rsidR="00A046E0" w:rsidRPr="006D6BEC">
        <w:rPr>
          <w:rFonts w:cs="Arial"/>
          <w:color w:val="auto"/>
          <w:szCs w:val="24"/>
          <w:lang w:val="es-ES"/>
        </w:rPr>
        <w:t>)</w:t>
      </w:r>
    </w:p>
    <w:p w14:paraId="74AF209F" w14:textId="0F514218" w:rsidR="00333106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V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Cuadro Consolidado – Soporte digital (</w:t>
      </w:r>
      <w:r w:rsidR="00333106" w:rsidRPr="006D6BEC">
        <w:rPr>
          <w:rFonts w:cs="Arial"/>
          <w:b/>
          <w:color w:val="auto"/>
          <w:szCs w:val="24"/>
          <w:lang w:val="es-ES"/>
        </w:rPr>
        <w:t>RESERVADO</w:t>
      </w:r>
      <w:r w:rsidR="00333106" w:rsidRPr="006D6BEC">
        <w:rPr>
          <w:rFonts w:cs="Arial"/>
          <w:color w:val="auto"/>
          <w:szCs w:val="24"/>
          <w:lang w:val="es-ES"/>
        </w:rPr>
        <w:t>)</w:t>
      </w:r>
    </w:p>
    <w:p w14:paraId="498E55B4" w14:textId="0D4D1F54" w:rsidR="00272F89" w:rsidRPr="006D6BEC" w:rsidRDefault="00272F89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 VI</w:t>
      </w:r>
      <w:r w:rsidRPr="0000131A">
        <w:rPr>
          <w:rFonts w:cs="Arial"/>
          <w:b/>
          <w:color w:val="auto"/>
          <w:szCs w:val="24"/>
          <w:lang w:val="es-ES"/>
        </w:rPr>
        <w:t>:</w:t>
      </w:r>
      <w:r>
        <w:rPr>
          <w:rFonts w:cs="Arial"/>
          <w:color w:val="auto"/>
          <w:szCs w:val="24"/>
          <w:lang w:val="es-ES"/>
        </w:rPr>
        <w:t xml:space="preserve"> </w:t>
      </w:r>
      <w:r>
        <w:rPr>
          <w:rFonts w:cs="Arial"/>
          <w:color w:val="auto"/>
          <w:szCs w:val="24"/>
          <w:lang w:val="es-ES"/>
        </w:rPr>
        <w:tab/>
        <w:t xml:space="preserve">Nuevos Casos – Soporte digital </w:t>
      </w:r>
      <w:r w:rsidRPr="00272F89">
        <w:rPr>
          <w:rFonts w:cs="Arial"/>
          <w:b/>
          <w:color w:val="auto"/>
          <w:szCs w:val="24"/>
          <w:lang w:val="es-ES"/>
        </w:rPr>
        <w:t>(RESERVADO)</w:t>
      </w:r>
    </w:p>
    <w:p w14:paraId="33500728" w14:textId="6E96A59A" w:rsidR="0065132C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bCs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65132C" w:rsidRPr="006D6BEC">
        <w:rPr>
          <w:rFonts w:cs="Arial"/>
          <w:b/>
          <w:color w:val="auto"/>
          <w:szCs w:val="24"/>
          <w:u w:val="single"/>
          <w:lang w:val="es-ES"/>
        </w:rPr>
        <w:t xml:space="preserve"> VII</w:t>
      </w:r>
      <w:r w:rsidR="0065132C" w:rsidRPr="0000131A">
        <w:rPr>
          <w:rFonts w:cs="Arial"/>
          <w:b/>
          <w:color w:val="auto"/>
          <w:szCs w:val="24"/>
          <w:lang w:val="es-ES"/>
        </w:rPr>
        <w:t>:</w:t>
      </w:r>
      <w:r w:rsidR="00880B7D">
        <w:rPr>
          <w:rFonts w:cs="Arial"/>
          <w:bCs/>
          <w:color w:val="auto"/>
          <w:szCs w:val="24"/>
          <w:lang w:val="es-ES"/>
        </w:rPr>
        <w:tab/>
      </w:r>
      <w:r w:rsidR="003331EE">
        <w:rPr>
          <w:rFonts w:cs="Arial"/>
          <w:bCs/>
          <w:color w:val="auto"/>
          <w:szCs w:val="24"/>
          <w:lang w:val="es-ES"/>
        </w:rPr>
        <w:t xml:space="preserve">Información adicional </w:t>
      </w:r>
      <w:r w:rsidR="003331EE" w:rsidRPr="006D6BEC">
        <w:rPr>
          <w:rFonts w:cs="Arial"/>
          <w:color w:val="auto"/>
          <w:szCs w:val="24"/>
          <w:lang w:val="es-ES"/>
        </w:rPr>
        <w:t>– Soporte digital</w:t>
      </w:r>
      <w:r w:rsidR="0065132C" w:rsidRPr="006D6BEC">
        <w:rPr>
          <w:rFonts w:cs="Arial"/>
          <w:bCs/>
          <w:color w:val="auto"/>
          <w:szCs w:val="24"/>
          <w:lang w:val="es-ES"/>
        </w:rPr>
        <w:t xml:space="preserve"> </w:t>
      </w:r>
      <w:r w:rsidR="0065132C" w:rsidRPr="006D6BEC">
        <w:rPr>
          <w:rFonts w:cs="Arial"/>
          <w:color w:val="auto"/>
          <w:szCs w:val="24"/>
          <w:lang w:val="es-ES"/>
        </w:rPr>
        <w:t>(</w:t>
      </w:r>
      <w:r w:rsidR="0065132C" w:rsidRPr="006D6BEC">
        <w:rPr>
          <w:rFonts w:cs="Arial"/>
          <w:b/>
          <w:color w:val="auto"/>
          <w:szCs w:val="24"/>
          <w:lang w:val="es-ES"/>
        </w:rPr>
        <w:t>RESERVADO</w:t>
      </w:r>
      <w:r w:rsidR="0065132C" w:rsidRPr="006D6BEC">
        <w:rPr>
          <w:rFonts w:cs="Arial"/>
          <w:color w:val="auto"/>
          <w:szCs w:val="24"/>
          <w:lang w:val="es-ES"/>
        </w:rPr>
        <w:t>)</w:t>
      </w:r>
    </w:p>
    <w:p w14:paraId="27EAFEF4" w14:textId="069345EA" w:rsidR="00F81EED" w:rsidRPr="00F81EED" w:rsidRDefault="00F81EE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 w:rsidRPr="00BB6EE1">
        <w:rPr>
          <w:rFonts w:cs="Arial"/>
          <w:b/>
          <w:color w:val="auto"/>
          <w:szCs w:val="24"/>
          <w:u w:val="single"/>
          <w:lang w:val="es-ES"/>
        </w:rPr>
        <w:t>ANEXO VIII</w:t>
      </w:r>
      <w:r w:rsidRPr="0000131A">
        <w:rPr>
          <w:rFonts w:cs="Arial"/>
          <w:b/>
          <w:color w:val="auto"/>
          <w:szCs w:val="24"/>
          <w:lang w:val="es-ES"/>
        </w:rPr>
        <w:t xml:space="preserve">: </w:t>
      </w:r>
      <w:r w:rsidRPr="00F81EED">
        <w:rPr>
          <w:rFonts w:cs="Arial"/>
          <w:color w:val="auto"/>
          <w:szCs w:val="24"/>
          <w:lang w:val="es-ES"/>
        </w:rPr>
        <w:tab/>
      </w:r>
      <w:r>
        <w:rPr>
          <w:rFonts w:cs="Arial"/>
          <w:color w:val="auto"/>
          <w:szCs w:val="24"/>
          <w:lang w:val="es-ES"/>
        </w:rPr>
        <w:t xml:space="preserve">Propuesta de Nomenclatura – </w:t>
      </w:r>
      <w:r w:rsidR="003331EE" w:rsidRPr="006D6BEC">
        <w:rPr>
          <w:rFonts w:cs="Arial"/>
          <w:color w:val="auto"/>
          <w:szCs w:val="24"/>
          <w:lang w:val="es-ES"/>
        </w:rPr>
        <w:t>Soporte digital</w:t>
      </w:r>
      <w:r>
        <w:rPr>
          <w:rFonts w:cs="Arial"/>
          <w:color w:val="auto"/>
          <w:szCs w:val="24"/>
          <w:lang w:val="es-ES"/>
        </w:rPr>
        <w:t xml:space="preserve"> </w:t>
      </w:r>
      <w:r w:rsidRPr="00F81EED">
        <w:rPr>
          <w:rFonts w:cs="Arial"/>
          <w:b/>
          <w:color w:val="auto"/>
          <w:szCs w:val="24"/>
          <w:lang w:val="es-ES"/>
        </w:rPr>
        <w:t>(RESERVADO)</w:t>
      </w:r>
    </w:p>
    <w:p w14:paraId="52D65E46" w14:textId="768796A7" w:rsidR="00333106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X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b/>
          <w:color w:val="auto"/>
          <w:szCs w:val="24"/>
          <w:lang w:val="es-ES"/>
        </w:rPr>
        <w:tab/>
      </w:r>
      <w:r w:rsidR="00333106" w:rsidRPr="006D6BEC">
        <w:rPr>
          <w:rFonts w:cs="Arial"/>
          <w:color w:val="auto"/>
          <w:szCs w:val="24"/>
          <w:lang w:val="es-ES"/>
        </w:rPr>
        <w:t>Presentación de Normas</w:t>
      </w:r>
      <w:r w:rsidR="003331EE">
        <w:rPr>
          <w:rFonts w:cs="Arial"/>
          <w:color w:val="auto"/>
          <w:szCs w:val="24"/>
          <w:lang w:val="es-ES"/>
        </w:rPr>
        <w:t xml:space="preserve"> </w:t>
      </w:r>
      <w:r w:rsidR="00333106" w:rsidRPr="006D6BEC">
        <w:rPr>
          <w:rFonts w:cs="Arial"/>
          <w:color w:val="auto"/>
          <w:szCs w:val="24"/>
          <w:lang w:val="es-ES"/>
        </w:rPr>
        <w:t>– Soporte digital</w:t>
      </w:r>
    </w:p>
    <w:p w14:paraId="68510466" w14:textId="18B72A87" w:rsidR="00CB5794" w:rsidRDefault="00CB5794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Pr="006D6BEC">
        <w:rPr>
          <w:rFonts w:cs="Arial"/>
          <w:b/>
          <w:color w:val="auto"/>
          <w:szCs w:val="24"/>
          <w:u w:val="single"/>
          <w:lang w:val="es-ES"/>
        </w:rPr>
        <w:t xml:space="preserve"> X</w:t>
      </w:r>
      <w:r>
        <w:rPr>
          <w:rFonts w:cs="Arial"/>
          <w:b/>
          <w:color w:val="auto"/>
          <w:szCs w:val="24"/>
          <w:u w:val="single"/>
          <w:lang w:val="es-ES"/>
        </w:rPr>
        <w:t>III</w:t>
      </w:r>
      <w:r w:rsidRPr="006D6BEC">
        <w:rPr>
          <w:rFonts w:cs="Arial"/>
          <w:b/>
          <w:color w:val="auto"/>
          <w:szCs w:val="24"/>
          <w:lang w:val="es-ES"/>
        </w:rPr>
        <w:t>:</w:t>
      </w:r>
      <w:r w:rsidRPr="006D6BEC">
        <w:rPr>
          <w:rFonts w:cs="Arial"/>
          <w:b/>
          <w:color w:val="auto"/>
          <w:szCs w:val="24"/>
          <w:lang w:val="es-ES"/>
        </w:rPr>
        <w:tab/>
      </w:r>
      <w:r w:rsidRPr="00CB5794">
        <w:rPr>
          <w:rFonts w:cs="Arial"/>
          <w:color w:val="auto"/>
          <w:szCs w:val="24"/>
          <w:lang w:val="es-ES"/>
        </w:rPr>
        <w:t>Dictámenes de clasificación</w:t>
      </w:r>
      <w:r>
        <w:rPr>
          <w:rFonts w:cs="Arial"/>
          <w:b/>
          <w:color w:val="auto"/>
          <w:szCs w:val="24"/>
          <w:lang w:val="es-ES"/>
        </w:rPr>
        <w:t xml:space="preserve"> </w:t>
      </w:r>
      <w:r w:rsidRPr="006D6BEC">
        <w:rPr>
          <w:rFonts w:cs="Arial"/>
          <w:color w:val="auto"/>
          <w:szCs w:val="24"/>
          <w:lang w:val="es-ES"/>
        </w:rPr>
        <w:t>–</w:t>
      </w:r>
      <w:r w:rsidR="003331EE" w:rsidRPr="006D6BEC">
        <w:rPr>
          <w:rFonts w:cs="Arial"/>
          <w:color w:val="auto"/>
          <w:szCs w:val="24"/>
          <w:lang w:val="es-ES"/>
        </w:rPr>
        <w:t xml:space="preserve"> Soporte digital </w:t>
      </w:r>
      <w:r w:rsidRPr="00F81EED">
        <w:rPr>
          <w:rFonts w:cs="Arial"/>
          <w:b/>
          <w:color w:val="auto"/>
          <w:szCs w:val="24"/>
          <w:lang w:val="es-ES"/>
        </w:rPr>
        <w:t>(RESERVADO)</w:t>
      </w:r>
    </w:p>
    <w:p w14:paraId="04EB76AE" w14:textId="7FB7D74F" w:rsidR="00333106" w:rsidRPr="006D6BEC" w:rsidRDefault="002C123D" w:rsidP="00F32A60">
      <w:pPr>
        <w:pStyle w:val="Textoindependiente"/>
        <w:tabs>
          <w:tab w:val="left" w:pos="1701"/>
        </w:tabs>
        <w:spacing w:after="240" w:line="300" w:lineRule="exact"/>
        <w:ind w:left="1701" w:hanging="1701"/>
        <w:jc w:val="left"/>
        <w:rPr>
          <w:rFonts w:cs="Arial"/>
          <w:color w:val="auto"/>
          <w:szCs w:val="24"/>
          <w:lang w:val="es-ES"/>
        </w:rPr>
      </w:pPr>
      <w:r>
        <w:rPr>
          <w:rFonts w:cs="Arial"/>
          <w:b/>
          <w:color w:val="auto"/>
          <w:szCs w:val="24"/>
          <w:u w:val="single"/>
          <w:lang w:val="es-ES"/>
        </w:rPr>
        <w:t>ANEXO</w:t>
      </w:r>
      <w:r w:rsidR="00333106" w:rsidRPr="006D6BEC">
        <w:rPr>
          <w:rFonts w:cs="Arial"/>
          <w:b/>
          <w:color w:val="auto"/>
          <w:szCs w:val="24"/>
          <w:u w:val="single"/>
          <w:lang w:val="es-ES"/>
        </w:rPr>
        <w:t xml:space="preserve"> XV</w:t>
      </w:r>
      <w:r w:rsidR="00333106" w:rsidRPr="006D6BEC">
        <w:rPr>
          <w:rFonts w:cs="Arial"/>
          <w:b/>
          <w:color w:val="auto"/>
          <w:szCs w:val="24"/>
          <w:lang w:val="es-ES"/>
        </w:rPr>
        <w:t>:</w:t>
      </w:r>
      <w:r w:rsidR="00333106" w:rsidRPr="006D6BEC">
        <w:rPr>
          <w:rFonts w:cs="Arial"/>
          <w:color w:val="auto"/>
          <w:szCs w:val="24"/>
          <w:lang w:val="es-ES"/>
        </w:rPr>
        <w:tab/>
        <w:t>Otros – Soporte digital (</w:t>
      </w:r>
      <w:r w:rsidR="00333106" w:rsidRPr="006D6BEC">
        <w:rPr>
          <w:rFonts w:cs="Arial"/>
          <w:b/>
          <w:color w:val="auto"/>
          <w:szCs w:val="24"/>
          <w:lang w:val="es-ES"/>
        </w:rPr>
        <w:t>RESERVADO</w:t>
      </w:r>
      <w:r w:rsidR="00333106" w:rsidRPr="006D6BEC">
        <w:rPr>
          <w:rFonts w:cs="Arial"/>
          <w:color w:val="auto"/>
          <w:szCs w:val="24"/>
          <w:lang w:val="es-ES"/>
        </w:rPr>
        <w:t>)</w:t>
      </w:r>
    </w:p>
    <w:p w14:paraId="58349D1E" w14:textId="77777777" w:rsidR="00E26DBC" w:rsidRPr="006D6BEC" w:rsidRDefault="00E26DBC" w:rsidP="00F32A60">
      <w:pPr>
        <w:pStyle w:val="BodyText21"/>
        <w:widowControl/>
        <w:spacing w:after="240" w:line="300" w:lineRule="exact"/>
        <w:rPr>
          <w:rFonts w:cs="Arial"/>
          <w:szCs w:val="24"/>
          <w:lang w:val="es-ES"/>
        </w:rPr>
      </w:pPr>
    </w:p>
    <w:tbl>
      <w:tblPr>
        <w:tblpPr w:leftFromText="141" w:rightFromText="141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4252"/>
        <w:gridCol w:w="4253"/>
      </w:tblGrid>
      <w:tr w:rsidR="00333106" w:rsidRPr="006D6BEC" w14:paraId="3E514664" w14:textId="77777777" w:rsidTr="00E26DBC">
        <w:trPr>
          <w:trHeight w:val="2400"/>
        </w:trPr>
        <w:tc>
          <w:tcPr>
            <w:tcW w:w="4252" w:type="dxa"/>
            <w:vAlign w:val="center"/>
          </w:tcPr>
          <w:p w14:paraId="757C72AB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248041B" w14:textId="6F96DC5C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Argentina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="0022691B">
              <w:rPr>
                <w:rFonts w:cs="Arial"/>
                <w:b/>
                <w:szCs w:val="24"/>
                <w:lang w:val="es-ES"/>
              </w:rPr>
              <w:t>Matías Echaniz</w:t>
            </w:r>
          </w:p>
        </w:tc>
        <w:tc>
          <w:tcPr>
            <w:tcW w:w="4253" w:type="dxa"/>
            <w:vAlign w:val="center"/>
          </w:tcPr>
          <w:p w14:paraId="5FD24E8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221C9A1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Brasil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 xml:space="preserve">Denis </w:t>
            </w:r>
            <w:proofErr w:type="spellStart"/>
            <w:r w:rsidRPr="006D6BEC">
              <w:rPr>
                <w:rFonts w:cs="Arial"/>
                <w:b/>
                <w:szCs w:val="24"/>
                <w:lang w:val="es-ES"/>
              </w:rPr>
              <w:t>Scaramussa</w:t>
            </w:r>
            <w:proofErr w:type="spellEnd"/>
            <w:r w:rsidRPr="006D6BEC">
              <w:rPr>
                <w:rFonts w:cs="Arial"/>
                <w:b/>
                <w:szCs w:val="24"/>
                <w:lang w:val="es-ES"/>
              </w:rPr>
              <w:t xml:space="preserve"> Pereira</w:t>
            </w:r>
          </w:p>
        </w:tc>
      </w:tr>
      <w:tr w:rsidR="00333106" w:rsidRPr="006D6BEC" w14:paraId="2E9E745F" w14:textId="77777777" w:rsidTr="00E26DBC">
        <w:trPr>
          <w:trHeight w:val="1867"/>
        </w:trPr>
        <w:tc>
          <w:tcPr>
            <w:tcW w:w="4252" w:type="dxa"/>
            <w:vAlign w:val="center"/>
          </w:tcPr>
          <w:p w14:paraId="4F064DD5" w14:textId="77777777" w:rsidR="00333106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14:paraId="3FE4C69C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6A42D88" w14:textId="7233E100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Paraguay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proofErr w:type="spellStart"/>
            <w:r w:rsidR="00001035">
              <w:rPr>
                <w:rFonts w:cs="Arial"/>
                <w:b/>
                <w:szCs w:val="24"/>
                <w:lang w:val="es-ES"/>
              </w:rPr>
              <w:t>Nathalia</w:t>
            </w:r>
            <w:proofErr w:type="spellEnd"/>
            <w:r w:rsidR="00001035">
              <w:rPr>
                <w:rFonts w:cs="Arial"/>
                <w:b/>
                <w:szCs w:val="24"/>
                <w:lang w:val="es-ES"/>
              </w:rPr>
              <w:t xml:space="preserve"> </w:t>
            </w:r>
            <w:r w:rsidR="00130912">
              <w:rPr>
                <w:rFonts w:cs="Arial"/>
                <w:b/>
                <w:szCs w:val="24"/>
                <w:lang w:val="es-ES"/>
              </w:rPr>
              <w:t xml:space="preserve">R. </w:t>
            </w:r>
            <w:r w:rsidR="00001035">
              <w:rPr>
                <w:rFonts w:cs="Arial"/>
                <w:b/>
                <w:szCs w:val="24"/>
                <w:lang w:val="es-ES"/>
              </w:rPr>
              <w:t>Arévalo</w:t>
            </w:r>
            <w:r w:rsidR="00130912">
              <w:rPr>
                <w:rFonts w:cs="Arial"/>
                <w:b/>
                <w:szCs w:val="24"/>
                <w:lang w:val="es-ES"/>
              </w:rPr>
              <w:t xml:space="preserve"> O.</w:t>
            </w:r>
          </w:p>
        </w:tc>
        <w:tc>
          <w:tcPr>
            <w:tcW w:w="4253" w:type="dxa"/>
            <w:vAlign w:val="center"/>
          </w:tcPr>
          <w:p w14:paraId="23739299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  <w:p w14:paraId="23CBC968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________________________</w:t>
            </w:r>
          </w:p>
          <w:p w14:paraId="5BFA5BBE" w14:textId="77777777" w:rsidR="00333106" w:rsidRPr="006D6BEC" w:rsidRDefault="00333106" w:rsidP="00F32A60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6D6BEC">
              <w:rPr>
                <w:rFonts w:cs="Arial"/>
                <w:szCs w:val="24"/>
                <w:lang w:val="es-ES"/>
              </w:rPr>
              <w:t>Por la Delegación de Uruguay</w:t>
            </w:r>
            <w:r w:rsidR="00957181">
              <w:rPr>
                <w:rFonts w:cs="Arial"/>
                <w:szCs w:val="24"/>
                <w:lang w:val="es-ES"/>
              </w:rPr>
              <w:br/>
            </w:r>
            <w:r w:rsidRPr="006D6BEC">
              <w:rPr>
                <w:rFonts w:cs="Arial"/>
                <w:b/>
                <w:szCs w:val="24"/>
                <w:lang w:val="es-ES"/>
              </w:rPr>
              <w:t>Ign</w:t>
            </w:r>
            <w:bookmarkStart w:id="1" w:name="_GoBack"/>
            <w:bookmarkEnd w:id="1"/>
            <w:r w:rsidRPr="006D6BEC">
              <w:rPr>
                <w:rFonts w:cs="Arial"/>
                <w:b/>
                <w:szCs w:val="24"/>
                <w:lang w:val="es-ES"/>
              </w:rPr>
              <w:t>acio Pereira</w:t>
            </w:r>
          </w:p>
        </w:tc>
      </w:tr>
      <w:bookmarkEnd w:id="0"/>
    </w:tbl>
    <w:p w14:paraId="4CC13F8A" w14:textId="77777777" w:rsidR="00333106" w:rsidRPr="006D6BEC" w:rsidRDefault="00333106" w:rsidP="00F32A60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sectPr w:rsidR="00333106" w:rsidRPr="006D6BEC" w:rsidSect="001F2A4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85" w:right="1134" w:bottom="1276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AFBC" w14:textId="77777777" w:rsidR="005F4394" w:rsidRDefault="005F4394">
      <w:r>
        <w:separator/>
      </w:r>
    </w:p>
  </w:endnote>
  <w:endnote w:type="continuationSeparator" w:id="0">
    <w:p w14:paraId="48763FD7" w14:textId="77777777" w:rsidR="005F4394" w:rsidRDefault="005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1E65" w14:textId="77777777" w:rsidR="00A63324" w:rsidRDefault="00A63324">
    <w:pPr>
      <w:pStyle w:val="Piedepgina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6B00E6F3" w14:textId="77777777" w:rsidR="00A63324" w:rsidRDefault="00A633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3948" w14:textId="6D3A73F5" w:rsidR="00A63324" w:rsidRDefault="00A63324">
    <w:pPr>
      <w:pStyle w:val="Piedepgina"/>
      <w:framePr w:wrap="around" w:vAnchor="text" w:hAnchor="margin" w:xAlign="right" w:y="1"/>
      <w:widowControl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separate"/>
    </w:r>
    <w:r w:rsidR="005C59C4">
      <w:rPr>
        <w:rStyle w:val="Nmerodepgina"/>
        <w:rFonts w:eastAsiaTheme="majorEastAsia"/>
        <w:noProof/>
      </w:rPr>
      <w:t>5</w:t>
    </w:r>
    <w:r>
      <w:rPr>
        <w:rStyle w:val="Nmerodepgina"/>
        <w:rFonts w:eastAsiaTheme="majorEastAsia"/>
      </w:rPr>
      <w:fldChar w:fldCharType="end"/>
    </w:r>
  </w:p>
  <w:p w14:paraId="76DD4416" w14:textId="77777777" w:rsidR="00A63324" w:rsidRDefault="00A63324">
    <w:pPr>
      <w:pStyle w:val="Piedepgin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24A1" w14:textId="77777777" w:rsidR="005F4394" w:rsidRDefault="005F4394">
      <w:r>
        <w:separator/>
      </w:r>
    </w:p>
  </w:footnote>
  <w:footnote w:type="continuationSeparator" w:id="0">
    <w:p w14:paraId="7FF8A062" w14:textId="77777777" w:rsidR="005F4394" w:rsidRDefault="005F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A4B4" w14:textId="77777777" w:rsidR="00A63324" w:rsidRDefault="00A63324">
    <w:pPr>
      <w:pStyle w:val="Encabezado"/>
    </w:pPr>
    <w:r w:rsidRPr="000662B1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31D43382" wp14:editId="34C8C537">
          <wp:simplePos x="0" y="0"/>
          <wp:positionH relativeFrom="column">
            <wp:posOffset>4618355</wp:posOffset>
          </wp:positionH>
          <wp:positionV relativeFrom="paragraph">
            <wp:posOffset>0</wp:posOffset>
          </wp:positionV>
          <wp:extent cx="975600" cy="633600"/>
          <wp:effectExtent l="0" t="0" r="254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1542914C" wp14:editId="35CCBA92">
          <wp:simplePos x="0" y="0"/>
          <wp:positionH relativeFrom="column">
            <wp:posOffset>-402590</wp:posOffset>
          </wp:positionH>
          <wp:positionV relativeFrom="paragraph">
            <wp:posOffset>-1270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48AB" w14:textId="77777777" w:rsidR="00A63324" w:rsidRDefault="00A63324">
    <w:pPr>
      <w:pStyle w:val="Encabezado"/>
    </w:pPr>
    <w:r w:rsidRPr="000662B1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A1E4218" wp14:editId="45DA3808">
          <wp:simplePos x="0" y="0"/>
          <wp:positionH relativeFrom="column">
            <wp:posOffset>-367665</wp:posOffset>
          </wp:positionH>
          <wp:positionV relativeFrom="paragraph">
            <wp:posOffset>-50800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FA47647" wp14:editId="435A66CC">
          <wp:simplePos x="0" y="0"/>
          <wp:positionH relativeFrom="column">
            <wp:posOffset>4713605</wp:posOffset>
          </wp:positionH>
          <wp:positionV relativeFrom="paragraph">
            <wp:posOffset>-48260</wp:posOffset>
          </wp:positionV>
          <wp:extent cx="975600" cy="633600"/>
          <wp:effectExtent l="0" t="0" r="2540" b="1905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C0BA7E1" w14:textId="77777777" w:rsidR="00A63324" w:rsidRDefault="00A63324">
    <w:pPr>
      <w:pStyle w:val="Encabezado"/>
    </w:pPr>
  </w:p>
  <w:p w14:paraId="763441D2" w14:textId="77777777" w:rsidR="00A63324" w:rsidRDefault="00A63324">
    <w:pPr>
      <w:pStyle w:val="Encabezado"/>
    </w:pPr>
  </w:p>
  <w:p w14:paraId="4DCE0262" w14:textId="77777777" w:rsidR="00A63324" w:rsidRDefault="00A633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C44"/>
    <w:multiLevelType w:val="hybridMultilevel"/>
    <w:tmpl w:val="AC6A031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2166"/>
    <w:multiLevelType w:val="hybridMultilevel"/>
    <w:tmpl w:val="16D68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FF5"/>
    <w:multiLevelType w:val="hybridMultilevel"/>
    <w:tmpl w:val="6226C6F8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34E"/>
    <w:multiLevelType w:val="hybridMultilevel"/>
    <w:tmpl w:val="5AF4C406"/>
    <w:lvl w:ilvl="0" w:tplc="ECAAE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AAF"/>
    <w:multiLevelType w:val="hybridMultilevel"/>
    <w:tmpl w:val="33B6582C"/>
    <w:lvl w:ilvl="0" w:tplc="AB9ABE42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B35842"/>
    <w:multiLevelType w:val="hybridMultilevel"/>
    <w:tmpl w:val="4394D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D03AE"/>
    <w:multiLevelType w:val="hybridMultilevel"/>
    <w:tmpl w:val="CBB44FAE"/>
    <w:lvl w:ilvl="0" w:tplc="AB9ABE42">
      <w:start w:val="1"/>
      <w:numFmt w:val="bullet"/>
      <w:lvlText w:val="-"/>
      <w:lvlJc w:val="left"/>
      <w:pPr>
        <w:ind w:left="4755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3AA80BC8"/>
    <w:multiLevelType w:val="hybridMultilevel"/>
    <w:tmpl w:val="EF006F18"/>
    <w:lvl w:ilvl="0" w:tplc="10B8E4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10981"/>
    <w:multiLevelType w:val="multilevel"/>
    <w:tmpl w:val="B2DA0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lang w:val="es-A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0E48FC"/>
    <w:multiLevelType w:val="hybridMultilevel"/>
    <w:tmpl w:val="AC6AF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182A"/>
    <w:multiLevelType w:val="hybridMultilevel"/>
    <w:tmpl w:val="5DB43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32BD"/>
    <w:multiLevelType w:val="hybridMultilevel"/>
    <w:tmpl w:val="91C83A30"/>
    <w:lvl w:ilvl="0" w:tplc="AB9ABE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62"/>
    <w:multiLevelType w:val="hybridMultilevel"/>
    <w:tmpl w:val="AC6AF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C507B"/>
    <w:multiLevelType w:val="hybridMultilevel"/>
    <w:tmpl w:val="2F7275C8"/>
    <w:lvl w:ilvl="0" w:tplc="181EB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7155E"/>
    <w:multiLevelType w:val="hybridMultilevel"/>
    <w:tmpl w:val="C37E3E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38ED"/>
    <w:multiLevelType w:val="hybridMultilevel"/>
    <w:tmpl w:val="CC045D46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E6798"/>
    <w:multiLevelType w:val="hybridMultilevel"/>
    <w:tmpl w:val="EA6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0FD0"/>
    <w:multiLevelType w:val="hybridMultilevel"/>
    <w:tmpl w:val="4BD4932A"/>
    <w:lvl w:ilvl="0" w:tplc="4560E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95E7B"/>
    <w:multiLevelType w:val="multilevel"/>
    <w:tmpl w:val="62DAD7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F1C48F5"/>
    <w:multiLevelType w:val="hybridMultilevel"/>
    <w:tmpl w:val="2C0C4F08"/>
    <w:lvl w:ilvl="0" w:tplc="AB9ABE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2801"/>
    <w:multiLevelType w:val="hybridMultilevel"/>
    <w:tmpl w:val="4D74A8D8"/>
    <w:lvl w:ilvl="0" w:tplc="3C7819C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49017AF"/>
    <w:multiLevelType w:val="hybridMultilevel"/>
    <w:tmpl w:val="78CA6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051D5"/>
    <w:multiLevelType w:val="hybridMultilevel"/>
    <w:tmpl w:val="DCC07696"/>
    <w:lvl w:ilvl="0" w:tplc="4B28A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3"/>
  </w:num>
  <w:num w:numId="5">
    <w:abstractNumId w:val="16"/>
  </w:num>
  <w:num w:numId="6">
    <w:abstractNumId w:val="5"/>
  </w:num>
  <w:num w:numId="7">
    <w:abstractNumId w:val="21"/>
  </w:num>
  <w:num w:numId="8">
    <w:abstractNumId w:val="10"/>
  </w:num>
  <w:num w:numId="9">
    <w:abstractNumId w:val="14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22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06"/>
    <w:rsid w:val="00001035"/>
    <w:rsid w:val="0000131A"/>
    <w:rsid w:val="00006F51"/>
    <w:rsid w:val="00007DD1"/>
    <w:rsid w:val="00022D19"/>
    <w:rsid w:val="00026AD7"/>
    <w:rsid w:val="00026E46"/>
    <w:rsid w:val="000275E9"/>
    <w:rsid w:val="00032070"/>
    <w:rsid w:val="00032307"/>
    <w:rsid w:val="000377DD"/>
    <w:rsid w:val="000422E6"/>
    <w:rsid w:val="000476B9"/>
    <w:rsid w:val="00065A95"/>
    <w:rsid w:val="00074550"/>
    <w:rsid w:val="00074628"/>
    <w:rsid w:val="00075E7D"/>
    <w:rsid w:val="00081F6C"/>
    <w:rsid w:val="00087241"/>
    <w:rsid w:val="000925D6"/>
    <w:rsid w:val="000960D8"/>
    <w:rsid w:val="000B414C"/>
    <w:rsid w:val="000B4E2B"/>
    <w:rsid w:val="000B62B0"/>
    <w:rsid w:val="000C254B"/>
    <w:rsid w:val="000D4FEA"/>
    <w:rsid w:val="000D662D"/>
    <w:rsid w:val="000E02D1"/>
    <w:rsid w:val="000E12B9"/>
    <w:rsid w:val="000E57CD"/>
    <w:rsid w:val="000E58FA"/>
    <w:rsid w:val="000F07FF"/>
    <w:rsid w:val="00100CD8"/>
    <w:rsid w:val="00104300"/>
    <w:rsid w:val="00107EE0"/>
    <w:rsid w:val="00126098"/>
    <w:rsid w:val="00130912"/>
    <w:rsid w:val="001349C9"/>
    <w:rsid w:val="001408B8"/>
    <w:rsid w:val="00141355"/>
    <w:rsid w:val="00141E94"/>
    <w:rsid w:val="00142C99"/>
    <w:rsid w:val="00143838"/>
    <w:rsid w:val="00160B63"/>
    <w:rsid w:val="0017415B"/>
    <w:rsid w:val="001774D3"/>
    <w:rsid w:val="00182C07"/>
    <w:rsid w:val="00191C35"/>
    <w:rsid w:val="00194B44"/>
    <w:rsid w:val="001A1F2A"/>
    <w:rsid w:val="001A3EED"/>
    <w:rsid w:val="001B586F"/>
    <w:rsid w:val="001B6BDD"/>
    <w:rsid w:val="001C007E"/>
    <w:rsid w:val="001C62FB"/>
    <w:rsid w:val="001C6325"/>
    <w:rsid w:val="001D4A8E"/>
    <w:rsid w:val="001E08A8"/>
    <w:rsid w:val="001E0D83"/>
    <w:rsid w:val="001E7593"/>
    <w:rsid w:val="001F2A4E"/>
    <w:rsid w:val="00200DE6"/>
    <w:rsid w:val="002067A5"/>
    <w:rsid w:val="00213601"/>
    <w:rsid w:val="00221D4D"/>
    <w:rsid w:val="002254F4"/>
    <w:rsid w:val="0022691B"/>
    <w:rsid w:val="0022720C"/>
    <w:rsid w:val="00231BF5"/>
    <w:rsid w:val="00241BB8"/>
    <w:rsid w:val="00244838"/>
    <w:rsid w:val="002463BF"/>
    <w:rsid w:val="00250B77"/>
    <w:rsid w:val="00260920"/>
    <w:rsid w:val="00263020"/>
    <w:rsid w:val="00266F2D"/>
    <w:rsid w:val="002677F3"/>
    <w:rsid w:val="00272F89"/>
    <w:rsid w:val="00274697"/>
    <w:rsid w:val="00280881"/>
    <w:rsid w:val="00284247"/>
    <w:rsid w:val="00291D94"/>
    <w:rsid w:val="0029530F"/>
    <w:rsid w:val="002A1284"/>
    <w:rsid w:val="002A1539"/>
    <w:rsid w:val="002C123D"/>
    <w:rsid w:val="002C541F"/>
    <w:rsid w:val="00305BB6"/>
    <w:rsid w:val="00310EBD"/>
    <w:rsid w:val="003110EB"/>
    <w:rsid w:val="00312A74"/>
    <w:rsid w:val="003246FD"/>
    <w:rsid w:val="00331485"/>
    <w:rsid w:val="00333106"/>
    <w:rsid w:val="003331EE"/>
    <w:rsid w:val="003356AD"/>
    <w:rsid w:val="003403DC"/>
    <w:rsid w:val="00353118"/>
    <w:rsid w:val="00355121"/>
    <w:rsid w:val="0037389F"/>
    <w:rsid w:val="00385ADB"/>
    <w:rsid w:val="00392FC0"/>
    <w:rsid w:val="003A65AB"/>
    <w:rsid w:val="003B3119"/>
    <w:rsid w:val="003C22AD"/>
    <w:rsid w:val="003C2C92"/>
    <w:rsid w:val="003C5E4A"/>
    <w:rsid w:val="003C784C"/>
    <w:rsid w:val="003E6FED"/>
    <w:rsid w:val="003F2AB0"/>
    <w:rsid w:val="003F2D23"/>
    <w:rsid w:val="003F4188"/>
    <w:rsid w:val="003F79A8"/>
    <w:rsid w:val="00405C2F"/>
    <w:rsid w:val="00411708"/>
    <w:rsid w:val="00412349"/>
    <w:rsid w:val="0042387A"/>
    <w:rsid w:val="00424A7B"/>
    <w:rsid w:val="00441D08"/>
    <w:rsid w:val="00446CDA"/>
    <w:rsid w:val="004531DB"/>
    <w:rsid w:val="00455402"/>
    <w:rsid w:val="0045750B"/>
    <w:rsid w:val="00460677"/>
    <w:rsid w:val="00464093"/>
    <w:rsid w:val="0048032C"/>
    <w:rsid w:val="00486A9F"/>
    <w:rsid w:val="0049255A"/>
    <w:rsid w:val="00495407"/>
    <w:rsid w:val="00497611"/>
    <w:rsid w:val="004A3F92"/>
    <w:rsid w:val="004B2A58"/>
    <w:rsid w:val="004C2CA2"/>
    <w:rsid w:val="004C4218"/>
    <w:rsid w:val="004D28AE"/>
    <w:rsid w:val="004D2E25"/>
    <w:rsid w:val="004E2AA1"/>
    <w:rsid w:val="004E4E37"/>
    <w:rsid w:val="004F49E3"/>
    <w:rsid w:val="005037A2"/>
    <w:rsid w:val="00504A14"/>
    <w:rsid w:val="00512DD9"/>
    <w:rsid w:val="00515CE7"/>
    <w:rsid w:val="00517AA2"/>
    <w:rsid w:val="00517C70"/>
    <w:rsid w:val="0054197A"/>
    <w:rsid w:val="00550A43"/>
    <w:rsid w:val="005573A0"/>
    <w:rsid w:val="005705AA"/>
    <w:rsid w:val="00571FAD"/>
    <w:rsid w:val="00572D7A"/>
    <w:rsid w:val="00573342"/>
    <w:rsid w:val="005825A2"/>
    <w:rsid w:val="0058693B"/>
    <w:rsid w:val="00587AFD"/>
    <w:rsid w:val="005A71FE"/>
    <w:rsid w:val="005B3514"/>
    <w:rsid w:val="005B532A"/>
    <w:rsid w:val="005B7E43"/>
    <w:rsid w:val="005C44ED"/>
    <w:rsid w:val="005C4A8D"/>
    <w:rsid w:val="005C59C4"/>
    <w:rsid w:val="005C7B85"/>
    <w:rsid w:val="005D4153"/>
    <w:rsid w:val="005F11EF"/>
    <w:rsid w:val="005F4394"/>
    <w:rsid w:val="005F5A33"/>
    <w:rsid w:val="00611CC3"/>
    <w:rsid w:val="00616510"/>
    <w:rsid w:val="00624678"/>
    <w:rsid w:val="0062557C"/>
    <w:rsid w:val="00633111"/>
    <w:rsid w:val="00640AE1"/>
    <w:rsid w:val="00642532"/>
    <w:rsid w:val="0065132C"/>
    <w:rsid w:val="00660F25"/>
    <w:rsid w:val="00661410"/>
    <w:rsid w:val="00664813"/>
    <w:rsid w:val="00664A35"/>
    <w:rsid w:val="00665422"/>
    <w:rsid w:val="00670C04"/>
    <w:rsid w:val="0067366B"/>
    <w:rsid w:val="00675CDE"/>
    <w:rsid w:val="006A1612"/>
    <w:rsid w:val="006A3230"/>
    <w:rsid w:val="006A6026"/>
    <w:rsid w:val="006A726A"/>
    <w:rsid w:val="006B1140"/>
    <w:rsid w:val="006B7F62"/>
    <w:rsid w:val="006C4414"/>
    <w:rsid w:val="006D4442"/>
    <w:rsid w:val="006D475C"/>
    <w:rsid w:val="006D5CBD"/>
    <w:rsid w:val="006D6BEC"/>
    <w:rsid w:val="006D7E83"/>
    <w:rsid w:val="006F05EC"/>
    <w:rsid w:val="006F1C1B"/>
    <w:rsid w:val="006F2E5A"/>
    <w:rsid w:val="006F349B"/>
    <w:rsid w:val="006F3ADE"/>
    <w:rsid w:val="0071001E"/>
    <w:rsid w:val="00721153"/>
    <w:rsid w:val="00723192"/>
    <w:rsid w:val="00724700"/>
    <w:rsid w:val="0073322F"/>
    <w:rsid w:val="00755762"/>
    <w:rsid w:val="00760622"/>
    <w:rsid w:val="00773D7A"/>
    <w:rsid w:val="00775869"/>
    <w:rsid w:val="00796C5A"/>
    <w:rsid w:val="007A19E2"/>
    <w:rsid w:val="007A29A4"/>
    <w:rsid w:val="007A49A2"/>
    <w:rsid w:val="007B3E97"/>
    <w:rsid w:val="007B4A8B"/>
    <w:rsid w:val="007B7331"/>
    <w:rsid w:val="007C09BC"/>
    <w:rsid w:val="007C0AFD"/>
    <w:rsid w:val="007C0B3E"/>
    <w:rsid w:val="007C5148"/>
    <w:rsid w:val="007D713D"/>
    <w:rsid w:val="007E119B"/>
    <w:rsid w:val="007E1330"/>
    <w:rsid w:val="007E52C0"/>
    <w:rsid w:val="007E7599"/>
    <w:rsid w:val="0080285A"/>
    <w:rsid w:val="008042AF"/>
    <w:rsid w:val="0080477A"/>
    <w:rsid w:val="00807640"/>
    <w:rsid w:val="00807EF6"/>
    <w:rsid w:val="008131AC"/>
    <w:rsid w:val="00814E04"/>
    <w:rsid w:val="00823340"/>
    <w:rsid w:val="00824A31"/>
    <w:rsid w:val="00825448"/>
    <w:rsid w:val="00831CE0"/>
    <w:rsid w:val="00832CC1"/>
    <w:rsid w:val="00841D68"/>
    <w:rsid w:val="00847128"/>
    <w:rsid w:val="0085528E"/>
    <w:rsid w:val="00866692"/>
    <w:rsid w:val="00874B96"/>
    <w:rsid w:val="00876502"/>
    <w:rsid w:val="00876D95"/>
    <w:rsid w:val="00877A9F"/>
    <w:rsid w:val="00880B7D"/>
    <w:rsid w:val="0089107A"/>
    <w:rsid w:val="008C44B3"/>
    <w:rsid w:val="008D6543"/>
    <w:rsid w:val="008E03F0"/>
    <w:rsid w:val="008E29F2"/>
    <w:rsid w:val="008E3D73"/>
    <w:rsid w:val="008F1CF6"/>
    <w:rsid w:val="008F5316"/>
    <w:rsid w:val="008F574E"/>
    <w:rsid w:val="008F6BAC"/>
    <w:rsid w:val="00905784"/>
    <w:rsid w:val="009119B0"/>
    <w:rsid w:val="00912ADE"/>
    <w:rsid w:val="00917638"/>
    <w:rsid w:val="00926547"/>
    <w:rsid w:val="00930780"/>
    <w:rsid w:val="00932250"/>
    <w:rsid w:val="00934B8A"/>
    <w:rsid w:val="00951BE2"/>
    <w:rsid w:val="00957181"/>
    <w:rsid w:val="00957969"/>
    <w:rsid w:val="00977F17"/>
    <w:rsid w:val="00987C57"/>
    <w:rsid w:val="00993706"/>
    <w:rsid w:val="00995859"/>
    <w:rsid w:val="009A27CB"/>
    <w:rsid w:val="009A60CC"/>
    <w:rsid w:val="009A6CE2"/>
    <w:rsid w:val="009D00BF"/>
    <w:rsid w:val="009E1C40"/>
    <w:rsid w:val="009E29BC"/>
    <w:rsid w:val="009F4AF6"/>
    <w:rsid w:val="009F520D"/>
    <w:rsid w:val="00A01751"/>
    <w:rsid w:val="00A046E0"/>
    <w:rsid w:val="00A07C40"/>
    <w:rsid w:val="00A119B8"/>
    <w:rsid w:val="00A120AB"/>
    <w:rsid w:val="00A3255C"/>
    <w:rsid w:val="00A62BD5"/>
    <w:rsid w:val="00A63324"/>
    <w:rsid w:val="00A67953"/>
    <w:rsid w:val="00A70F38"/>
    <w:rsid w:val="00A7495D"/>
    <w:rsid w:val="00A7796A"/>
    <w:rsid w:val="00A80AA2"/>
    <w:rsid w:val="00A879AE"/>
    <w:rsid w:val="00A87BFF"/>
    <w:rsid w:val="00A959B9"/>
    <w:rsid w:val="00AA1334"/>
    <w:rsid w:val="00AC0B77"/>
    <w:rsid w:val="00AC433B"/>
    <w:rsid w:val="00AF2584"/>
    <w:rsid w:val="00AF2B5C"/>
    <w:rsid w:val="00AF2E98"/>
    <w:rsid w:val="00AF690A"/>
    <w:rsid w:val="00AF7929"/>
    <w:rsid w:val="00B02724"/>
    <w:rsid w:val="00B035F6"/>
    <w:rsid w:val="00B23684"/>
    <w:rsid w:val="00B36228"/>
    <w:rsid w:val="00B366C4"/>
    <w:rsid w:val="00B37701"/>
    <w:rsid w:val="00B43507"/>
    <w:rsid w:val="00B462D1"/>
    <w:rsid w:val="00B46E38"/>
    <w:rsid w:val="00B67154"/>
    <w:rsid w:val="00B71883"/>
    <w:rsid w:val="00B74B11"/>
    <w:rsid w:val="00B778E8"/>
    <w:rsid w:val="00B944EB"/>
    <w:rsid w:val="00BA132A"/>
    <w:rsid w:val="00BA17DE"/>
    <w:rsid w:val="00BA4BD1"/>
    <w:rsid w:val="00BB20B7"/>
    <w:rsid w:val="00BB2347"/>
    <w:rsid w:val="00BB6157"/>
    <w:rsid w:val="00BB6EE1"/>
    <w:rsid w:val="00BC358C"/>
    <w:rsid w:val="00BC78D3"/>
    <w:rsid w:val="00BD6286"/>
    <w:rsid w:val="00BF166F"/>
    <w:rsid w:val="00C02892"/>
    <w:rsid w:val="00C10514"/>
    <w:rsid w:val="00C14104"/>
    <w:rsid w:val="00C15AD5"/>
    <w:rsid w:val="00C16A78"/>
    <w:rsid w:val="00C2064D"/>
    <w:rsid w:val="00C238AE"/>
    <w:rsid w:val="00C25DAD"/>
    <w:rsid w:val="00C34521"/>
    <w:rsid w:val="00C349DB"/>
    <w:rsid w:val="00C40F9C"/>
    <w:rsid w:val="00C44301"/>
    <w:rsid w:val="00C44BD0"/>
    <w:rsid w:val="00C565DC"/>
    <w:rsid w:val="00C56E05"/>
    <w:rsid w:val="00C574C7"/>
    <w:rsid w:val="00C734B3"/>
    <w:rsid w:val="00C735C2"/>
    <w:rsid w:val="00C75527"/>
    <w:rsid w:val="00C7625C"/>
    <w:rsid w:val="00C7798C"/>
    <w:rsid w:val="00C81073"/>
    <w:rsid w:val="00C81901"/>
    <w:rsid w:val="00C84D0C"/>
    <w:rsid w:val="00C870ED"/>
    <w:rsid w:val="00C944E8"/>
    <w:rsid w:val="00C96A72"/>
    <w:rsid w:val="00C97B7C"/>
    <w:rsid w:val="00CB5794"/>
    <w:rsid w:val="00CB78C8"/>
    <w:rsid w:val="00CC581E"/>
    <w:rsid w:val="00CD1EE3"/>
    <w:rsid w:val="00CE5C76"/>
    <w:rsid w:val="00CE69BC"/>
    <w:rsid w:val="00CF3F97"/>
    <w:rsid w:val="00D02947"/>
    <w:rsid w:val="00D1108F"/>
    <w:rsid w:val="00D22169"/>
    <w:rsid w:val="00D27F8E"/>
    <w:rsid w:val="00D344D4"/>
    <w:rsid w:val="00D3532A"/>
    <w:rsid w:val="00D46D81"/>
    <w:rsid w:val="00D57FFC"/>
    <w:rsid w:val="00D61C1F"/>
    <w:rsid w:val="00D626D5"/>
    <w:rsid w:val="00D63D8B"/>
    <w:rsid w:val="00DA3D1B"/>
    <w:rsid w:val="00DB03A0"/>
    <w:rsid w:val="00DB6CD0"/>
    <w:rsid w:val="00DB7A35"/>
    <w:rsid w:val="00DC0A96"/>
    <w:rsid w:val="00DC58B3"/>
    <w:rsid w:val="00DD0FD3"/>
    <w:rsid w:val="00DD6FA0"/>
    <w:rsid w:val="00DE68A5"/>
    <w:rsid w:val="00DE762A"/>
    <w:rsid w:val="00DE775C"/>
    <w:rsid w:val="00DF4796"/>
    <w:rsid w:val="00E01193"/>
    <w:rsid w:val="00E01697"/>
    <w:rsid w:val="00E02A23"/>
    <w:rsid w:val="00E175FB"/>
    <w:rsid w:val="00E26DBC"/>
    <w:rsid w:val="00E274B3"/>
    <w:rsid w:val="00E27BAA"/>
    <w:rsid w:val="00E324B5"/>
    <w:rsid w:val="00E360C9"/>
    <w:rsid w:val="00E41016"/>
    <w:rsid w:val="00E42207"/>
    <w:rsid w:val="00E47569"/>
    <w:rsid w:val="00E55012"/>
    <w:rsid w:val="00E563F1"/>
    <w:rsid w:val="00E64B6C"/>
    <w:rsid w:val="00E75467"/>
    <w:rsid w:val="00E82F94"/>
    <w:rsid w:val="00E94CB2"/>
    <w:rsid w:val="00E95766"/>
    <w:rsid w:val="00EA0F0F"/>
    <w:rsid w:val="00EA54E2"/>
    <w:rsid w:val="00EA59AB"/>
    <w:rsid w:val="00EA6EB0"/>
    <w:rsid w:val="00EA7BA9"/>
    <w:rsid w:val="00EB2E58"/>
    <w:rsid w:val="00EC03DB"/>
    <w:rsid w:val="00EC4306"/>
    <w:rsid w:val="00EC5D6F"/>
    <w:rsid w:val="00EC73C6"/>
    <w:rsid w:val="00ED1327"/>
    <w:rsid w:val="00ED2BFC"/>
    <w:rsid w:val="00ED3DA7"/>
    <w:rsid w:val="00ED69E9"/>
    <w:rsid w:val="00EE0F2B"/>
    <w:rsid w:val="00EE3B9E"/>
    <w:rsid w:val="00F127DF"/>
    <w:rsid w:val="00F30B15"/>
    <w:rsid w:val="00F3265C"/>
    <w:rsid w:val="00F32A60"/>
    <w:rsid w:val="00F37225"/>
    <w:rsid w:val="00F40405"/>
    <w:rsid w:val="00F4159E"/>
    <w:rsid w:val="00F43E7B"/>
    <w:rsid w:val="00F46753"/>
    <w:rsid w:val="00F47A12"/>
    <w:rsid w:val="00F55BCD"/>
    <w:rsid w:val="00F570C7"/>
    <w:rsid w:val="00F60C7A"/>
    <w:rsid w:val="00F64364"/>
    <w:rsid w:val="00F80CE1"/>
    <w:rsid w:val="00F81EED"/>
    <w:rsid w:val="00F90538"/>
    <w:rsid w:val="00F918E8"/>
    <w:rsid w:val="00F9329F"/>
    <w:rsid w:val="00FA6096"/>
    <w:rsid w:val="00FA7627"/>
    <w:rsid w:val="00FB0DCE"/>
    <w:rsid w:val="00FB342E"/>
    <w:rsid w:val="00FD3B9C"/>
    <w:rsid w:val="00FD5ABE"/>
    <w:rsid w:val="00FD5F8C"/>
    <w:rsid w:val="00FE31AE"/>
    <w:rsid w:val="00FE51C8"/>
    <w:rsid w:val="00FE6DC5"/>
    <w:rsid w:val="00FE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AC8"/>
  <w15:docId w15:val="{7A29C1E4-4AA6-40EA-954B-9BD0D6C6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333106"/>
    <w:pPr>
      <w:keepNext/>
      <w:widowControl w:val="0"/>
      <w:numPr>
        <w:numId w:val="2"/>
      </w:numPr>
      <w:tabs>
        <w:tab w:val="left" w:pos="5040"/>
      </w:tabs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rsid w:val="00333106"/>
    <w:pPr>
      <w:keepNext/>
      <w:numPr>
        <w:ilvl w:val="1"/>
        <w:numId w:val="2"/>
      </w:numPr>
      <w:outlineLvl w:val="1"/>
    </w:pPr>
    <w:rPr>
      <w:rFonts w:ascii="Times New Roman" w:hAnsi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333106"/>
    <w:pPr>
      <w:keepNext/>
      <w:widowControl w:val="0"/>
      <w:numPr>
        <w:ilvl w:val="2"/>
        <w:numId w:val="2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333106"/>
    <w:pPr>
      <w:keepNext/>
      <w:widowControl w:val="0"/>
      <w:numPr>
        <w:ilvl w:val="3"/>
        <w:numId w:val="2"/>
      </w:numPr>
      <w:tabs>
        <w:tab w:val="center" w:pos="8496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310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310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310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3310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310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106"/>
    <w:rPr>
      <w:rFonts w:ascii="Arial" w:eastAsia="Times New Roman" w:hAnsi="Arial" w:cs="Times New Roman"/>
      <w:b/>
      <w:color w:val="000000"/>
      <w:sz w:val="24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33310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3106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s-AR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310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s-AR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310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331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3331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ES"/>
    </w:rPr>
  </w:style>
  <w:style w:type="paragraph" w:styleId="Textoindependiente">
    <w:name w:val="Body Text"/>
    <w:basedOn w:val="Normal"/>
    <w:link w:val="TextoindependienteCar"/>
    <w:rsid w:val="00333106"/>
    <w:pPr>
      <w:widowControl w:val="0"/>
      <w:jc w:val="both"/>
    </w:pPr>
    <w:rPr>
      <w:color w:val="000000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rsid w:val="00333106"/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paragraph" w:styleId="Encabezado">
    <w:name w:val="header"/>
    <w:basedOn w:val="Normal"/>
    <w:link w:val="EncabezadoCar"/>
    <w:rsid w:val="00333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Nmerodepgina">
    <w:name w:val="page number"/>
    <w:rsid w:val="00333106"/>
    <w:rPr>
      <w:sz w:val="20"/>
    </w:rPr>
  </w:style>
  <w:style w:type="paragraph" w:styleId="Piedepgina">
    <w:name w:val="footer"/>
    <w:basedOn w:val="Normal"/>
    <w:link w:val="PiedepginaCar"/>
    <w:rsid w:val="00333106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sid w:val="00333106"/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BodyText21">
    <w:name w:val="Body Text 21"/>
    <w:basedOn w:val="Normal"/>
    <w:rsid w:val="00333106"/>
    <w:pPr>
      <w:widowControl w:val="0"/>
      <w:jc w:val="both"/>
    </w:pPr>
  </w:style>
  <w:style w:type="paragraph" w:styleId="Sangradetextonormal">
    <w:name w:val="Body Text Indent"/>
    <w:basedOn w:val="Normal"/>
    <w:link w:val="SangradetextonormalCar"/>
    <w:rsid w:val="0033310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rrafodelistaCar"/>
    <w:uiPriority w:val="34"/>
    <w:qFormat/>
    <w:rsid w:val="00333106"/>
    <w:pPr>
      <w:ind w:left="708"/>
    </w:pPr>
  </w:style>
  <w:style w:type="paragraph" w:styleId="Sinespaciado">
    <w:name w:val="No Spacing"/>
    <w:uiPriority w:val="1"/>
    <w:qFormat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locked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7F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F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FFC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FFC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B6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jlqj4b">
    <w:name w:val="jlqj4b"/>
    <w:basedOn w:val="Fuentedeprrafopredeter"/>
    <w:rsid w:val="00260920"/>
  </w:style>
  <w:style w:type="paragraph" w:styleId="NormalWeb">
    <w:name w:val="Normal (Web)"/>
    <w:basedOn w:val="Normal"/>
    <w:uiPriority w:val="99"/>
    <w:semiHidden/>
    <w:unhideWhenUsed/>
    <w:rsid w:val="00BB2347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E41016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B6DB-6113-412B-A237-5976EEB9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1566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E. Lucena</dc:creator>
  <cp:lastModifiedBy>Marta Bolioli</cp:lastModifiedBy>
  <cp:revision>3</cp:revision>
  <dcterms:created xsi:type="dcterms:W3CDTF">2022-09-08T19:54:00Z</dcterms:created>
  <dcterms:modified xsi:type="dcterms:W3CDTF">2022-09-09T13:11:00Z</dcterms:modified>
</cp:coreProperties>
</file>