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470" w14:textId="77777777" w:rsidR="00953A65" w:rsidRPr="0006647E" w:rsidRDefault="00953A65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F03D8DB" w14:textId="77777777" w:rsidR="00CA11B8" w:rsidRDefault="00CA11B8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1A42DB84" w14:textId="23AD5A83" w:rsidR="003F1EFE" w:rsidRPr="00717E86" w:rsidRDefault="003F1EFE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717E86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MERCOSUR/CT N° 6/ACTA Nº 0</w:t>
      </w:r>
      <w:r w:rsidR="007B159A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3</w:t>
      </w:r>
      <w:r w:rsidRPr="00717E86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/2</w:t>
      </w:r>
      <w:r w:rsidR="00C62FA2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2</w:t>
      </w:r>
    </w:p>
    <w:p w14:paraId="11EC10F3" w14:textId="784FF38F" w:rsidR="003F1EFE" w:rsidRPr="00717E86" w:rsidRDefault="003F1EFE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ES"/>
        </w:rPr>
      </w:pPr>
    </w:p>
    <w:p w14:paraId="2E3F9FF3" w14:textId="77777777" w:rsidR="00953A65" w:rsidRPr="00717E86" w:rsidRDefault="00953A65" w:rsidP="000147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ES"/>
        </w:rPr>
      </w:pPr>
    </w:p>
    <w:p w14:paraId="28530462" w14:textId="2ACB3009" w:rsidR="003F1EFE" w:rsidRPr="0006647E" w:rsidRDefault="003F1EFE" w:rsidP="009842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XXX</w:t>
      </w:r>
      <w:r w:rsidR="007B159A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IX</w:t>
      </w: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REUNIÓN ORDINARIA DEL COMITÉ TÉCNICO </w:t>
      </w:r>
      <w:proofErr w:type="spellStart"/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Nº</w:t>
      </w:r>
      <w:proofErr w:type="spellEnd"/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6</w:t>
      </w:r>
    </w:p>
    <w:p w14:paraId="13DBEFBB" w14:textId="77777777" w:rsidR="003F1EFE" w:rsidRPr="0006647E" w:rsidRDefault="003F1EFE" w:rsidP="009842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ES"/>
        </w:rPr>
      </w:pPr>
      <w:r w:rsidRPr="0006647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“ESTADÍSTICAS DE COMERCIO EXTERIOR DEL MERCOSUR”</w:t>
      </w:r>
    </w:p>
    <w:p w14:paraId="10CBCF1D" w14:textId="77777777" w:rsidR="00953A65" w:rsidRPr="0006647E" w:rsidRDefault="00953A65" w:rsidP="0001471A">
      <w:pPr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  <w:lang w:val="es-UY" w:eastAsia="es-ES"/>
        </w:rPr>
      </w:pPr>
    </w:p>
    <w:p w14:paraId="4FA4459B" w14:textId="3965EFF5" w:rsidR="003F1EFE" w:rsidRPr="0006647E" w:rsidRDefault="00CB4C3E" w:rsidP="0001471A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</w:pP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Se realizó </w:t>
      </w:r>
      <w:r w:rsidR="006B18A2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entre 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los días </w:t>
      </w:r>
      <w:r w:rsidR="007B159A">
        <w:rPr>
          <w:rFonts w:ascii="Arial" w:eastAsia="Arial" w:hAnsi="Arial" w:cs="Arial"/>
          <w:sz w:val="24"/>
          <w:szCs w:val="24"/>
          <w:lang w:val="es-UY" w:eastAsia="es-ES"/>
        </w:rPr>
        <w:t>1</w:t>
      </w:r>
      <w:r w:rsidR="00C336A3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</w:t>
      </w:r>
      <w:r w:rsidR="00CA11B8">
        <w:rPr>
          <w:rFonts w:ascii="Arial" w:eastAsia="Arial" w:hAnsi="Arial" w:cs="Arial"/>
          <w:sz w:val="24"/>
          <w:szCs w:val="24"/>
          <w:lang w:val="es-UY" w:eastAsia="es-ES"/>
        </w:rPr>
        <w:t xml:space="preserve">y </w:t>
      </w:r>
      <w:r w:rsidR="00C336A3" w:rsidRPr="0006647E">
        <w:rPr>
          <w:rFonts w:ascii="Arial" w:eastAsia="Arial" w:hAnsi="Arial" w:cs="Arial"/>
          <w:sz w:val="24"/>
          <w:szCs w:val="24"/>
          <w:lang w:val="es-UY" w:eastAsia="es-ES"/>
        </w:rPr>
        <w:t>2 de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 xml:space="preserve"> </w:t>
      </w:r>
      <w:r w:rsidR="007B159A">
        <w:rPr>
          <w:rFonts w:ascii="Arial" w:eastAsia="Arial" w:hAnsi="Arial" w:cs="Arial"/>
          <w:sz w:val="24"/>
          <w:szCs w:val="24"/>
          <w:lang w:val="es-UY" w:eastAsia="es-ES"/>
        </w:rPr>
        <w:t>setiembre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de 202</w:t>
      </w:r>
      <w:r w:rsidR="00C62FA2">
        <w:rPr>
          <w:rFonts w:ascii="Arial" w:eastAsia="Arial" w:hAnsi="Arial" w:cs="Arial"/>
          <w:sz w:val="24"/>
          <w:szCs w:val="24"/>
          <w:lang w:val="es-UY" w:eastAsia="es-ES"/>
        </w:rPr>
        <w:t>2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>, e</w:t>
      </w:r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n ejercicio de la Presidencia </w:t>
      </w:r>
      <w:r w:rsidR="003F1EFE" w:rsidRPr="0006647E">
        <w:rPr>
          <w:rFonts w:ascii="Arial" w:eastAsia="Arial" w:hAnsi="Arial" w:cs="Arial"/>
          <w:i/>
          <w:iCs/>
          <w:sz w:val="24"/>
          <w:szCs w:val="24"/>
          <w:lang w:val="es-UY" w:eastAsia="es-ES"/>
        </w:rPr>
        <w:t>Pro Tempore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de </w:t>
      </w:r>
      <w:r w:rsidR="00F9150A">
        <w:rPr>
          <w:rFonts w:ascii="Arial" w:eastAsia="Arial" w:hAnsi="Arial" w:cs="Arial"/>
          <w:sz w:val="24"/>
          <w:szCs w:val="24"/>
          <w:lang w:val="es-UY" w:eastAsia="es-ES"/>
        </w:rPr>
        <w:t>Uruguay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>(PPT</w:t>
      </w:r>
      <w:r w:rsidR="007B159A">
        <w:rPr>
          <w:rFonts w:ascii="Arial" w:eastAsia="Arial" w:hAnsi="Arial" w:cs="Arial"/>
          <w:sz w:val="24"/>
          <w:szCs w:val="24"/>
          <w:lang w:val="es-UY" w:eastAsia="es-ES"/>
        </w:rPr>
        <w:t>U</w:t>
      </w:r>
      <w:r w:rsidR="00F547EF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), </w:t>
      </w:r>
      <w:r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la </w:t>
      </w:r>
      <w:r w:rsidRPr="0006647E">
        <w:rPr>
          <w:rFonts w:ascii="Arial" w:eastAsia="Times New Roman" w:hAnsi="Arial" w:cs="Arial"/>
          <w:sz w:val="24"/>
          <w:szCs w:val="24"/>
          <w:lang w:val="es-UY" w:eastAsia="es-ES"/>
        </w:rPr>
        <w:t>XXX</w:t>
      </w:r>
      <w:r w:rsidR="007B159A">
        <w:rPr>
          <w:rFonts w:ascii="Arial" w:eastAsia="Times New Roman" w:hAnsi="Arial" w:cs="Arial"/>
          <w:sz w:val="24"/>
          <w:szCs w:val="24"/>
          <w:lang w:val="es-UY" w:eastAsia="es-ES"/>
        </w:rPr>
        <w:t>IX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Reunión Ordinaria del Comité Técnico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6 “Estadísticas de Comercio Exterior del MERCOSUR” (CT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 xml:space="preserve"> 6), </w:t>
      </w:r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por medio del sistema de videoconferencia, conforme se establece en la Resolución GMC </w:t>
      </w:r>
      <w:proofErr w:type="spellStart"/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>N°</w:t>
      </w:r>
      <w:proofErr w:type="spellEnd"/>
      <w:r w:rsidR="003F1EFE" w:rsidRPr="0006647E">
        <w:rPr>
          <w:rFonts w:ascii="Arial" w:eastAsia="Arial" w:hAnsi="Arial" w:cs="Arial"/>
          <w:sz w:val="24"/>
          <w:szCs w:val="24"/>
          <w:lang w:val="es-UY" w:eastAsia="es-ES"/>
        </w:rPr>
        <w:t xml:space="preserve"> 19/12 “Reuniones por el sistema de videoconferencia”, </w:t>
      </w:r>
      <w:r w:rsidR="003F1EFE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 xml:space="preserve">con la presencia de las </w:t>
      </w:r>
      <w:r w:rsidR="00856AF4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>d</w:t>
      </w:r>
      <w:r w:rsidR="003F1EFE" w:rsidRPr="0006647E"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  <w:t>elegaciones de Argentina, Brasil, Paraguay, Uruguay y representantes de la SM/UTECEM.</w:t>
      </w:r>
    </w:p>
    <w:p w14:paraId="6C0F21D9" w14:textId="77777777" w:rsidR="003F1EFE" w:rsidRPr="0006647E" w:rsidRDefault="003F1EFE" w:rsidP="0001471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B927A2B" w14:textId="343F07FC" w:rsidR="003F1EFE" w:rsidRPr="0006647E" w:rsidRDefault="003F1EFE" w:rsidP="0001471A">
      <w:pPr>
        <w:tabs>
          <w:tab w:val="left" w:pos="452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zh-CN"/>
        </w:rPr>
      </w:pP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La apertura de la reunión estuvo a cargo de</w:t>
      </w:r>
      <w:r w:rsidR="00406807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</w:t>
      </w:r>
      <w:r w:rsidR="007B159A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Diego Fernández</w:t>
      </w:r>
      <w:r w:rsidRPr="00624F60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,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Coordinador Nacional del CT </w:t>
      </w:r>
      <w:proofErr w:type="spellStart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N°</w:t>
      </w:r>
      <w:proofErr w:type="spellEnd"/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6 en ejercicio de la PPT</w:t>
      </w:r>
      <w:r w:rsidR="007B159A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U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, quien dio </w:t>
      </w:r>
      <w:r w:rsidR="0061560B"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la </w:t>
      </w:r>
      <w:r w:rsidRPr="0006647E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bienvenida a las delegaciones</w:t>
      </w:r>
      <w:r w:rsidR="0061560B" w:rsidRPr="0006647E">
        <w:rPr>
          <w:rFonts w:ascii="Arial" w:eastAsia="Calibri" w:hAnsi="Arial" w:cs="Arial"/>
          <w:sz w:val="24"/>
          <w:szCs w:val="24"/>
          <w:lang w:val="es-UY" w:eastAsia="zh-CN"/>
        </w:rPr>
        <w:t xml:space="preserve"> </w:t>
      </w:r>
      <w:r w:rsidRPr="0006647E">
        <w:rPr>
          <w:rFonts w:ascii="Arial" w:eastAsia="Calibri" w:hAnsi="Arial" w:cs="Arial"/>
          <w:sz w:val="24"/>
          <w:szCs w:val="24"/>
          <w:lang w:val="es-UY" w:eastAsia="zh-CN"/>
        </w:rPr>
        <w:t>y puso a consideración la agenda de la reunión, la cual fue aprobada.</w:t>
      </w:r>
    </w:p>
    <w:p w14:paraId="5D6592AB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1CB89C2A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Lista de Participantes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714BBC44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</w:p>
    <w:p w14:paraId="018261B6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Agenda de la reunión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01EB30E7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36BFC0B9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El Resumen del Acta consta como </w:t>
      </w: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 III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>.</w:t>
      </w:r>
    </w:p>
    <w:p w14:paraId="48C56257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6BEA2517" w14:textId="77777777" w:rsidR="00624F60" w:rsidRDefault="00624F60" w:rsidP="00A846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48207257" w14:textId="0E5EF503" w:rsidR="003F1EFE" w:rsidRPr="0006647E" w:rsidRDefault="00CB4C3E" w:rsidP="00A846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Durante la </w:t>
      </w:r>
      <w:r w:rsidR="003F1EFE" w:rsidRPr="0006647E">
        <w:rPr>
          <w:rFonts w:ascii="Arial" w:eastAsia="Calibri" w:hAnsi="Arial" w:cs="Arial"/>
          <w:sz w:val="24"/>
          <w:szCs w:val="24"/>
          <w:lang w:val="es-UY"/>
        </w:rPr>
        <w:t>reunión fueron tratados los siguientes temas:</w:t>
      </w:r>
    </w:p>
    <w:p w14:paraId="18379621" w14:textId="77777777" w:rsidR="003B67E5" w:rsidRPr="0006647E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bookmarkStart w:id="1" w:name="_Hlk51063751"/>
    </w:p>
    <w:p w14:paraId="5372FCD6" w14:textId="4E445246" w:rsidR="003B67E5" w:rsidRPr="00B642DD" w:rsidRDefault="003B67E5" w:rsidP="00A62F9C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bookmarkStart w:id="2" w:name="_Hlk104478156"/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ESTADO </w:t>
      </w:r>
      <w:r w:rsidR="00937BD4"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DE</w:t>
      </w: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SUMINISTRO DE DATOS DE LOS PAÍSES, PARA LA BASE DE DATOS DE COMERCIO EXTERIOR DEL MERCOSUR</w:t>
      </w:r>
    </w:p>
    <w:p w14:paraId="5868EFBB" w14:textId="77777777" w:rsidR="00AC5DBE" w:rsidRPr="0006647E" w:rsidRDefault="00AC5DB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6A5593F" w14:textId="7CD78E22" w:rsidR="003B67E5" w:rsidRPr="00B40655" w:rsidRDefault="00AC5DBE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SM/UTECEM informó al CT </w:t>
      </w:r>
      <w:proofErr w:type="spellStart"/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6 que la base de datos de comercio exterior del MERCOSUR se encuentra actualizada</w:t>
      </w:r>
      <w:r w:rsidR="002025F4"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con datos de </w:t>
      </w:r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>Argentina</w:t>
      </w:r>
      <w:r w:rsidR="00FE0441" w:rsidRPr="00B40655">
        <w:rPr>
          <w:rFonts w:ascii="Arial" w:eastAsia="Times New Roman" w:hAnsi="Arial" w:cs="Arial"/>
          <w:sz w:val="24"/>
          <w:szCs w:val="24"/>
          <w:lang w:val="es-UY" w:eastAsia="es-ES"/>
        </w:rPr>
        <w:t>, Brasil</w:t>
      </w:r>
      <w:r w:rsidR="007B159A">
        <w:rPr>
          <w:rFonts w:ascii="Arial" w:eastAsia="Times New Roman" w:hAnsi="Arial" w:cs="Arial"/>
          <w:sz w:val="24"/>
          <w:szCs w:val="24"/>
          <w:lang w:val="es-UY" w:eastAsia="es-ES"/>
        </w:rPr>
        <w:t>,</w:t>
      </w:r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FE0441" w:rsidRPr="00B40655">
        <w:rPr>
          <w:rFonts w:ascii="Arial" w:eastAsia="Times New Roman" w:hAnsi="Arial" w:cs="Arial"/>
          <w:sz w:val="24"/>
          <w:szCs w:val="24"/>
          <w:lang w:val="es-UY" w:eastAsia="es-ES"/>
        </w:rPr>
        <w:t>Paraguay</w:t>
      </w:r>
      <w:r w:rsidR="00B8042D"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A068E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y </w:t>
      </w:r>
      <w:r w:rsidR="007B159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Uruguay </w:t>
      </w:r>
      <w:r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hasta </w:t>
      </w:r>
      <w:r w:rsidR="007B159A">
        <w:rPr>
          <w:rFonts w:ascii="Arial" w:eastAsia="Times New Roman" w:hAnsi="Arial" w:cs="Arial"/>
          <w:sz w:val="24"/>
          <w:szCs w:val="24"/>
          <w:lang w:val="es-UY" w:eastAsia="es-ES"/>
        </w:rPr>
        <w:t>julio</w:t>
      </w:r>
      <w:r w:rsidR="00C62FA2" w:rsidRPr="00B4065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9251D0" w:rsidRPr="00B40655">
        <w:rPr>
          <w:rFonts w:ascii="Arial" w:eastAsia="Times New Roman" w:hAnsi="Arial" w:cs="Arial"/>
          <w:sz w:val="24"/>
          <w:szCs w:val="24"/>
          <w:lang w:val="es-UY" w:eastAsia="es-ES"/>
        </w:rPr>
        <w:t>del 202</w:t>
      </w:r>
      <w:r w:rsidR="00C62FA2" w:rsidRPr="00B40655">
        <w:rPr>
          <w:rFonts w:ascii="Arial" w:eastAsia="Times New Roman" w:hAnsi="Arial" w:cs="Arial"/>
          <w:sz w:val="24"/>
          <w:szCs w:val="24"/>
          <w:lang w:val="es-UY" w:eastAsia="es-ES"/>
        </w:rPr>
        <w:t>2</w:t>
      </w:r>
      <w:r w:rsidR="002F0AB4" w:rsidRPr="00B40655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7F310196" w14:textId="1616D3E0" w:rsidR="00FE0441" w:rsidRDefault="00FE0441" w:rsidP="0001471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7CC36CFC" w14:textId="61225297" w:rsidR="00156228" w:rsidRPr="00AD67F2" w:rsidRDefault="00156228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AD67F2">
        <w:rPr>
          <w:rFonts w:ascii="Arial" w:eastAsia="Times New Roman" w:hAnsi="Arial" w:cs="Arial"/>
          <w:sz w:val="24"/>
          <w:szCs w:val="24"/>
          <w:lang w:val="es-UY" w:eastAsia="es-ES"/>
        </w:rPr>
        <w:t>Las delegaciones realizaron comentarios sobre lo informado por la SM/UTECEM</w:t>
      </w:r>
      <w:r w:rsidR="00AD67F2" w:rsidRPr="00AD67F2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6F5BD563" w14:textId="311635D2" w:rsidR="00853E34" w:rsidRDefault="00853E34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F96B563" w14:textId="77777777" w:rsidR="00F31669" w:rsidRPr="00B642DD" w:rsidRDefault="00F31669" w:rsidP="00F31669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SITUACIÓN ACTUAL DEL SISTEMA DE ESTADÍSTICAS DE COMERCIO EXTERIOR DEL MERCOSUR (SECEM)</w:t>
      </w:r>
    </w:p>
    <w:p w14:paraId="53B9A39B" w14:textId="77777777" w:rsidR="00F31669" w:rsidRDefault="00F31669" w:rsidP="00F316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13C648E7" w14:textId="6EC659AE" w:rsidR="00F31669" w:rsidRPr="00790BC6" w:rsidRDefault="00F31669" w:rsidP="00F31669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790BC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Con relación a la situación actual del SECEM (público), la SM/UTECEM presentó el estado de utilización del sistema, actualizado al mes de </w:t>
      </w:r>
      <w:r w:rsidR="007B159A" w:rsidRPr="00790BC6">
        <w:rPr>
          <w:rFonts w:ascii="Arial" w:eastAsia="Times New Roman" w:hAnsi="Arial" w:cs="Arial"/>
          <w:sz w:val="24"/>
          <w:szCs w:val="24"/>
          <w:lang w:val="es-UY" w:eastAsia="es-ES"/>
        </w:rPr>
        <w:t>agosto</w:t>
      </w:r>
      <w:r w:rsidR="00FE0441" w:rsidRPr="00790BC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Pr="00790BC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2022. El documento consta como </w:t>
      </w:r>
      <w:r w:rsidRPr="00790BC6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C11DDE" w:rsidRPr="00790BC6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</w:t>
      </w:r>
      <w:r w:rsidRPr="00790BC6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V</w:t>
      </w:r>
      <w:r w:rsidRPr="00790BC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38E7865B" w14:textId="77777777" w:rsidR="00F31669" w:rsidRPr="00790BC6" w:rsidRDefault="00F31669" w:rsidP="00F31669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2970772" w14:textId="77777777" w:rsidR="009967BA" w:rsidRPr="00790BC6" w:rsidRDefault="009967BA" w:rsidP="009967BA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>Al respecto, las delegaciones agradecieron la presentación a la SM/UTECEM y realizaron consultas sobre las estadísticas de uso del SECEM.</w:t>
      </w:r>
    </w:p>
    <w:p w14:paraId="045A0CE4" w14:textId="77777777" w:rsidR="00FE59F7" w:rsidRDefault="00FE59F7" w:rsidP="00F31669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E72A7A8" w14:textId="77777777" w:rsidR="00F31669" w:rsidRDefault="00F31669" w:rsidP="00F31669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124B8512" w14:textId="085B37A7" w:rsidR="003B67E5" w:rsidRPr="00B642DD" w:rsidRDefault="003B67E5" w:rsidP="00A62F9C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REVISIÓN Y ACTUALIZACIÓN DEL MANUAL PARA EL SUMINISTRO Y TRATAMIENTO UNIFORME DE LOS DATOS DE COMERCIO EXTERIOR DEL MERCOSUR</w:t>
      </w:r>
    </w:p>
    <w:p w14:paraId="763CCB8B" w14:textId="46BC7346" w:rsidR="003B67E5" w:rsidRDefault="003B67E5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B8D8930" w14:textId="0248A6D6" w:rsidR="009967BA" w:rsidRPr="00DB2682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1E74DC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SM/UTECEM informó que, si bien el Manual para el suministro y tratamiento uniforme de los datos de comercio exterior del MERCOSUR continúa en revisión, el mismo se actualizará teniendo en cuenta los requerimientos del nuevo SECEM y los formularios relacionados con </w:t>
      </w:r>
      <w:r w:rsidR="0045702F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Pr="1E74DC74">
        <w:rPr>
          <w:rFonts w:ascii="Arial" w:eastAsia="Times New Roman" w:hAnsi="Arial" w:cs="Arial"/>
          <w:sz w:val="24"/>
          <w:szCs w:val="24"/>
          <w:lang w:val="es-ES" w:eastAsia="es-ES"/>
        </w:rPr>
        <w:t>as Estadísticas del Comercio Internacional de Mercancías (ECIM 2010).</w:t>
      </w:r>
    </w:p>
    <w:p w14:paraId="3FD4CF87" w14:textId="77777777" w:rsidR="009967BA" w:rsidRPr="00624F60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2A46C2" w14:textId="77777777" w:rsidR="009967BA" w:rsidRPr="00624F60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24F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delegaciones intercambiaron comentarios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la SM/UTECEM </w:t>
      </w:r>
      <w:r w:rsidRPr="00624F60">
        <w:rPr>
          <w:rFonts w:ascii="Arial" w:eastAsia="Times New Roman" w:hAnsi="Arial" w:cs="Arial"/>
          <w:sz w:val="24"/>
          <w:szCs w:val="24"/>
          <w:lang w:val="es-ES" w:eastAsia="es-ES"/>
        </w:rPr>
        <w:t>sobre los temas presentados.</w:t>
      </w:r>
    </w:p>
    <w:p w14:paraId="0AE95CB8" w14:textId="77777777" w:rsidR="009967BA" w:rsidRPr="00624F60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6A2F6" w14:textId="77777777" w:rsidR="009967BA" w:rsidRPr="00AD67F2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1E74DC74">
        <w:rPr>
          <w:rFonts w:ascii="Arial" w:eastAsia="Times New Roman" w:hAnsi="Arial" w:cs="Arial"/>
          <w:sz w:val="24"/>
          <w:szCs w:val="24"/>
          <w:lang w:val="es-ES" w:eastAsia="es-ES"/>
        </w:rPr>
        <w:t>El tema continúa en Agenda.</w:t>
      </w:r>
    </w:p>
    <w:p w14:paraId="7B98344C" w14:textId="3C732C2F" w:rsidR="00F675C8" w:rsidRPr="0006647E" w:rsidRDefault="00F675C8" w:rsidP="0001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C86F9E1" w14:textId="77777777" w:rsidR="00F31669" w:rsidRPr="002A025B" w:rsidRDefault="00F31669" w:rsidP="00F31669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2A025B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INTERCAMBIO DE METADATOS E INFORMES METODOLÓGICOS</w:t>
      </w:r>
    </w:p>
    <w:p w14:paraId="212D0515" w14:textId="77777777" w:rsidR="00F31669" w:rsidRDefault="00F31669" w:rsidP="00F316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14:paraId="6AB5BEC2" w14:textId="27D25CC3" w:rsidR="009967BA" w:rsidRPr="00790BC6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>La SM/UTECEM presentó un consolidado que contiene información sobre los formularios correspondientes a los capítulos II, III</w:t>
      </w:r>
      <w:r>
        <w:rPr>
          <w:rFonts w:ascii="Arial" w:eastAsia="Calibri" w:hAnsi="Arial" w:cs="Arial"/>
          <w:sz w:val="24"/>
          <w:szCs w:val="24"/>
          <w:lang w:val="es-ES" w:eastAsia="es-ES"/>
        </w:rPr>
        <w:t>,</w:t>
      </w:r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 xml:space="preserve"> IV</w:t>
      </w:r>
      <w:r>
        <w:rPr>
          <w:rFonts w:ascii="Arial" w:eastAsia="Calibri" w:hAnsi="Arial" w:cs="Arial"/>
          <w:sz w:val="24"/>
          <w:szCs w:val="24"/>
          <w:lang w:val="es-ES" w:eastAsia="es-ES"/>
        </w:rPr>
        <w:t>, V y VI</w:t>
      </w:r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>. Asimismo, presentó un relevamiento s</w:t>
      </w:r>
      <w:bookmarkStart w:id="3" w:name="_Hlk112931786"/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>obre los Formularios de las Estadísticas del Comercio Internacional de Mercancías (ECIM 2010)</w:t>
      </w:r>
      <w:bookmarkEnd w:id="3"/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 xml:space="preserve"> enviados por los Estados Parte del MERCOSUR</w:t>
      </w:r>
      <w:r w:rsidR="0045702F">
        <w:rPr>
          <w:rFonts w:ascii="Arial" w:eastAsia="Calibri" w:hAnsi="Arial" w:cs="Arial"/>
          <w:sz w:val="24"/>
          <w:szCs w:val="24"/>
          <w:lang w:val="es-ES" w:eastAsia="es-ES"/>
        </w:rPr>
        <w:t>.</w:t>
      </w:r>
      <w:r w:rsidRPr="00502FA7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  <w:r w:rsidRPr="00790BC6">
        <w:rPr>
          <w:rFonts w:ascii="Arial" w:eastAsia="Calibri" w:hAnsi="Arial" w:cs="Arial"/>
          <w:sz w:val="24"/>
          <w:szCs w:val="24"/>
          <w:lang w:val="es-ES" w:eastAsia="es-ES"/>
        </w:rPr>
        <w:t>(</w:t>
      </w:r>
      <w:r w:rsidRPr="00790BC6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Anexos V y VI – RESERVADOS</w:t>
      </w:r>
      <w:r w:rsidRPr="00790BC6">
        <w:rPr>
          <w:rFonts w:ascii="Arial" w:eastAsia="Calibri" w:hAnsi="Arial" w:cs="Arial"/>
          <w:sz w:val="24"/>
          <w:szCs w:val="24"/>
          <w:lang w:val="es-ES" w:eastAsia="es-ES"/>
        </w:rPr>
        <w:t>)</w:t>
      </w:r>
    </w:p>
    <w:p w14:paraId="596415FB" w14:textId="77777777" w:rsidR="009967BA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14:paraId="6FAC2189" w14:textId="77777777" w:rsidR="009967BA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5E08F8">
        <w:rPr>
          <w:rFonts w:ascii="Arial" w:eastAsia="Calibri" w:hAnsi="Arial" w:cs="Arial"/>
          <w:sz w:val="24"/>
          <w:szCs w:val="24"/>
          <w:lang w:val="es-UY" w:eastAsia="es-ES"/>
        </w:rPr>
        <w:t>Las delegaciones agradecieron la presentación y destacaron la importancia de seguir avanzando en el tema.</w:t>
      </w:r>
    </w:p>
    <w:p w14:paraId="398F7F6E" w14:textId="77777777" w:rsidR="009967BA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14:paraId="51185FC6" w14:textId="1402B917" w:rsidR="009967BA" w:rsidRPr="00B40655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>
        <w:rPr>
          <w:rFonts w:ascii="Arial" w:eastAsia="Calibri" w:hAnsi="Arial" w:cs="Arial"/>
          <w:sz w:val="24"/>
          <w:szCs w:val="24"/>
          <w:lang w:val="es-ES" w:eastAsia="es-ES"/>
        </w:rPr>
        <w:t xml:space="preserve">La </w:t>
      </w:r>
      <w:r w:rsidR="00A068EE">
        <w:rPr>
          <w:rFonts w:ascii="Arial" w:eastAsia="Calibri" w:hAnsi="Arial" w:cs="Arial"/>
          <w:sz w:val="24"/>
          <w:szCs w:val="24"/>
          <w:lang w:val="es-ES" w:eastAsia="es-ES"/>
        </w:rPr>
        <w:t>SM/</w:t>
      </w:r>
      <w:r>
        <w:rPr>
          <w:rFonts w:ascii="Arial" w:eastAsia="Calibri" w:hAnsi="Arial" w:cs="Arial"/>
          <w:sz w:val="24"/>
          <w:szCs w:val="24"/>
          <w:lang w:val="es-ES" w:eastAsia="es-ES"/>
        </w:rPr>
        <w:t>UTECEM</w:t>
      </w:r>
      <w:r w:rsidRPr="5CED9831">
        <w:rPr>
          <w:rFonts w:ascii="Arial" w:eastAsia="Calibri" w:hAnsi="Arial" w:cs="Arial"/>
          <w:sz w:val="24"/>
          <w:szCs w:val="24"/>
          <w:lang w:val="es-ES" w:eastAsia="es-ES"/>
        </w:rPr>
        <w:t xml:space="preserve"> inform</w:t>
      </w:r>
      <w:r>
        <w:rPr>
          <w:rFonts w:ascii="Arial" w:eastAsia="Calibri" w:hAnsi="Arial" w:cs="Arial"/>
          <w:sz w:val="24"/>
          <w:szCs w:val="24"/>
          <w:lang w:val="es-ES" w:eastAsia="es-ES"/>
        </w:rPr>
        <w:t>ó</w:t>
      </w:r>
      <w:r w:rsidRPr="5CED9831">
        <w:rPr>
          <w:rFonts w:ascii="Arial" w:eastAsia="Calibri" w:hAnsi="Arial" w:cs="Arial"/>
          <w:sz w:val="24"/>
          <w:szCs w:val="24"/>
          <w:lang w:val="es-ES" w:eastAsia="es-ES"/>
        </w:rPr>
        <w:t xml:space="preserve"> que, hasta la presente fecha, recibió los formularios correspondientes a los capítulos V</w:t>
      </w:r>
      <w:r>
        <w:rPr>
          <w:rFonts w:ascii="Arial" w:eastAsia="Calibri" w:hAnsi="Arial" w:cs="Arial"/>
          <w:sz w:val="24"/>
          <w:szCs w:val="24"/>
          <w:lang w:val="es-ES" w:eastAsia="es-ES"/>
        </w:rPr>
        <w:t>II</w:t>
      </w:r>
      <w:r w:rsidRPr="5CED9831">
        <w:rPr>
          <w:rFonts w:ascii="Arial" w:eastAsia="Calibri" w:hAnsi="Arial" w:cs="Arial"/>
          <w:sz w:val="24"/>
          <w:szCs w:val="24"/>
          <w:lang w:val="es-ES" w:eastAsia="es-ES"/>
        </w:rPr>
        <w:t xml:space="preserve"> y VI</w:t>
      </w:r>
      <w:r>
        <w:rPr>
          <w:rFonts w:ascii="Arial" w:eastAsia="Calibri" w:hAnsi="Arial" w:cs="Arial"/>
          <w:sz w:val="24"/>
          <w:szCs w:val="24"/>
          <w:lang w:val="es-ES" w:eastAsia="es-ES"/>
        </w:rPr>
        <w:t>II</w:t>
      </w:r>
      <w:r w:rsidRPr="5CED9831">
        <w:rPr>
          <w:rFonts w:ascii="Arial" w:eastAsia="Calibri" w:hAnsi="Arial" w:cs="Arial"/>
          <w:sz w:val="24"/>
          <w:szCs w:val="24"/>
          <w:lang w:val="es-ES" w:eastAsia="es-ES"/>
        </w:rPr>
        <w:t xml:space="preserve"> por </w:t>
      </w:r>
      <w:r>
        <w:rPr>
          <w:rFonts w:ascii="Arial" w:eastAsia="Calibri" w:hAnsi="Arial" w:cs="Arial"/>
          <w:sz w:val="24"/>
          <w:szCs w:val="24"/>
          <w:lang w:val="es-ES" w:eastAsia="es-ES"/>
        </w:rPr>
        <w:t>los Estados Parte.</w:t>
      </w:r>
    </w:p>
    <w:p w14:paraId="2F1F0D57" w14:textId="77777777" w:rsidR="009967BA" w:rsidRPr="00B40655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14:paraId="554F9759" w14:textId="2671F10B" w:rsidR="009967BA" w:rsidRPr="00B40655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B40655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acordaron completar los formularios correspondientes a los capítulos </w:t>
      </w:r>
      <w:r>
        <w:rPr>
          <w:rFonts w:ascii="Arial" w:eastAsia="Calibri" w:hAnsi="Arial" w:cs="Arial"/>
          <w:sz w:val="24"/>
          <w:szCs w:val="24"/>
          <w:lang w:val="es-UY" w:eastAsia="es-ES"/>
        </w:rPr>
        <w:t>IX,</w:t>
      </w:r>
      <w:r w:rsidRPr="00B40655"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UY" w:eastAsia="es-ES"/>
        </w:rPr>
        <w:t>X</w:t>
      </w:r>
      <w:r w:rsidRPr="00B40655">
        <w:rPr>
          <w:rFonts w:ascii="Arial" w:eastAsia="Calibri" w:hAnsi="Arial" w:cs="Arial"/>
          <w:sz w:val="24"/>
          <w:szCs w:val="24"/>
          <w:lang w:val="es-UY" w:eastAsia="es-ES"/>
        </w:rPr>
        <w:t xml:space="preserve"> y </w:t>
      </w:r>
      <w:r>
        <w:rPr>
          <w:rFonts w:ascii="Arial" w:eastAsia="Calibri" w:hAnsi="Arial" w:cs="Arial"/>
          <w:sz w:val="24"/>
          <w:szCs w:val="24"/>
          <w:lang w:val="es-UY" w:eastAsia="es-ES"/>
        </w:rPr>
        <w:t xml:space="preserve">XI </w:t>
      </w:r>
      <w:r w:rsidR="00A068EE">
        <w:rPr>
          <w:rFonts w:ascii="Arial" w:eastAsia="Calibri" w:hAnsi="Arial" w:cs="Arial"/>
          <w:sz w:val="24"/>
          <w:szCs w:val="24"/>
          <w:lang w:val="es-UY" w:eastAsia="es-ES"/>
        </w:rPr>
        <w:t xml:space="preserve">y </w:t>
      </w:r>
      <w:r w:rsidRPr="00B40655">
        <w:rPr>
          <w:rFonts w:ascii="Arial" w:eastAsia="Calibri" w:hAnsi="Arial" w:cs="Arial"/>
          <w:sz w:val="24"/>
          <w:szCs w:val="24"/>
          <w:lang w:val="es-UY" w:eastAsia="es-ES"/>
        </w:rPr>
        <w:t>enviar</w:t>
      </w:r>
      <w:r w:rsidR="00A068EE">
        <w:rPr>
          <w:rFonts w:ascii="Arial" w:eastAsia="Calibri" w:hAnsi="Arial" w:cs="Arial"/>
          <w:sz w:val="24"/>
          <w:szCs w:val="24"/>
          <w:lang w:val="es-UY" w:eastAsia="es-ES"/>
        </w:rPr>
        <w:t>an</w:t>
      </w:r>
      <w:r w:rsidRPr="00B40655">
        <w:rPr>
          <w:rFonts w:ascii="Arial" w:eastAsia="Calibri" w:hAnsi="Arial" w:cs="Arial"/>
          <w:sz w:val="24"/>
          <w:szCs w:val="24"/>
          <w:lang w:val="es-UY" w:eastAsia="es-ES"/>
        </w:rPr>
        <w:t xml:space="preserve"> a la SM/UTECEM antes de su próxima reunión ordinaria. </w:t>
      </w:r>
    </w:p>
    <w:p w14:paraId="696E1BE1" w14:textId="77777777" w:rsidR="009967BA" w:rsidRPr="00B40655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32DDF90B" w14:textId="13FF8F75" w:rsidR="009A40F1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>La SM/UTECEM continuará realizando el relevamiento y la consolidación de los formularios de los capítulos restantes y enviará por email el relevamiento s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obre los </w:t>
      </w:r>
      <w:r w:rsidR="007A203A">
        <w:rPr>
          <w:rFonts w:ascii="Arial" w:eastAsia="Calibri" w:hAnsi="Arial" w:cs="Arial"/>
          <w:sz w:val="24"/>
          <w:szCs w:val="24"/>
          <w:lang w:val="es-ES" w:eastAsia="es-ES"/>
        </w:rPr>
        <w:t>f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ormularios 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>correspondientes a los capítulos II al VIII para su revisión y análisis por parte de las delegaciones para intercambiar impresiones en la próxima reunión.</w:t>
      </w:r>
    </w:p>
    <w:p w14:paraId="2DE16D7E" w14:textId="3C325609" w:rsidR="009A40F1" w:rsidRDefault="009A40F1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721B7A3F" w14:textId="76FD6EB8" w:rsidR="009A40F1" w:rsidRDefault="009A40F1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738D6E38" w14:textId="13CA5168" w:rsidR="009967BA" w:rsidRDefault="009967BA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53A1CE62" w14:textId="77777777" w:rsidR="009967BA" w:rsidRDefault="009967BA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2D547E85" w14:textId="77777777" w:rsidR="009A40F1" w:rsidRDefault="009A40F1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01D39EE4" w14:textId="40208EE2" w:rsidR="005154B3" w:rsidRPr="00987B48" w:rsidRDefault="005154B3" w:rsidP="005154B3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lastRenderedPageBreak/>
        <w:t>ESTADÍSTICAS BILATERALES 2021</w:t>
      </w:r>
    </w:p>
    <w:p w14:paraId="00F26DDF" w14:textId="6F6DAE7E" w:rsidR="005154B3" w:rsidRDefault="005154B3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411E1C32" w14:textId="342C3E96" w:rsidR="009967BA" w:rsidRPr="00A518DB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A518DB">
        <w:rPr>
          <w:rFonts w:ascii="Arial" w:eastAsia="Calibri" w:hAnsi="Arial" w:cs="Arial"/>
          <w:sz w:val="24"/>
          <w:szCs w:val="24"/>
          <w:lang w:val="es-UY" w:eastAsia="es-ES"/>
        </w:rPr>
        <w:t xml:space="preserve">La delegación </w:t>
      </w:r>
      <w:r>
        <w:rPr>
          <w:rFonts w:ascii="Arial" w:eastAsia="Calibri" w:hAnsi="Arial" w:cs="Arial"/>
          <w:sz w:val="24"/>
          <w:szCs w:val="24"/>
          <w:lang w:val="es-UY" w:eastAsia="es-ES"/>
        </w:rPr>
        <w:t xml:space="preserve">de Paraguay </w:t>
      </w:r>
      <w:r w:rsidRPr="00A518DB">
        <w:rPr>
          <w:rFonts w:ascii="Arial" w:eastAsia="Calibri" w:hAnsi="Arial" w:cs="Arial"/>
          <w:sz w:val="24"/>
          <w:szCs w:val="24"/>
          <w:lang w:val="es-UY" w:eastAsia="es-ES"/>
        </w:rPr>
        <w:t>realizó una presentación sobre el análisis de sus estadísticas bilaterales 2021 con cada uno de los Estados Parte. (</w:t>
      </w:r>
      <w:r w:rsidRPr="00A518DB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 xml:space="preserve">Anexo </w:t>
      </w:r>
      <w:r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VII</w:t>
      </w:r>
      <w:r w:rsidRPr="00A518DB">
        <w:rPr>
          <w:rFonts w:ascii="Arial" w:eastAsia="Calibri" w:hAnsi="Arial" w:cs="Arial"/>
          <w:sz w:val="24"/>
          <w:szCs w:val="24"/>
          <w:lang w:val="es-UY" w:eastAsia="es-ES"/>
        </w:rPr>
        <w:t>)</w:t>
      </w:r>
    </w:p>
    <w:p w14:paraId="3B2C6FB3" w14:textId="77777777" w:rsidR="009967BA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UY" w:eastAsia="es-ES"/>
        </w:rPr>
      </w:pPr>
    </w:p>
    <w:p w14:paraId="32C5EF15" w14:textId="77777777" w:rsidR="009967BA" w:rsidRDefault="009967BA" w:rsidP="009967B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>Las delegaciones agradecieron la presentación detallada del informe y realizaron comentarios al respecto. Además, destacaron la importancia del análisis de las estadísticas bilaterales, el cual resulta de gran utilidad para mejorar el registro de los datos de cada país.</w:t>
      </w:r>
    </w:p>
    <w:p w14:paraId="16900DFC" w14:textId="77777777" w:rsidR="00A518DB" w:rsidRPr="009A40F1" w:rsidRDefault="00A518DB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UY" w:eastAsia="es-ES"/>
        </w:rPr>
      </w:pPr>
    </w:p>
    <w:p w14:paraId="21212FB7" w14:textId="77777777" w:rsidR="005645B3" w:rsidRPr="0009573D" w:rsidRDefault="005645B3" w:rsidP="5CED983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14:paraId="7FEFB161" w14:textId="290F931D" w:rsidR="002925C0" w:rsidRPr="00987B48" w:rsidRDefault="002925C0" w:rsidP="002925C0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987B48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INFORME TÉCNICO DE COMERCIO EXTERIOR DEL MERCOSUR 202</w:t>
      </w:r>
      <w:r w:rsidR="005154B3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2 1er SEMESTRE</w:t>
      </w:r>
      <w:r w:rsidR="007A203A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(PRELIMINAR)</w:t>
      </w:r>
    </w:p>
    <w:p w14:paraId="2974CB47" w14:textId="77777777" w:rsidR="002925C0" w:rsidRPr="00717E86" w:rsidRDefault="002925C0" w:rsidP="002925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4F470161" w14:textId="5A7154BD" w:rsidR="009967BA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La SM/UTECEM presentó </w:t>
      </w:r>
      <w:r w:rsidR="0002574A">
        <w:rPr>
          <w:rFonts w:ascii="Arial" w:eastAsia="Calibri" w:hAnsi="Arial" w:cs="Arial"/>
          <w:sz w:val="24"/>
          <w:szCs w:val="24"/>
          <w:lang w:val="es-UY" w:eastAsia="es-ES"/>
        </w:rPr>
        <w:t>el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 informe técnico del comercio exterior del MERCOSUR 2022 - 1er semestre (preliminar) y que consta como </w:t>
      </w:r>
      <w:r w:rsidRPr="1E74DC74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 xml:space="preserve">Anexo </w:t>
      </w:r>
      <w:r w:rsidRPr="0002574A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VIII</w:t>
      </w:r>
      <w:r w:rsidR="0002574A">
        <w:rPr>
          <w:rFonts w:ascii="Arial" w:eastAsia="Calibri" w:hAnsi="Arial" w:cs="Arial"/>
          <w:b/>
          <w:bCs/>
          <w:sz w:val="24"/>
          <w:szCs w:val="24"/>
          <w:lang w:val="es-UY" w:eastAsia="es-ES"/>
        </w:rPr>
        <w:t>.</w:t>
      </w:r>
    </w:p>
    <w:p w14:paraId="720CC1B9" w14:textId="77777777" w:rsidR="009967BA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294E66A6" w14:textId="2858F0C5" w:rsidR="00D20449" w:rsidRPr="0054081E" w:rsidRDefault="009967BA" w:rsidP="00D20449">
      <w:pPr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UY" w:eastAsia="es-ES"/>
        </w:rPr>
      </w:pPr>
      <w:r w:rsidRPr="005154B3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</w:t>
      </w:r>
      <w:r w:rsidR="0002574A">
        <w:rPr>
          <w:rFonts w:ascii="Arial" w:eastAsia="Calibri" w:hAnsi="Arial" w:cs="Arial"/>
          <w:sz w:val="24"/>
          <w:szCs w:val="24"/>
          <w:lang w:val="es-UY" w:eastAsia="es-ES"/>
        </w:rPr>
        <w:t xml:space="preserve">por </w:t>
      </w:r>
      <w:r w:rsidRPr="005154B3">
        <w:rPr>
          <w:rFonts w:ascii="Arial" w:eastAsia="Calibri" w:hAnsi="Arial" w:cs="Arial"/>
          <w:sz w:val="24"/>
          <w:szCs w:val="24"/>
          <w:lang w:val="es-UY" w:eastAsia="es-ES"/>
        </w:rPr>
        <w:t xml:space="preserve">la </w:t>
      </w:r>
      <w:r w:rsidR="0054081E">
        <w:rPr>
          <w:rFonts w:ascii="Arial" w:eastAsia="Calibri" w:hAnsi="Arial" w:cs="Arial"/>
          <w:sz w:val="24"/>
          <w:szCs w:val="24"/>
          <w:lang w:val="es-UY" w:eastAsia="es-ES"/>
        </w:rPr>
        <w:t xml:space="preserve">presentación </w:t>
      </w:r>
      <w:r w:rsidR="0002574A">
        <w:rPr>
          <w:rFonts w:ascii="Arial" w:eastAsia="Calibri" w:hAnsi="Arial" w:cs="Arial"/>
          <w:sz w:val="24"/>
          <w:szCs w:val="24"/>
          <w:lang w:val="es-UY" w:eastAsia="es-ES"/>
        </w:rPr>
        <w:t xml:space="preserve">y </w:t>
      </w:r>
      <w:r w:rsidR="00D20449" w:rsidRPr="001318D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comentaron </w:t>
      </w:r>
      <w:r w:rsidR="0054081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que el informe </w:t>
      </w:r>
      <w:r w:rsidR="0002574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puede contemplar estadísticas en otras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>clasificaciones</w:t>
      </w:r>
      <w:r w:rsidR="0002574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, </w:t>
      </w:r>
      <w:r w:rsidR="00D2044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tales como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</w:t>
      </w:r>
      <w:r w:rsidR="00D20449" w:rsidRPr="003F6579">
        <w:rPr>
          <w:rFonts w:ascii="Arial" w:eastAsia="Times New Roman" w:hAnsi="Arial" w:cs="Arial"/>
          <w:sz w:val="24"/>
          <w:szCs w:val="24"/>
          <w:lang w:val="es-UY" w:eastAsia="es-ES"/>
        </w:rPr>
        <w:t>Clasificación Central de Productos (CPC)</w:t>
      </w:r>
      <w:r w:rsidR="0002574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o</w:t>
      </w:r>
      <w:r w:rsidR="00D2044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</w:t>
      </w:r>
      <w:r w:rsidR="00D20449" w:rsidRPr="00D26634">
        <w:rPr>
          <w:rFonts w:ascii="Arial" w:eastAsia="Times New Roman" w:hAnsi="Arial" w:cs="Arial"/>
          <w:sz w:val="24"/>
          <w:szCs w:val="24"/>
          <w:lang w:val="es-UY" w:eastAsia="es-ES"/>
        </w:rPr>
        <w:t>Clasificación Uniforme para el Comercio Internacional (CUCI)</w:t>
      </w:r>
      <w:r w:rsidR="0002574A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3FC4C2AD" w14:textId="77777777" w:rsidR="00D20449" w:rsidRPr="005B0C7F" w:rsidRDefault="00D20449" w:rsidP="00D20449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val="es-UY" w:eastAsia="es-ES"/>
        </w:rPr>
      </w:pPr>
    </w:p>
    <w:p w14:paraId="7A6D2E8D" w14:textId="6D9EFF02" w:rsidR="00D20449" w:rsidRPr="00D26634" w:rsidRDefault="00D20449" w:rsidP="00D20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Uruguay informó que enviará por email la correspondencia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>entre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NCM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>y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adaptación de la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CPC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499FD0E8" w14:textId="77777777" w:rsidR="00D20449" w:rsidRPr="00D26634" w:rsidRDefault="00D20449" w:rsidP="00D20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31E2D86" w14:textId="32A84020" w:rsidR="00D20449" w:rsidRDefault="00D20449" w:rsidP="00D20449">
      <w:pPr>
        <w:spacing w:after="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val="es-UY" w:eastAsia="es-ES"/>
        </w:rPr>
      </w:pP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Argentina informó que enviará por email la correspondencia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>entre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NCM 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>y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CUCI</w:t>
      </w:r>
      <w:r w:rsidR="00DB47E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642EFC">
        <w:rPr>
          <w:rFonts w:ascii="Arial" w:eastAsia="Times New Roman" w:hAnsi="Arial" w:cs="Arial"/>
          <w:sz w:val="24"/>
          <w:szCs w:val="24"/>
          <w:lang w:val="es-UY" w:eastAsia="es-ES"/>
        </w:rPr>
        <w:t>entre otras clasificaciones</w:t>
      </w:r>
      <w:r w:rsidRPr="00D26634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0C1F56B7" w14:textId="77777777" w:rsidR="00D20449" w:rsidRDefault="00D20449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6D772830" w14:textId="4A0B6940" w:rsidR="0054081E" w:rsidRDefault="0054081E" w:rsidP="005408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5154B3">
        <w:rPr>
          <w:rFonts w:ascii="Arial" w:eastAsia="Calibri" w:hAnsi="Arial" w:cs="Arial"/>
          <w:sz w:val="24"/>
          <w:szCs w:val="24"/>
          <w:lang w:val="es-UY" w:eastAsia="es-ES"/>
        </w:rPr>
        <w:t>La SM/UTECEM informó que estará trabajando en el informe final</w:t>
      </w:r>
      <w:r w:rsidR="0002574A">
        <w:rPr>
          <w:rFonts w:ascii="Arial" w:eastAsia="Calibri" w:hAnsi="Arial" w:cs="Arial"/>
          <w:sz w:val="24"/>
          <w:szCs w:val="24"/>
          <w:lang w:val="es-UY" w:eastAsia="es-ES"/>
        </w:rPr>
        <w:t xml:space="preserve"> tomando en cuenta </w:t>
      </w:r>
      <w:r w:rsidR="005673FD">
        <w:rPr>
          <w:rFonts w:ascii="Arial" w:eastAsia="Calibri" w:hAnsi="Arial" w:cs="Arial"/>
          <w:sz w:val="24"/>
          <w:szCs w:val="24"/>
          <w:lang w:val="es-UY" w:eastAsia="es-ES"/>
        </w:rPr>
        <w:t xml:space="preserve">la sugerencia planteada, </w:t>
      </w:r>
      <w:r w:rsidRPr="005154B3">
        <w:rPr>
          <w:rFonts w:ascii="Arial" w:eastAsia="Calibri" w:hAnsi="Arial" w:cs="Arial"/>
          <w:sz w:val="24"/>
          <w:szCs w:val="24"/>
          <w:lang w:val="es-UY" w:eastAsia="es-ES"/>
        </w:rPr>
        <w:t>y remitirá por email a las delegaciones su nueva versión para su revisión, comentarios y posterior presentación en la próxima reunión.</w:t>
      </w:r>
    </w:p>
    <w:p w14:paraId="2DEDCBEB" w14:textId="5C00CE24" w:rsidR="005154B3" w:rsidRDefault="005154B3" w:rsidP="005154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5F11E6F" w14:textId="77777777" w:rsidR="009967BA" w:rsidRDefault="009967BA" w:rsidP="005154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439241A" w14:textId="77777777" w:rsidR="00C321B1" w:rsidRDefault="00C321B1" w:rsidP="00C321B1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C3E5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AVANCES EN LA MEJORA DEL SECEM Y OTRAS APLICACIONES ESTADÍSTICAS</w:t>
      </w:r>
    </w:p>
    <w:p w14:paraId="4F2ADCE0" w14:textId="77777777" w:rsidR="00C321B1" w:rsidRPr="005E08F8" w:rsidRDefault="00C321B1" w:rsidP="00C321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B1578A6" w14:textId="1EB6C3BF" w:rsidR="009967BA" w:rsidRPr="00D96013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La SM/UTECEM 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presentó una nueva sección implementada en la versión actual del SECEM, denominada “Cronograma de Publicación de Datos”. La referida sección permite a los usuarios conocer con anticipación las fechas previstas de publicación de los datos de comercio exterior de bienes, además </w:t>
      </w:r>
      <w:r w:rsidR="008C21FC">
        <w:rPr>
          <w:rFonts w:ascii="Arial" w:eastAsia="Calibri" w:hAnsi="Arial" w:cs="Arial"/>
          <w:sz w:val="24"/>
          <w:szCs w:val="24"/>
          <w:lang w:val="es-UY" w:eastAsia="es-ES"/>
        </w:rPr>
        <w:t>las fechas de recepción de la información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 y notas relevantes relacionadas con las series publicadas.</w:t>
      </w:r>
    </w:p>
    <w:p w14:paraId="01C27750" w14:textId="77777777" w:rsidR="009967BA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1C67E70C" w14:textId="3D89EF70" w:rsidR="009967BA" w:rsidRPr="00F34867" w:rsidRDefault="009967BA" w:rsidP="009967BA">
      <w:pPr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De igual forma, la SM/UTECEM presentó los avances en el desarrollo de la nueva versión del SECEM, destacando en esta oportunidad la propuesta de una serie de fichas para la publicación de indicadores </w:t>
      </w:r>
      <w:r w:rsidR="008C21FC">
        <w:rPr>
          <w:rFonts w:ascii="Arial" w:eastAsia="Calibri" w:hAnsi="Arial" w:cs="Arial"/>
          <w:sz w:val="24"/>
          <w:szCs w:val="24"/>
          <w:lang w:val="es-UY" w:eastAsia="es-ES"/>
        </w:rPr>
        <w:t xml:space="preserve">(sociales, económicos entre otros) 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relevantes de los Estados Parte. Asimismo, </w:t>
      </w:r>
      <w:r>
        <w:rPr>
          <w:rFonts w:ascii="Arial" w:eastAsia="Calibri" w:hAnsi="Arial" w:cs="Arial"/>
          <w:sz w:val="24"/>
          <w:szCs w:val="24"/>
          <w:lang w:val="es-UY" w:eastAsia="es-ES"/>
        </w:rPr>
        <w:t>informó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 los avances en la segmentación de las diferentes pantallas de consulta en función a los perfiles de usuario</w:t>
      </w:r>
      <w:r w:rsidR="00F34867">
        <w:rPr>
          <w:rFonts w:ascii="Arial" w:eastAsia="Calibri" w:hAnsi="Arial" w:cs="Arial"/>
          <w:sz w:val="24"/>
          <w:szCs w:val="24"/>
          <w:lang w:val="es-UY" w:eastAsia="es-ES"/>
        </w:rPr>
        <w:t>.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</w:p>
    <w:p w14:paraId="59176691" w14:textId="77777777" w:rsidR="009967BA" w:rsidRPr="00F34867" w:rsidRDefault="009967BA" w:rsidP="009967BA">
      <w:pPr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UY" w:eastAsia="es-ES"/>
        </w:rPr>
      </w:pPr>
    </w:p>
    <w:p w14:paraId="71C6A3C9" w14:textId="070B0875" w:rsidR="009967BA" w:rsidRPr="00D96013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A su vez, la SM/UTECEM informó que se encuentra en capacidad, y a la espera de ser notificada por parte de la CCM, para realizar la presentación del prototipo funcional de la anteriormente mencionada nueva versión </w:t>
      </w:r>
      <w:r w:rsidR="00F34867">
        <w:rPr>
          <w:rFonts w:ascii="Arial" w:eastAsia="Calibri" w:hAnsi="Arial" w:cs="Arial"/>
          <w:sz w:val="24"/>
          <w:szCs w:val="24"/>
          <w:lang w:val="es-UY" w:eastAsia="es-ES"/>
        </w:rPr>
        <w:t xml:space="preserve">del </w:t>
      </w: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SECEM, con el fin de dar cumplimento a la instrucción recibida por parte del referido órgano a la SM/UTECEM a través del acta CCM/ACTA </w:t>
      </w:r>
      <w:proofErr w:type="spellStart"/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>Nº</w:t>
      </w:r>
      <w:proofErr w:type="spellEnd"/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 09/21.</w:t>
      </w:r>
    </w:p>
    <w:p w14:paraId="6C86516D" w14:textId="77777777" w:rsidR="009967BA" w:rsidRPr="00D96013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77EEA2BA" w14:textId="60063D5C" w:rsidR="009967BA" w:rsidRPr="00E50ECC" w:rsidRDefault="009967BA" w:rsidP="009967BA">
      <w:pPr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UY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UY" w:eastAsia="es-ES"/>
        </w:rPr>
        <w:t xml:space="preserve">Las delegaciones agradecieron la presentación, intercambiaron opiniones y felicitaron al equipo de la SM/UTECEM por la información presentada detallando las actualizaciones implementadas en la versión actual del SECEM, además de los avances en el desarrollo de la nueva versión. </w:t>
      </w:r>
    </w:p>
    <w:p w14:paraId="18E5BB93" w14:textId="77777777" w:rsidR="009967BA" w:rsidRPr="00D96013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4059AF93" w14:textId="6999FFC6" w:rsidR="009967BA" w:rsidRPr="00E50ECC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Por otra parte, la </w:t>
      </w:r>
      <w:r w:rsidR="00642EFC">
        <w:rPr>
          <w:rFonts w:ascii="Arial" w:eastAsia="Calibri" w:hAnsi="Arial" w:cs="Arial"/>
          <w:sz w:val="24"/>
          <w:szCs w:val="24"/>
          <w:lang w:val="es-ES" w:eastAsia="es-ES"/>
        </w:rPr>
        <w:t>SM/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UTECEM presentó un informe sobre la </w:t>
      </w:r>
      <w:r w:rsidRPr="00193A98">
        <w:rPr>
          <w:rFonts w:ascii="Arial" w:eastAsia="Calibri" w:hAnsi="Arial" w:cs="Arial"/>
          <w:sz w:val="24"/>
          <w:szCs w:val="24"/>
          <w:lang w:val="es-ES" w:eastAsia="es-ES"/>
        </w:rPr>
        <w:t xml:space="preserve">situación actual 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>del SECEM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.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Se presentaron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 xml:space="preserve">estadísticas de 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uso desde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su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 implementación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 xml:space="preserve"> a la </w:t>
      </w:r>
      <w:r w:rsidR="008619CE">
        <w:rPr>
          <w:rFonts w:ascii="Arial" w:eastAsia="Calibri" w:hAnsi="Arial" w:cs="Arial"/>
          <w:sz w:val="24"/>
          <w:szCs w:val="24"/>
          <w:lang w:val="es-ES" w:eastAsia="es-ES"/>
        </w:rPr>
        <w:t xml:space="preserve">fecha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y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 los recursos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tecnológicos asignados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  <w:r w:rsidR="00193A98">
        <w:rPr>
          <w:rFonts w:ascii="Arial" w:eastAsia="Calibri" w:hAnsi="Arial" w:cs="Arial"/>
          <w:sz w:val="24"/>
          <w:szCs w:val="24"/>
          <w:lang w:val="es-ES" w:eastAsia="es-ES"/>
        </w:rPr>
        <w:t>al sistema</w:t>
      </w:r>
      <w:r w:rsidRPr="1E74DC74">
        <w:rPr>
          <w:rFonts w:ascii="Arial" w:eastAsia="Calibri" w:hAnsi="Arial" w:cs="Arial"/>
          <w:sz w:val="24"/>
          <w:szCs w:val="24"/>
          <w:lang w:val="es-ES" w:eastAsia="es-ES"/>
        </w:rPr>
        <w:t>.</w:t>
      </w:r>
      <w:r w:rsidR="003A1C42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  <w:r w:rsidR="0045702F" w:rsidRPr="0045702F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(</w:t>
      </w:r>
      <w:r w:rsidR="003A1C42" w:rsidRPr="0045702F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Anexo </w:t>
      </w:r>
      <w:r w:rsidR="0045702F" w:rsidRPr="0045702F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IX)</w:t>
      </w:r>
    </w:p>
    <w:p w14:paraId="4BB16495" w14:textId="77777777" w:rsidR="009967BA" w:rsidRPr="00D96013" w:rsidRDefault="009967BA" w:rsidP="0099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14:paraId="239A9D5C" w14:textId="021686DC" w:rsidR="008619CE" w:rsidRPr="008619CE" w:rsidRDefault="009967BA" w:rsidP="009967BA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val="es-UY" w:eastAsia="es-ES"/>
        </w:rPr>
      </w:pP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Las delegaciones intercambiaron opiniones </w:t>
      </w:r>
      <w:r w:rsidR="006B0A56">
        <w:rPr>
          <w:rFonts w:ascii="Arial" w:eastAsia="Times New Roman" w:hAnsi="Arial" w:cs="Arial"/>
          <w:sz w:val="24"/>
          <w:szCs w:val="24"/>
          <w:lang w:val="es-UY" w:eastAsia="es-ES"/>
        </w:rPr>
        <w:t>sobre el</w:t>
      </w: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informe presentado</w:t>
      </w:r>
      <w:r w:rsidR="008619CE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8619CE">
        <w:rPr>
          <w:rFonts w:ascii="Arial" w:eastAsia="Times New Roman" w:hAnsi="Arial" w:cs="Arial"/>
          <w:sz w:val="24"/>
          <w:szCs w:val="24"/>
          <w:lang w:val="es-UY" w:eastAsia="es-ES"/>
        </w:rPr>
        <w:t>Realizaron</w:t>
      </w: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consultas específicas </w:t>
      </w:r>
      <w:r w:rsidR="006B0A56">
        <w:rPr>
          <w:rFonts w:ascii="Arial" w:eastAsia="Times New Roman" w:hAnsi="Arial" w:cs="Arial"/>
          <w:sz w:val="24"/>
          <w:szCs w:val="24"/>
          <w:lang w:val="es-UY" w:eastAsia="es-ES"/>
        </w:rPr>
        <w:t>con respecto al</w:t>
      </w:r>
      <w:r w:rsidR="008619C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Pr="1E74DC74">
        <w:rPr>
          <w:rFonts w:ascii="Arial" w:eastAsia="Times New Roman" w:hAnsi="Arial" w:cs="Arial"/>
          <w:sz w:val="24"/>
          <w:szCs w:val="24"/>
          <w:lang w:val="es-UY" w:eastAsia="es-ES"/>
        </w:rPr>
        <w:t>volumen de información que se registra en la base de datos de comercio</w:t>
      </w:r>
      <w:r w:rsidR="008619C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exterior</w:t>
      </w:r>
      <w:r w:rsidR="00243685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220B5D21" w14:textId="77777777" w:rsidR="008619CE" w:rsidRDefault="008619CE" w:rsidP="0099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A8F22CA" w14:textId="77777777" w:rsidR="00B76B42" w:rsidRDefault="00B76B42" w:rsidP="00C321B1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1B906291" w14:textId="77777777" w:rsidR="00C321B1" w:rsidRPr="00B642DD" w:rsidRDefault="00C321B1" w:rsidP="00C321B1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IMPLEMENTACIÓN DE LA VII ENMIENDA DEL SISTEMA ARMONIZADO</w:t>
      </w:r>
    </w:p>
    <w:p w14:paraId="0D2202AF" w14:textId="77777777" w:rsidR="00C321B1" w:rsidRPr="0006647E" w:rsidRDefault="00C321B1" w:rsidP="00C321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538C46D5" w14:textId="77777777" w:rsidR="004C58F9" w:rsidRDefault="007579DA" w:rsidP="003470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  <w:r w:rsidRPr="007579DA">
        <w:rPr>
          <w:rFonts w:ascii="Arial" w:eastAsia="Calibri" w:hAnsi="Arial" w:cs="Arial"/>
          <w:sz w:val="24"/>
          <w:szCs w:val="24"/>
          <w:lang w:val="es-UY" w:eastAsia="es-ES"/>
        </w:rPr>
        <w:t>La SM/UTECEM informó que Brasil, Paraguay y Uruguay</w:t>
      </w:r>
      <w:r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  <w:r w:rsidR="003F6579">
        <w:rPr>
          <w:rFonts w:ascii="Arial" w:eastAsia="Calibri" w:hAnsi="Arial" w:cs="Arial"/>
          <w:sz w:val="24"/>
          <w:szCs w:val="24"/>
          <w:lang w:val="es-UY" w:eastAsia="es-ES"/>
        </w:rPr>
        <w:t>tienen</w:t>
      </w:r>
      <w:r>
        <w:rPr>
          <w:rFonts w:ascii="Arial" w:eastAsia="Calibri" w:hAnsi="Arial" w:cs="Arial"/>
          <w:sz w:val="24"/>
          <w:szCs w:val="24"/>
          <w:lang w:val="es-UY" w:eastAsia="es-ES"/>
        </w:rPr>
        <w:t xml:space="preserve"> implementada </w:t>
      </w:r>
      <w:r w:rsidRPr="007579DA">
        <w:rPr>
          <w:rFonts w:ascii="Arial" w:eastAsia="Calibri" w:hAnsi="Arial" w:cs="Arial"/>
          <w:sz w:val="24"/>
          <w:szCs w:val="24"/>
          <w:lang w:val="es-UY" w:eastAsia="es-ES"/>
        </w:rPr>
        <w:t>la NCM con la VII Enmienda del Sistema Armonizado (SA)</w:t>
      </w:r>
      <w:r w:rsidR="006B0A56">
        <w:rPr>
          <w:rFonts w:ascii="Arial" w:eastAsia="Calibri" w:hAnsi="Arial" w:cs="Arial"/>
          <w:sz w:val="24"/>
          <w:szCs w:val="24"/>
          <w:lang w:val="es-UY" w:eastAsia="es-ES"/>
        </w:rPr>
        <w:t>,</w:t>
      </w:r>
      <w:r w:rsidR="003F6579">
        <w:rPr>
          <w:rFonts w:ascii="Arial" w:eastAsia="Calibri" w:hAnsi="Arial" w:cs="Arial"/>
          <w:sz w:val="24"/>
          <w:szCs w:val="24"/>
          <w:lang w:val="es-UY" w:eastAsia="es-ES"/>
        </w:rPr>
        <w:t xml:space="preserve"> según </w:t>
      </w:r>
      <w:r w:rsidR="006B0A56">
        <w:rPr>
          <w:rFonts w:ascii="Arial" w:eastAsia="Calibri" w:hAnsi="Arial" w:cs="Arial"/>
          <w:sz w:val="24"/>
          <w:szCs w:val="24"/>
          <w:lang w:val="es-UY" w:eastAsia="es-ES"/>
        </w:rPr>
        <w:t>establecido</w:t>
      </w:r>
      <w:r w:rsidR="003F6579">
        <w:rPr>
          <w:rFonts w:ascii="Arial" w:eastAsia="Calibri" w:hAnsi="Arial" w:cs="Arial"/>
          <w:sz w:val="24"/>
          <w:szCs w:val="24"/>
          <w:lang w:val="es-UY" w:eastAsia="es-ES"/>
        </w:rPr>
        <w:t xml:space="preserve"> en la última reunión.</w:t>
      </w:r>
      <w:r w:rsidR="006B0A56">
        <w:rPr>
          <w:rFonts w:ascii="Arial" w:eastAsia="Calibri" w:hAnsi="Arial" w:cs="Arial"/>
          <w:sz w:val="24"/>
          <w:szCs w:val="24"/>
          <w:lang w:val="es-UY" w:eastAsia="es-ES"/>
        </w:rPr>
        <w:t xml:space="preserve"> </w:t>
      </w:r>
    </w:p>
    <w:p w14:paraId="037310FE" w14:textId="77777777" w:rsidR="004C58F9" w:rsidRDefault="004C58F9" w:rsidP="003470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 w:eastAsia="es-ES"/>
        </w:rPr>
      </w:pPr>
    </w:p>
    <w:p w14:paraId="44CBBE2F" w14:textId="1DB11E8E" w:rsidR="00347092" w:rsidRDefault="004C58F9" w:rsidP="003470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Calibri" w:hAnsi="Arial" w:cs="Arial"/>
          <w:sz w:val="24"/>
          <w:szCs w:val="24"/>
          <w:lang w:val="es-UY" w:eastAsia="es-ES"/>
        </w:rPr>
        <w:t>L</w:t>
      </w:r>
      <w:r w:rsidR="00347092" w:rsidRPr="007579DA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 delegación de Argentina informó que </w:t>
      </w:r>
      <w:r w:rsidR="006B0A56">
        <w:rPr>
          <w:rFonts w:ascii="Arial" w:eastAsia="Times New Roman" w:hAnsi="Arial" w:cs="Arial"/>
          <w:sz w:val="24"/>
          <w:szCs w:val="24"/>
          <w:lang w:val="es-UY" w:eastAsia="es-ES"/>
        </w:rPr>
        <w:t>está a la espera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 su </w:t>
      </w:r>
      <w:r w:rsidR="00347092" w:rsidRPr="007579DA">
        <w:rPr>
          <w:rFonts w:ascii="Arial" w:eastAsia="Times New Roman" w:hAnsi="Arial" w:cs="Arial"/>
          <w:sz w:val="24"/>
          <w:szCs w:val="24"/>
          <w:lang w:val="es-UY" w:eastAsia="es-ES"/>
        </w:rPr>
        <w:t>implementación</w:t>
      </w:r>
      <w:r w:rsidR="006B0A56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32815717" w14:textId="26F6D896" w:rsidR="00D20449" w:rsidRDefault="00D20449" w:rsidP="003470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79DBD83" w14:textId="77777777" w:rsidR="00D26634" w:rsidRDefault="00D26634" w:rsidP="00D26634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val="es-UY" w:eastAsia="es-ES"/>
        </w:rPr>
      </w:pPr>
    </w:p>
    <w:p w14:paraId="760B34F0" w14:textId="7F0BE725" w:rsidR="005F494A" w:rsidRDefault="00C321B1" w:rsidP="005F494A">
      <w:pPr>
        <w:pStyle w:val="Prrafode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OTROS TEMAS</w:t>
      </w:r>
    </w:p>
    <w:p w14:paraId="06AF609E" w14:textId="77777777" w:rsidR="005F494A" w:rsidRDefault="005F494A" w:rsidP="005F494A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76D58DB5" w14:textId="6FA6F20B" w:rsidR="00F86E49" w:rsidRDefault="003B6DD5" w:rsidP="00F86E49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bookmarkStart w:id="4" w:name="_Hlk104553006"/>
      <w:bookmarkEnd w:id="2"/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REVISIÓN DE LOS MANUALES DE ESTADÍSTICAS DEL COMERCIO INTERNACIONAL / ESTADÍSTICAS DE COMERCIO INTERNACIONAL DE MERCANCÍAS (ECIM 2010) POR PARTE DE LA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</w:t>
      </w:r>
      <w:r w:rsidRPr="00B64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NACIONES UNIDAS</w:t>
      </w:r>
    </w:p>
    <w:p w14:paraId="72A073B9" w14:textId="2555D98D" w:rsidR="00F86E49" w:rsidRDefault="00F86E49" w:rsidP="00F86E4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D358794" w14:textId="6B111B2D" w:rsidR="00F86E49" w:rsidRPr="001D5E18" w:rsidRDefault="00F86E49" w:rsidP="004C58F9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val="es-UY" w:eastAsia="es-ES"/>
        </w:rPr>
      </w:pP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>La delegación de Paraguay informó que</w:t>
      </w:r>
      <w:r w:rsidR="001D5E18">
        <w:rPr>
          <w:rFonts w:ascii="Arial" w:eastAsia="Times New Roman" w:hAnsi="Arial" w:cs="Arial"/>
          <w:sz w:val="24"/>
          <w:szCs w:val="24"/>
          <w:lang w:val="es-UY" w:eastAsia="es-ES"/>
        </w:rPr>
        <w:t>,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durante la PPTP</w:t>
      </w:r>
      <w:r w:rsidR="001D5E18">
        <w:rPr>
          <w:rFonts w:ascii="Arial" w:eastAsia="Times New Roman" w:hAnsi="Arial" w:cs="Arial"/>
          <w:sz w:val="24"/>
          <w:szCs w:val="24"/>
          <w:lang w:val="es-UY" w:eastAsia="es-ES"/>
        </w:rPr>
        <w:t>,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remitió una nota a través de su cancillería </w:t>
      </w:r>
      <w:r w:rsidR="004C58F9">
        <w:rPr>
          <w:rFonts w:ascii="Arial" w:eastAsia="Times New Roman" w:hAnsi="Arial" w:cs="Arial"/>
          <w:sz w:val="24"/>
          <w:szCs w:val="24"/>
          <w:lang w:val="es-UY" w:eastAsia="es-ES"/>
        </w:rPr>
        <w:t>a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la División de Estadísticas del Departamento de Asuntos Económicos y Sociales de las Naciones Unidas</w:t>
      </w:r>
      <w:r w:rsidR="00F13FF8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F13FF8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 </w:t>
      </w:r>
      <w:r w:rsidR="001D5E18">
        <w:rPr>
          <w:rFonts w:ascii="Arial" w:eastAsia="Times New Roman" w:hAnsi="Arial" w:cs="Arial"/>
          <w:sz w:val="24"/>
          <w:szCs w:val="24"/>
          <w:lang w:val="es-UY" w:eastAsia="es-ES"/>
        </w:rPr>
        <w:t>objetivo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F13FF8">
        <w:rPr>
          <w:rFonts w:ascii="Arial" w:eastAsia="Times New Roman" w:hAnsi="Arial" w:cs="Arial"/>
          <w:sz w:val="24"/>
          <w:szCs w:val="24"/>
          <w:lang w:val="es-UY" w:eastAsia="es-ES"/>
        </w:rPr>
        <w:t xml:space="preserve">fue consultar la posible 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>participación de la SM/UTECEM en el seguimiento de los avances de los procesos de revisión del ECIM 2010</w:t>
      </w:r>
      <w:r w:rsidR="001D5E18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799F0D48" w14:textId="77777777" w:rsidR="00F86E49" w:rsidRPr="003F6579" w:rsidRDefault="00F86E49" w:rsidP="00F86E4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5CD7F29" w14:textId="2DD7C2DF" w:rsidR="00F86E49" w:rsidRPr="003F6579" w:rsidRDefault="00F86E49" w:rsidP="004C5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>Al respecto, la mencionada División de Estadísticas ha manifestado disposición favorable</w:t>
      </w:r>
      <w:r w:rsidR="0054081E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Pr="003F6579">
        <w:rPr>
          <w:rFonts w:ascii="Arial" w:eastAsia="Times New Roman" w:hAnsi="Arial" w:cs="Arial"/>
          <w:sz w:val="24"/>
          <w:szCs w:val="24"/>
          <w:lang w:val="es-UY" w:eastAsia="es-ES"/>
        </w:rPr>
        <w:t>hacer partícipe a la SM/UTECEM en el proceso de revisión del Manual.</w:t>
      </w:r>
    </w:p>
    <w:p w14:paraId="1794396A" w14:textId="77777777" w:rsidR="00F86E49" w:rsidRPr="003F6579" w:rsidRDefault="00F86E49" w:rsidP="00F86E4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C29E6EC" w14:textId="77777777" w:rsidR="004F6D58" w:rsidRDefault="004F6D58" w:rsidP="004C5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2C6B521A" w14:textId="73765947" w:rsidR="00F86E49" w:rsidRPr="003F6579" w:rsidRDefault="004F6D58" w:rsidP="004C5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lastRenderedPageBreak/>
        <w:t>Las delegaciones manifestaron la importancia de la participación de la SM/UTECEM. Dada la respuesta positiva</w:t>
      </w:r>
      <w:r w:rsidR="001C543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recibida por parte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 la </w:t>
      </w:r>
      <w:r w:rsidRPr="004F6D58">
        <w:rPr>
          <w:rFonts w:ascii="Arial" w:eastAsia="Times New Roman" w:hAnsi="Arial" w:cs="Arial"/>
          <w:sz w:val="24"/>
          <w:szCs w:val="24"/>
          <w:lang w:val="es-UY" w:eastAsia="es-ES"/>
        </w:rPr>
        <w:t>División de Estadísticas del Departamento de Asuntos Económicos y Sociales de las Naciones Unidas</w:t>
      </w:r>
      <w:r w:rsidR="001C5435">
        <w:rPr>
          <w:rFonts w:ascii="Arial" w:eastAsia="Times New Roman" w:hAnsi="Arial" w:cs="Arial"/>
          <w:sz w:val="24"/>
          <w:szCs w:val="24"/>
          <w:lang w:val="es-UY" w:eastAsia="es-ES"/>
        </w:rPr>
        <w:t>, se sugiere a la CCM considere su</w:t>
      </w:r>
      <w:r w:rsidR="00F86E49" w:rsidRPr="003F657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612E7F">
        <w:rPr>
          <w:rFonts w:ascii="Arial" w:eastAsia="Times New Roman" w:hAnsi="Arial" w:cs="Arial"/>
          <w:sz w:val="24"/>
          <w:szCs w:val="24"/>
          <w:lang w:val="es-UY" w:eastAsia="es-ES"/>
        </w:rPr>
        <w:t>participación</w:t>
      </w:r>
      <w:r w:rsidR="001C5435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6987CC93" w14:textId="19C01D80" w:rsidR="00F86E49" w:rsidRDefault="00F86E49" w:rsidP="00F86E4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7A387D7B" w14:textId="77777777" w:rsidR="00F86E49" w:rsidRDefault="00F86E49" w:rsidP="00F86E4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03C8E45" w14:textId="30F80908" w:rsidR="00F86E49" w:rsidRDefault="0054081E" w:rsidP="00F86E49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54081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REGISTRO</w:t>
      </w:r>
      <w:r w:rsidR="001C543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</w:t>
      </w:r>
      <w:r w:rsidRPr="0054081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ESTADÍSTICO</w:t>
      </w:r>
      <w:r w:rsidR="00355F49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S</w:t>
      </w:r>
      <w:r w:rsidRPr="0054081E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Y LA ZONA FRANCA</w:t>
      </w:r>
    </w:p>
    <w:p w14:paraId="367F4828" w14:textId="3E80F63B" w:rsidR="007703DB" w:rsidRDefault="007703DB" w:rsidP="007703DB">
      <w:pPr>
        <w:pStyle w:val="Prrafodelista"/>
        <w:spacing w:after="0" w:line="240" w:lineRule="auto"/>
        <w:ind w:left="990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6008FBE5" w14:textId="77777777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355F4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delegación de Uruguay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compartió su experiencia en la implementación del sistema comercial general que incluye las transacciones de entrada y salida de sus zonas francas. </w:t>
      </w:r>
    </w:p>
    <w:p w14:paraId="53B45888" w14:textId="77777777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8B5392A" w14:textId="77777777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5F49">
        <w:rPr>
          <w:rFonts w:ascii="Arial" w:eastAsia="Times New Roman" w:hAnsi="Arial" w:cs="Arial"/>
          <w:sz w:val="24"/>
          <w:szCs w:val="24"/>
          <w:lang w:val="es-ES" w:eastAsia="es-ES"/>
        </w:rPr>
        <w:t>Las delegaciones intercambiaron comentarios y experiencia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 sobre el tratamiento estadísticos del sistema comercial general</w:t>
      </w:r>
      <w:r w:rsidRPr="00355F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14:paraId="6B5EDF57" w14:textId="77777777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AAF9B4" w14:textId="77777777" w:rsidR="007703DB" w:rsidRPr="00355F49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delegaciones de Argentina y Uruguay se comprometieron </w:t>
      </w:r>
      <w:r w:rsidRPr="00355F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trabajar de forma conjunta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sobre </w:t>
      </w:r>
      <w:r w:rsidRPr="00355F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tema. </w:t>
      </w:r>
    </w:p>
    <w:p w14:paraId="7822AC2A" w14:textId="6533B912" w:rsidR="007703DB" w:rsidRDefault="007703DB" w:rsidP="007703DB">
      <w:pPr>
        <w:pStyle w:val="Prrafodelista"/>
        <w:spacing w:after="0" w:line="240" w:lineRule="auto"/>
        <w:ind w:left="990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19C32B0B" w14:textId="5A0170DB" w:rsidR="007703DB" w:rsidRPr="00F86E49" w:rsidRDefault="007703DB" w:rsidP="00F86E49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ESTUDIO DEL DESTINO FINAL DE LAS EXP</w:t>
      </w:r>
      <w:r w:rsidR="00EA7506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RTACIONES</w:t>
      </w:r>
    </w:p>
    <w:p w14:paraId="090ACEA3" w14:textId="6F2A1C8B" w:rsidR="00F86E49" w:rsidRDefault="00F86E49" w:rsidP="00F86E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EE3F448" w14:textId="6CCA1AC6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t>L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 delegación de Paraguay compartió </w:t>
      </w:r>
      <w:r w:rsidR="00EA7506">
        <w:rPr>
          <w:rFonts w:ascii="Arial" w:eastAsia="Times New Roman" w:hAnsi="Arial" w:cs="Arial"/>
          <w:sz w:val="24"/>
          <w:szCs w:val="24"/>
          <w:lang w:val="es-UY" w:eastAsia="es-ES"/>
        </w:rPr>
        <w:t>su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experiencia sobre la reasignación del país de destin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o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final </w:t>
      </w:r>
      <w:r w:rsidR="00EA7506">
        <w:rPr>
          <w:rFonts w:ascii="Arial" w:eastAsia="Times New Roman" w:hAnsi="Arial" w:cs="Arial"/>
          <w:sz w:val="24"/>
          <w:szCs w:val="24"/>
          <w:lang w:val="es-UY" w:eastAsia="es-ES"/>
        </w:rPr>
        <w:t xml:space="preserve">de las estadísticas de 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>exportaci</w:t>
      </w:r>
      <w:r w:rsidR="00EA7506">
        <w:rPr>
          <w:rFonts w:ascii="Arial" w:eastAsia="Times New Roman" w:hAnsi="Arial" w:cs="Arial"/>
          <w:sz w:val="24"/>
          <w:szCs w:val="24"/>
          <w:lang w:val="es-UY" w:eastAsia="es-ES"/>
        </w:rPr>
        <w:t>ones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a través de los certificados de origen emitidos por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Ventanilla Única de Exportación dependiente del Ministerio de Industria y </w:t>
      </w:r>
      <w:r w:rsidR="00EA7506">
        <w:rPr>
          <w:rFonts w:ascii="Arial" w:eastAsia="Times New Roman" w:hAnsi="Arial" w:cs="Arial"/>
          <w:sz w:val="24"/>
          <w:szCs w:val="24"/>
          <w:lang w:val="es-UY" w:eastAsia="es-ES"/>
        </w:rPr>
        <w:t>C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omercio</w:t>
      </w:r>
      <w:r w:rsidRPr="007703DB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7E9C40D2" w14:textId="4B6FB3B2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74D93CD" w14:textId="68703E2D" w:rsidR="007703DB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Las delegaciones agradecieron por </w:t>
      </w:r>
      <w:r w:rsidR="00BA147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compartir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</w:t>
      </w:r>
      <w:r w:rsidR="00BA147F">
        <w:rPr>
          <w:rFonts w:ascii="Arial" w:eastAsia="Times New Roman" w:hAnsi="Arial" w:cs="Arial"/>
          <w:sz w:val="24"/>
          <w:szCs w:val="24"/>
          <w:lang w:val="es-UY" w:eastAsia="es-ES"/>
        </w:rPr>
        <w:t>experiencia</w:t>
      </w:r>
      <w:r w:rsidR="00ED5393">
        <w:rPr>
          <w:rFonts w:ascii="Arial" w:eastAsia="Times New Roman" w:hAnsi="Arial" w:cs="Arial"/>
          <w:sz w:val="24"/>
          <w:szCs w:val="24"/>
          <w:lang w:val="es-UY" w:eastAsia="es-ES"/>
        </w:rPr>
        <w:t>, intercambiaron comentarios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y acordaron en </w:t>
      </w:r>
      <w:r w:rsidR="00ED5393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seguir 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>profundiza</w:t>
      </w:r>
      <w:r w:rsidR="00ED5393">
        <w:rPr>
          <w:rFonts w:ascii="Arial" w:eastAsia="Times New Roman" w:hAnsi="Arial" w:cs="Arial"/>
          <w:sz w:val="24"/>
          <w:szCs w:val="24"/>
          <w:lang w:val="es-UY" w:eastAsia="es-ES"/>
        </w:rPr>
        <w:t>ndo</w:t>
      </w: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BA147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en el tema. </w:t>
      </w:r>
    </w:p>
    <w:p w14:paraId="4E4A8599" w14:textId="77777777" w:rsidR="007703DB" w:rsidRPr="00CB06FC" w:rsidRDefault="007703DB" w:rsidP="007703DB">
      <w:pPr>
        <w:spacing w:after="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val="es-UY" w:eastAsia="es-ES"/>
        </w:rPr>
      </w:pPr>
    </w:p>
    <w:p w14:paraId="44C8BC57" w14:textId="77777777" w:rsidR="00C36403" w:rsidRPr="00355F49" w:rsidRDefault="00C36403" w:rsidP="00F86E49">
      <w:pPr>
        <w:spacing w:after="0" w:line="240" w:lineRule="auto"/>
        <w:ind w:left="567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val="es-ES" w:eastAsia="es-ES"/>
        </w:rPr>
      </w:pPr>
    </w:p>
    <w:bookmarkEnd w:id="4"/>
    <w:p w14:paraId="29ECF20E" w14:textId="77777777" w:rsidR="003F1EFE" w:rsidRPr="0006647E" w:rsidRDefault="003F1EFE" w:rsidP="0001471A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PRÓXIMA REUNIÓN</w:t>
      </w:r>
    </w:p>
    <w:bookmarkEnd w:id="1"/>
    <w:p w14:paraId="020ECA92" w14:textId="6877E3FD" w:rsidR="003F1EFE" w:rsidRDefault="003F1EFE" w:rsidP="0001471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5A7254BF" w14:textId="77777777" w:rsidR="00995649" w:rsidRPr="0006647E" w:rsidRDefault="00995649" w:rsidP="0001471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2D88A998" w14:textId="43C47514" w:rsidR="5CED9831" w:rsidRDefault="003F1EFE" w:rsidP="3237E63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La próxima reunión </w:t>
      </w:r>
      <w:r w:rsidR="00CB06FC">
        <w:rPr>
          <w:rFonts w:ascii="Arial" w:eastAsia="Calibri" w:hAnsi="Arial" w:cs="Arial"/>
          <w:sz w:val="24"/>
          <w:szCs w:val="24"/>
          <w:lang w:val="es-UY"/>
        </w:rPr>
        <w:t>se realizará los días 7 y 8 de noviembre de 2022.</w:t>
      </w:r>
    </w:p>
    <w:p w14:paraId="73A0A5E5" w14:textId="55F26469" w:rsidR="3237E63B" w:rsidRDefault="3237E63B" w:rsidP="3237E63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14:paraId="40FE0611" w14:textId="7777777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  <w:r w:rsidRPr="0006647E">
        <w:rPr>
          <w:rFonts w:ascii="Arial" w:eastAsia="Calibri" w:hAnsi="Arial" w:cs="Arial"/>
          <w:b/>
          <w:sz w:val="24"/>
          <w:szCs w:val="24"/>
          <w:lang w:val="es-UY"/>
        </w:rPr>
        <w:t>ANEXOS</w:t>
      </w:r>
    </w:p>
    <w:p w14:paraId="6C3B9B95" w14:textId="77825DA0" w:rsidR="003F1EFE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UY"/>
        </w:rPr>
      </w:pPr>
    </w:p>
    <w:p w14:paraId="45CC8210" w14:textId="6E3C0607" w:rsidR="003F1EFE" w:rsidRPr="0006647E" w:rsidRDefault="003F1EFE" w:rsidP="00014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 w:rsidRPr="0006647E">
        <w:rPr>
          <w:rFonts w:ascii="Arial" w:eastAsia="Calibri" w:hAnsi="Arial" w:cs="Arial"/>
          <w:sz w:val="24"/>
          <w:szCs w:val="24"/>
          <w:lang w:val="es-UY"/>
        </w:rPr>
        <w:t>Los Anexos que forman parte de</w:t>
      </w:r>
      <w:r w:rsidR="00DE3728" w:rsidRPr="0006647E">
        <w:rPr>
          <w:rFonts w:ascii="Arial" w:eastAsia="Calibri" w:hAnsi="Arial" w:cs="Arial"/>
          <w:sz w:val="24"/>
          <w:szCs w:val="24"/>
          <w:lang w:val="es-UY"/>
        </w:rPr>
        <w:t>l</w:t>
      </w:r>
      <w:r w:rsidRPr="0006647E">
        <w:rPr>
          <w:rFonts w:ascii="Arial" w:eastAsia="Calibri" w:hAnsi="Arial" w:cs="Arial"/>
          <w:sz w:val="24"/>
          <w:szCs w:val="24"/>
          <w:lang w:val="es-UY"/>
        </w:rPr>
        <w:t xml:space="preserve"> Acta son los siguientes:</w:t>
      </w:r>
    </w:p>
    <w:p w14:paraId="51A67F0C" w14:textId="77777777" w:rsidR="003F1EFE" w:rsidRPr="00B76B42" w:rsidRDefault="003F1EFE" w:rsidP="0001471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UY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63"/>
        <w:gridCol w:w="3774"/>
        <w:gridCol w:w="1026"/>
      </w:tblGrid>
      <w:tr w:rsidR="003F1EFE" w:rsidRPr="0006647E" w14:paraId="0393A28A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  <w:hideMark/>
          </w:tcPr>
          <w:p w14:paraId="7B64C406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7263" w:type="dxa"/>
            <w:gridSpan w:val="3"/>
            <w:shd w:val="clear" w:color="auto" w:fill="auto"/>
            <w:hideMark/>
          </w:tcPr>
          <w:p w14:paraId="63C1241F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Lista de Participantes</w:t>
            </w:r>
          </w:p>
        </w:tc>
      </w:tr>
      <w:tr w:rsidR="003F1EFE" w:rsidRPr="0006647E" w14:paraId="50D1F4E1" w14:textId="77777777" w:rsidTr="00355F49">
        <w:trPr>
          <w:trHeight w:val="344"/>
          <w:jc w:val="center"/>
        </w:trPr>
        <w:tc>
          <w:tcPr>
            <w:tcW w:w="1413" w:type="dxa"/>
            <w:shd w:val="clear" w:color="auto" w:fill="auto"/>
            <w:hideMark/>
          </w:tcPr>
          <w:p w14:paraId="51CF437A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7263" w:type="dxa"/>
            <w:gridSpan w:val="3"/>
            <w:shd w:val="clear" w:color="auto" w:fill="auto"/>
            <w:hideMark/>
          </w:tcPr>
          <w:p w14:paraId="175C73C4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Agenda</w:t>
            </w:r>
          </w:p>
        </w:tc>
      </w:tr>
      <w:tr w:rsidR="003F1EFE" w:rsidRPr="0006647E" w14:paraId="1BF6259B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  <w:hideMark/>
          </w:tcPr>
          <w:p w14:paraId="21AC2AF1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7263" w:type="dxa"/>
            <w:gridSpan w:val="3"/>
            <w:shd w:val="clear" w:color="auto" w:fill="auto"/>
            <w:hideMark/>
          </w:tcPr>
          <w:p w14:paraId="64F812CD" w14:textId="77777777" w:rsidR="003F1EFE" w:rsidRPr="0006647E" w:rsidRDefault="003F1EF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Resumen del Acta</w:t>
            </w:r>
          </w:p>
        </w:tc>
      </w:tr>
      <w:tr w:rsidR="00F04970" w:rsidRPr="00A068EE" w14:paraId="66EBD8E8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5E93646A" w14:textId="32ACA12A" w:rsidR="00F04970" w:rsidRPr="0006647E" w:rsidRDefault="00F04970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57800FD2" w14:textId="53D6B351" w:rsidR="00F04970" w:rsidRPr="0006647E" w:rsidRDefault="00C11DDE" w:rsidP="000147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F04970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Presentación sobre el estado de situación del uso del SECEM-SM/UTECEM</w:t>
            </w:r>
          </w:p>
        </w:tc>
      </w:tr>
      <w:tr w:rsidR="003419A1" w:rsidRPr="00A068EE" w14:paraId="5701224E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4D0D6AB3" w14:textId="40EE1212" w:rsidR="003419A1" w:rsidRPr="0006647E" w:rsidRDefault="003419A1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16C32222" w14:textId="48086DEC" w:rsidR="003419A1" w:rsidRPr="00F04970" w:rsidRDefault="003419A1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FD4B1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/>
              </w:rPr>
              <w:t xml:space="preserve">RESERVADO </w:t>
            </w:r>
            <w:r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– Consolidado </w:t>
            </w:r>
            <w:r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de los formularios correspondiente a los capítulos II, III</w:t>
            </w:r>
            <w:r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,</w:t>
            </w:r>
            <w:r w:rsidRPr="00DB26A1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 xml:space="preserve"> IV</w:t>
            </w:r>
            <w:r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, V y VI</w:t>
            </w:r>
          </w:p>
        </w:tc>
      </w:tr>
      <w:tr w:rsidR="003419A1" w:rsidRPr="00A068EE" w14:paraId="1793386E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67A4EE87" w14:textId="3FF6A7AE" w:rsidR="003419A1" w:rsidRPr="0006647E" w:rsidRDefault="003419A1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lastRenderedPageBreak/>
              <w:t>Anexo VI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3D5F9992" w14:textId="2540644D" w:rsidR="003419A1" w:rsidRPr="00F04970" w:rsidRDefault="003419A1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 w:rsidRPr="00FD4B1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/>
              </w:rPr>
              <w:t xml:space="preserve">RESERVADO </w:t>
            </w:r>
            <w:r w:rsidRPr="00FD4B16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– R</w:t>
            </w:r>
            <w:r w:rsidRPr="005E08F8"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elevamiento sobre los Formularios de las Estadísticas del Comercio Internacional de Mercancías (ECIM 2010)</w:t>
            </w:r>
            <w:r>
              <w:rPr>
                <w:rFonts w:ascii="Arial" w:eastAsia="Calibri" w:hAnsi="Arial" w:cs="Arial"/>
                <w:sz w:val="24"/>
                <w:szCs w:val="24"/>
                <w:lang w:val="es-UY" w:eastAsia="es-ES"/>
              </w:rPr>
              <w:t>.</w:t>
            </w:r>
          </w:p>
        </w:tc>
      </w:tr>
      <w:tr w:rsidR="00464DC9" w:rsidRPr="00A068EE" w14:paraId="39EC77D8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1E0D0915" w14:textId="7D0CE323" w:rsidR="00464DC9" w:rsidRPr="0006647E" w:rsidRDefault="005D41CE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752224D8" w14:textId="53F64C35" w:rsidR="00464DC9" w:rsidRDefault="005D41CE" w:rsidP="00341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</w:t>
            </w:r>
            <w:r w:rsidRPr="005D41C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resentación 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de Paraguay sobre las</w:t>
            </w:r>
            <w:r w:rsidRPr="005D41C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estadísticas bilaterales 2021 con cada uno de los Estado</w:t>
            </w:r>
            <w:r w:rsidR="0045702F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s</w:t>
            </w:r>
            <w:r w:rsidRPr="005D41C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Parte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.</w:t>
            </w:r>
          </w:p>
        </w:tc>
      </w:tr>
      <w:tr w:rsidR="003419A1" w:rsidRPr="007B159A" w14:paraId="078ABE52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77AC11F5" w14:textId="7272A92D" w:rsidR="003419A1" w:rsidRPr="0006647E" w:rsidRDefault="003419A1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Anexo VI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I</w:t>
            </w:r>
            <w:r w:rsidR="005D41C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1F39CD6E" w14:textId="356A9D98" w:rsidR="003419A1" w:rsidRPr="00F04970" w:rsidRDefault="003419A1" w:rsidP="00341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Informe</w:t>
            </w:r>
            <w:r w:rsidRPr="00C11DD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T</w:t>
            </w:r>
            <w:r w:rsidRPr="00C11DD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écnico de 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C</w:t>
            </w:r>
            <w:r w:rsidRPr="00C11DD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omercio </w:t>
            </w:r>
            <w:r w:rsidR="001D4595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E</w:t>
            </w:r>
            <w:r w:rsidRPr="00C11DD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xterior del MERCOSUR 202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2 1er Semestre</w:t>
            </w:r>
          </w:p>
        </w:tc>
      </w:tr>
      <w:tr w:rsidR="005D41CE" w:rsidRPr="00A068EE" w14:paraId="1D5C83A5" w14:textId="77777777" w:rsidTr="00355F49">
        <w:trPr>
          <w:trHeight w:val="325"/>
          <w:jc w:val="center"/>
        </w:trPr>
        <w:tc>
          <w:tcPr>
            <w:tcW w:w="1413" w:type="dxa"/>
            <w:shd w:val="clear" w:color="auto" w:fill="auto"/>
          </w:tcPr>
          <w:p w14:paraId="638B42B4" w14:textId="7498275C" w:rsidR="005D41CE" w:rsidRPr="0006647E" w:rsidRDefault="005D41CE" w:rsidP="003419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 xml:space="preserve">Anexo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IX</w:t>
            </w:r>
          </w:p>
        </w:tc>
        <w:tc>
          <w:tcPr>
            <w:tcW w:w="7263" w:type="dxa"/>
            <w:gridSpan w:val="3"/>
            <w:shd w:val="clear" w:color="auto" w:fill="auto"/>
          </w:tcPr>
          <w:p w14:paraId="708AF16B" w14:textId="49C850B2" w:rsidR="005D41CE" w:rsidRDefault="005D41CE" w:rsidP="00CD0E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I</w:t>
            </w:r>
            <w:r w:rsidRPr="005D41CE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nforme sobre la situación actual del Sistema de Estadísticas de Comercio Exterior del MERCOSUR</w:t>
            </w:r>
          </w:p>
        </w:tc>
      </w:tr>
      <w:tr w:rsidR="003419A1" w:rsidRPr="007F1CF5" w14:paraId="3D9539E9" w14:textId="77777777" w:rsidTr="0035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6" w:type="dxa"/>
          <w:trHeight w:val="2086"/>
          <w:jc w:val="center"/>
        </w:trPr>
        <w:tc>
          <w:tcPr>
            <w:tcW w:w="3876" w:type="dxa"/>
            <w:gridSpan w:val="2"/>
            <w:shd w:val="clear" w:color="auto" w:fill="auto"/>
          </w:tcPr>
          <w:p w14:paraId="6DD6D448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7AEAAF4F" w14:textId="4BBDFA44" w:rsidR="003419A1" w:rsidRPr="0006647E" w:rsidRDefault="003419A1" w:rsidP="003419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236ED7A" w14:textId="6CF66F47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4517D7D3" w14:textId="77777777" w:rsidR="00CD0E4C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63554BDE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185458E5" w14:textId="14668A5D" w:rsidR="003419A1" w:rsidRPr="0006647E" w:rsidRDefault="00000000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3611C6B6">
                <v:rect id="_x0000_i1025" style="width:199.8pt;height:1pt" o:hrpct="445" o:hralign="center" o:hrstd="t" o:hr="t" fillcolor="#a0a0a0" stroked="f"/>
              </w:pict>
            </w:r>
          </w:p>
          <w:p w14:paraId="76E311F2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Argentina</w:t>
            </w:r>
          </w:p>
          <w:p w14:paraId="00345912" w14:textId="19AF2FB2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María Inés Dalton</w:t>
            </w:r>
          </w:p>
        </w:tc>
        <w:tc>
          <w:tcPr>
            <w:tcW w:w="3774" w:type="dxa"/>
            <w:shd w:val="clear" w:color="auto" w:fill="auto"/>
          </w:tcPr>
          <w:p w14:paraId="7349A73B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6BA17C44" w14:textId="24CCA99D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A93A38E" w14:textId="77777777" w:rsidR="00CD0E4C" w:rsidRPr="0006647E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0098D04E" w14:textId="77777777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3D9A3EB4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207A3465" w14:textId="6A9F45F2" w:rsidR="003419A1" w:rsidRPr="0006647E" w:rsidRDefault="00000000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63A2763F">
                <v:rect id="_x0000_i1026" style="width:179.6pt;height:1pt" o:hrpct="400" o:hralign="center" o:hrstd="t" o:hr="t" fillcolor="#a0a0a0" stroked="f"/>
              </w:pict>
            </w:r>
          </w:p>
          <w:p w14:paraId="0B38CA6E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Brasil</w:t>
            </w:r>
          </w:p>
          <w:p w14:paraId="1CBA993B" w14:textId="197350F6" w:rsidR="003419A1" w:rsidRPr="007F1CF5" w:rsidRDefault="00752369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752369">
              <w:rPr>
                <w:rFonts w:ascii="Arial" w:eastAsia="Calibri" w:hAnsi="Arial" w:cs="Arial"/>
                <w:sz w:val="24"/>
                <w:szCs w:val="24"/>
                <w:lang w:val="pt-BR"/>
              </w:rPr>
              <w:t>Gustavo</w:t>
            </w:r>
            <w:r w:rsidR="007F1CF5" w:rsidRPr="00752369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Pereira da Silva</w:t>
            </w:r>
          </w:p>
        </w:tc>
      </w:tr>
      <w:tr w:rsidR="003419A1" w:rsidRPr="00A068EE" w14:paraId="4B2FF221" w14:textId="77777777" w:rsidTr="00355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6" w:type="dxa"/>
          <w:trHeight w:val="225"/>
          <w:jc w:val="center"/>
        </w:trPr>
        <w:tc>
          <w:tcPr>
            <w:tcW w:w="3876" w:type="dxa"/>
            <w:gridSpan w:val="2"/>
            <w:shd w:val="clear" w:color="auto" w:fill="auto"/>
          </w:tcPr>
          <w:p w14:paraId="20DB7271" w14:textId="77777777" w:rsidR="003419A1" w:rsidRPr="007F1CF5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28C0C9ED" w14:textId="77777777" w:rsidR="003419A1" w:rsidRPr="007F1CF5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37FB5DE3" w14:textId="6EB5015E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310270CE" w14:textId="77777777" w:rsidR="00CD0E4C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57D78B71" w14:textId="77777777" w:rsidR="00CD0E4C" w:rsidRPr="007F1CF5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6E7DEB98" w14:textId="77777777" w:rsidR="003419A1" w:rsidRPr="0006647E" w:rsidRDefault="00000000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681C0171">
                <v:rect id="_x0000_i1027" style="width:199.8pt;height:1pt" o:hrpct="445" o:hralign="center" o:hrstd="t" o:hr="t" fillcolor="#a0a0a0" stroked="f"/>
              </w:pict>
            </w:r>
          </w:p>
          <w:p w14:paraId="6FC416D5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  <w:t>Por la Delegación de Paraguay</w:t>
            </w:r>
          </w:p>
          <w:p w14:paraId="50ACE9E1" w14:textId="1791F127" w:rsidR="003419A1" w:rsidRPr="0006647E" w:rsidRDefault="003419A1" w:rsidP="003419A1">
            <w:pPr>
              <w:tabs>
                <w:tab w:val="center" w:pos="201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tab/>
            </w: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Daniel Hidalgo</w:t>
            </w:r>
          </w:p>
        </w:tc>
        <w:tc>
          <w:tcPr>
            <w:tcW w:w="3774" w:type="dxa"/>
            <w:shd w:val="clear" w:color="auto" w:fill="auto"/>
          </w:tcPr>
          <w:p w14:paraId="14954A5D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705CB082" w14:textId="77777777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B040DE9" w14:textId="030D5C20" w:rsidR="003419A1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3293E495" w14:textId="45AE59D7" w:rsidR="00CD0E4C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4CB96020" w14:textId="77777777" w:rsidR="00CD0E4C" w:rsidRPr="0006647E" w:rsidRDefault="00CD0E4C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</w:p>
          <w:p w14:paraId="55A12B52" w14:textId="77777777" w:rsidR="003419A1" w:rsidRPr="0006647E" w:rsidRDefault="00000000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Y"/>
              </w:rPr>
              <w:pict w14:anchorId="4668B7C9">
                <v:rect id="_x0000_i1028" style="width:179.6pt;height:1pt" o:hrpct="400" o:hralign="center" o:hrstd="t" o:hr="t" fillcolor="#a0a0a0" stroked="f"/>
              </w:pict>
            </w:r>
          </w:p>
          <w:p w14:paraId="2307C57A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  <w:t>Por la Delegación de Uruguay</w:t>
            </w:r>
          </w:p>
          <w:p w14:paraId="7C2FA73E" w14:textId="77777777" w:rsidR="003419A1" w:rsidRPr="0006647E" w:rsidRDefault="003419A1" w:rsidP="003419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06647E">
              <w:rPr>
                <w:rFonts w:ascii="Arial" w:eastAsia="Calibri" w:hAnsi="Arial" w:cs="Arial"/>
                <w:sz w:val="24"/>
                <w:szCs w:val="24"/>
                <w:lang w:val="es-UY"/>
              </w:rPr>
              <w:t>Diego Fernández</w:t>
            </w:r>
          </w:p>
        </w:tc>
      </w:tr>
    </w:tbl>
    <w:p w14:paraId="2A7AF8F7" w14:textId="77777777" w:rsidR="00BA6337" w:rsidRPr="00B76B42" w:rsidRDefault="00BA6337" w:rsidP="00B76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BA6337" w:rsidRPr="00B76B42" w:rsidSect="00B76B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9" w:right="1701" w:bottom="1418" w:left="1560" w:header="964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16EB" w14:textId="77777777" w:rsidR="00A33161" w:rsidRDefault="00A33161" w:rsidP="00BA6337">
      <w:pPr>
        <w:spacing w:after="0" w:line="240" w:lineRule="auto"/>
      </w:pPr>
      <w:r>
        <w:separator/>
      </w:r>
    </w:p>
  </w:endnote>
  <w:endnote w:type="continuationSeparator" w:id="0">
    <w:p w14:paraId="25AD51E3" w14:textId="77777777" w:rsidR="00A33161" w:rsidRDefault="00A33161" w:rsidP="00BA6337">
      <w:pPr>
        <w:spacing w:after="0" w:line="240" w:lineRule="auto"/>
      </w:pPr>
      <w:r>
        <w:continuationSeparator/>
      </w:r>
    </w:p>
  </w:endnote>
  <w:endnote w:type="continuationNotice" w:id="1">
    <w:p w14:paraId="688D45A9" w14:textId="77777777" w:rsidR="00A33161" w:rsidRDefault="00A33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05587"/>
      <w:docPartObj>
        <w:docPartGallery w:val="Page Numbers (Bottom of Page)"/>
        <w:docPartUnique/>
      </w:docPartObj>
    </w:sdtPr>
    <w:sdtContent>
      <w:p w14:paraId="7B1C7BB1" w14:textId="495DD7A1" w:rsidR="00502670" w:rsidRDefault="005026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6C" w:rsidRPr="00AD716C">
          <w:rPr>
            <w:noProof/>
            <w:lang w:val="es-ES"/>
          </w:rPr>
          <w:t>5</w:t>
        </w:r>
        <w:r>
          <w:fldChar w:fldCharType="end"/>
        </w:r>
      </w:p>
    </w:sdtContent>
  </w:sdt>
  <w:p w14:paraId="4C1D47A5" w14:textId="77777777" w:rsidR="00502670" w:rsidRDefault="00502670">
    <w:pPr>
      <w:pStyle w:val="Piedepgina"/>
    </w:pPr>
  </w:p>
  <w:p w14:paraId="56D9D137" w14:textId="77777777" w:rsidR="004D4585" w:rsidRDefault="004D45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586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5" w:name="_Hlk54184811"/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5C2F78D9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243C0E80" w14:textId="77777777" w:rsidR="00502670" w:rsidRPr="00BA6337" w:rsidRDefault="00502670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BA6337">
      <w:rPr>
        <w:rFonts w:ascii="Arial" w:hAnsi="Arial" w:cs="Arial"/>
        <w:sz w:val="16"/>
        <w:lang w:val="fr-FR"/>
      </w:rPr>
      <w:t xml:space="preserve">  www.mercosur.int</w:t>
    </w:r>
  </w:p>
  <w:bookmarkEnd w:id="5"/>
  <w:p w14:paraId="69CF3314" w14:textId="77777777" w:rsidR="00502670" w:rsidRPr="000E5DD8" w:rsidRDefault="0050267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8F45" w14:textId="77777777" w:rsidR="00A33161" w:rsidRDefault="00A33161" w:rsidP="00BA6337">
      <w:pPr>
        <w:spacing w:after="0" w:line="240" w:lineRule="auto"/>
      </w:pPr>
      <w:bookmarkStart w:id="0" w:name="_Hlk54184726"/>
      <w:bookmarkEnd w:id="0"/>
      <w:r>
        <w:separator/>
      </w:r>
    </w:p>
  </w:footnote>
  <w:footnote w:type="continuationSeparator" w:id="0">
    <w:p w14:paraId="66212892" w14:textId="77777777" w:rsidR="00A33161" w:rsidRDefault="00A33161" w:rsidP="00BA6337">
      <w:pPr>
        <w:spacing w:after="0" w:line="240" w:lineRule="auto"/>
      </w:pPr>
      <w:r>
        <w:continuationSeparator/>
      </w:r>
    </w:p>
  </w:footnote>
  <w:footnote w:type="continuationNotice" w:id="1">
    <w:p w14:paraId="23E6C1A8" w14:textId="77777777" w:rsidR="00A33161" w:rsidRDefault="00A33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513" w14:textId="6FC1143A" w:rsidR="00502670" w:rsidRDefault="00000000">
    <w:pPr>
      <w:pStyle w:val="Encabezado"/>
    </w:pPr>
    <w:r>
      <w:rPr>
        <w:noProof/>
      </w:rPr>
      <w:pict w14:anchorId="5D31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5" o:spid="_x0000_s1033" type="#_x0000_t75" style="position:absolute;margin-left:0;margin-top:0;width:448.45pt;height:214.1pt;z-index:-251658238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496" w14:textId="18094EA5" w:rsidR="00383A98" w:rsidRPr="00BA6337" w:rsidRDefault="00383A98" w:rsidP="00383A98">
    <w:pPr>
      <w:pStyle w:val="Encabezado"/>
      <w:tabs>
        <w:tab w:val="clear" w:pos="4419"/>
        <w:tab w:val="clear" w:pos="8838"/>
        <w:tab w:val="left" w:pos="7705"/>
      </w:tabs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80B" w14:textId="1DEEC4E3" w:rsidR="00502670" w:rsidRPr="00BA6337" w:rsidRDefault="00000000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6C03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32" type="#_x0000_t75" style="position:absolute;margin-left:0;margin-top:0;width:448.45pt;height:214.1pt;z-index:-251658239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502670">
      <w:rPr>
        <w:noProof/>
        <w:lang w:val="es-UY" w:eastAsia="es-UY"/>
      </w:rPr>
      <w:drawing>
        <wp:anchor distT="0" distB="0" distL="114300" distR="114300" simplePos="0" relativeHeight="251657216" behindDoc="0" locked="0" layoutInCell="0" allowOverlap="1" wp14:anchorId="72529AC1" wp14:editId="6607D95E">
          <wp:simplePos x="0" y="0"/>
          <wp:positionH relativeFrom="margin">
            <wp:posOffset>4543200</wp:posOffset>
          </wp:positionH>
          <wp:positionV relativeFrom="margin">
            <wp:posOffset>-751135</wp:posOffset>
          </wp:positionV>
          <wp:extent cx="1186180" cy="7480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70">
      <w:t xml:space="preserve">                                                                                                     </w:t>
    </w:r>
  </w:p>
  <w:p w14:paraId="52778F10" w14:textId="3CE3DD39" w:rsidR="00502670" w:rsidRDefault="00502670">
    <w:pPr>
      <w:pStyle w:val="Encabezado"/>
    </w:pPr>
    <w:r>
      <w:rPr>
        <w:noProof/>
        <w:lang w:val="es-UY" w:eastAsia="es-UY"/>
      </w:rPr>
      <w:drawing>
        <wp:inline distT="0" distB="0" distL="0" distR="0" wp14:anchorId="0CAAA9BA" wp14:editId="0A3E0C21">
          <wp:extent cx="1199515" cy="760095"/>
          <wp:effectExtent l="0" t="0" r="635" b="190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427"/>
    <w:multiLevelType w:val="hybridMultilevel"/>
    <w:tmpl w:val="EFA2C6E6"/>
    <w:lvl w:ilvl="0" w:tplc="D7381A80">
      <w:start w:val="1"/>
      <w:numFmt w:val="decimal"/>
      <w:lvlText w:val="%1-"/>
      <w:lvlJc w:val="left"/>
      <w:pPr>
        <w:ind w:left="52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966" w:hanging="360"/>
      </w:pPr>
    </w:lvl>
    <w:lvl w:ilvl="2" w:tplc="380A001B" w:tentative="1">
      <w:start w:val="1"/>
      <w:numFmt w:val="lowerRoman"/>
      <w:lvlText w:val="%3."/>
      <w:lvlJc w:val="right"/>
      <w:pPr>
        <w:ind w:left="6686" w:hanging="180"/>
      </w:pPr>
    </w:lvl>
    <w:lvl w:ilvl="3" w:tplc="380A000F" w:tentative="1">
      <w:start w:val="1"/>
      <w:numFmt w:val="decimal"/>
      <w:lvlText w:val="%4."/>
      <w:lvlJc w:val="left"/>
      <w:pPr>
        <w:ind w:left="7406" w:hanging="360"/>
      </w:pPr>
    </w:lvl>
    <w:lvl w:ilvl="4" w:tplc="380A0019" w:tentative="1">
      <w:start w:val="1"/>
      <w:numFmt w:val="lowerLetter"/>
      <w:lvlText w:val="%5."/>
      <w:lvlJc w:val="left"/>
      <w:pPr>
        <w:ind w:left="8126" w:hanging="360"/>
      </w:pPr>
    </w:lvl>
    <w:lvl w:ilvl="5" w:tplc="380A001B" w:tentative="1">
      <w:start w:val="1"/>
      <w:numFmt w:val="lowerRoman"/>
      <w:lvlText w:val="%6."/>
      <w:lvlJc w:val="right"/>
      <w:pPr>
        <w:ind w:left="8846" w:hanging="180"/>
      </w:pPr>
    </w:lvl>
    <w:lvl w:ilvl="6" w:tplc="380A000F" w:tentative="1">
      <w:start w:val="1"/>
      <w:numFmt w:val="decimal"/>
      <w:lvlText w:val="%7."/>
      <w:lvlJc w:val="left"/>
      <w:pPr>
        <w:ind w:left="9566" w:hanging="360"/>
      </w:pPr>
    </w:lvl>
    <w:lvl w:ilvl="7" w:tplc="380A0019" w:tentative="1">
      <w:start w:val="1"/>
      <w:numFmt w:val="lowerLetter"/>
      <w:lvlText w:val="%8."/>
      <w:lvlJc w:val="left"/>
      <w:pPr>
        <w:ind w:left="10286" w:hanging="360"/>
      </w:pPr>
    </w:lvl>
    <w:lvl w:ilvl="8" w:tplc="380A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1" w15:restartNumberingAfterBreak="0">
    <w:nsid w:val="1B9E3196"/>
    <w:multiLevelType w:val="multilevel"/>
    <w:tmpl w:val="1D104B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56157A"/>
    <w:multiLevelType w:val="hybridMultilevel"/>
    <w:tmpl w:val="46103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B4B"/>
    <w:multiLevelType w:val="hybridMultilevel"/>
    <w:tmpl w:val="6E8A1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D72"/>
    <w:multiLevelType w:val="multilevel"/>
    <w:tmpl w:val="FB80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586E6C"/>
    <w:multiLevelType w:val="hybridMultilevel"/>
    <w:tmpl w:val="DA8483E2"/>
    <w:lvl w:ilvl="0" w:tplc="58FE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669"/>
    <w:multiLevelType w:val="hybridMultilevel"/>
    <w:tmpl w:val="A4CCC268"/>
    <w:lvl w:ilvl="0" w:tplc="A326805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6A6D"/>
    <w:multiLevelType w:val="hybridMultilevel"/>
    <w:tmpl w:val="42CE2A94"/>
    <w:lvl w:ilvl="0" w:tplc="F6C0B0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4FD4"/>
    <w:multiLevelType w:val="hybridMultilevel"/>
    <w:tmpl w:val="45A88BBA"/>
    <w:lvl w:ilvl="0" w:tplc="2472B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72B48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B2F"/>
    <w:multiLevelType w:val="multilevel"/>
    <w:tmpl w:val="FB80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A831AF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1F458E"/>
    <w:multiLevelType w:val="hybridMultilevel"/>
    <w:tmpl w:val="2750A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40252"/>
    <w:multiLevelType w:val="hybridMultilevel"/>
    <w:tmpl w:val="5A9C90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93D05"/>
    <w:multiLevelType w:val="hybridMultilevel"/>
    <w:tmpl w:val="B22EFC48"/>
    <w:lvl w:ilvl="0" w:tplc="F1B06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DFF"/>
    <w:multiLevelType w:val="multilevel"/>
    <w:tmpl w:val="FB80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B34D36"/>
    <w:multiLevelType w:val="hybridMultilevel"/>
    <w:tmpl w:val="A942E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6344">
    <w:abstractNumId w:val="1"/>
  </w:num>
  <w:num w:numId="2" w16cid:durableId="1515877953">
    <w:abstractNumId w:val="1"/>
    <w:lvlOverride w:ilvl="0">
      <w:startOverride w:val="1"/>
    </w:lvlOverride>
  </w:num>
  <w:num w:numId="3" w16cid:durableId="958531656">
    <w:abstractNumId w:val="6"/>
  </w:num>
  <w:num w:numId="4" w16cid:durableId="30738578">
    <w:abstractNumId w:val="8"/>
  </w:num>
  <w:num w:numId="5" w16cid:durableId="1326133148">
    <w:abstractNumId w:val="10"/>
  </w:num>
  <w:num w:numId="6" w16cid:durableId="1663003956">
    <w:abstractNumId w:val="11"/>
  </w:num>
  <w:num w:numId="7" w16cid:durableId="330760416">
    <w:abstractNumId w:val="2"/>
  </w:num>
  <w:num w:numId="8" w16cid:durableId="1654408283">
    <w:abstractNumId w:val="7"/>
  </w:num>
  <w:num w:numId="9" w16cid:durableId="1900289370">
    <w:abstractNumId w:val="0"/>
  </w:num>
  <w:num w:numId="10" w16cid:durableId="1617517645">
    <w:abstractNumId w:val="12"/>
  </w:num>
  <w:num w:numId="11" w16cid:durableId="1172140339">
    <w:abstractNumId w:val="13"/>
  </w:num>
  <w:num w:numId="12" w16cid:durableId="1160659599">
    <w:abstractNumId w:val="3"/>
  </w:num>
  <w:num w:numId="13" w16cid:durableId="1428696703">
    <w:abstractNumId w:val="4"/>
  </w:num>
  <w:num w:numId="14" w16cid:durableId="964000515">
    <w:abstractNumId w:val="15"/>
  </w:num>
  <w:num w:numId="15" w16cid:durableId="1735273741">
    <w:abstractNumId w:val="5"/>
  </w:num>
  <w:num w:numId="16" w16cid:durableId="1318804989">
    <w:abstractNumId w:val="14"/>
  </w:num>
  <w:num w:numId="17" w16cid:durableId="540022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7"/>
    <w:rsid w:val="00003724"/>
    <w:rsid w:val="00003BCC"/>
    <w:rsid w:val="000102F2"/>
    <w:rsid w:val="00012AEE"/>
    <w:rsid w:val="0001471A"/>
    <w:rsid w:val="0002102E"/>
    <w:rsid w:val="000236D0"/>
    <w:rsid w:val="0002574A"/>
    <w:rsid w:val="000275DF"/>
    <w:rsid w:val="000321AA"/>
    <w:rsid w:val="00032719"/>
    <w:rsid w:val="00032A7A"/>
    <w:rsid w:val="00034BFB"/>
    <w:rsid w:val="00040C2A"/>
    <w:rsid w:val="00040E72"/>
    <w:rsid w:val="000425DA"/>
    <w:rsid w:val="00047848"/>
    <w:rsid w:val="00051560"/>
    <w:rsid w:val="00056E18"/>
    <w:rsid w:val="000574F2"/>
    <w:rsid w:val="000638AE"/>
    <w:rsid w:val="0006647E"/>
    <w:rsid w:val="0007032C"/>
    <w:rsid w:val="000726B1"/>
    <w:rsid w:val="00074338"/>
    <w:rsid w:val="00075C74"/>
    <w:rsid w:val="00076D90"/>
    <w:rsid w:val="000837FA"/>
    <w:rsid w:val="00083D12"/>
    <w:rsid w:val="00084146"/>
    <w:rsid w:val="00086C4B"/>
    <w:rsid w:val="00087C6D"/>
    <w:rsid w:val="000923B1"/>
    <w:rsid w:val="00093FBE"/>
    <w:rsid w:val="00094748"/>
    <w:rsid w:val="0009573D"/>
    <w:rsid w:val="000A0838"/>
    <w:rsid w:val="000A0D26"/>
    <w:rsid w:val="000A275B"/>
    <w:rsid w:val="000B22E6"/>
    <w:rsid w:val="000B3B80"/>
    <w:rsid w:val="000B6432"/>
    <w:rsid w:val="000B7A35"/>
    <w:rsid w:val="000C03CA"/>
    <w:rsid w:val="000C53EE"/>
    <w:rsid w:val="000D3E61"/>
    <w:rsid w:val="000D4482"/>
    <w:rsid w:val="000E2216"/>
    <w:rsid w:val="000E5DD8"/>
    <w:rsid w:val="000F14AE"/>
    <w:rsid w:val="000F2129"/>
    <w:rsid w:val="000F5C84"/>
    <w:rsid w:val="00103F35"/>
    <w:rsid w:val="00117127"/>
    <w:rsid w:val="00124781"/>
    <w:rsid w:val="00124D5E"/>
    <w:rsid w:val="001318D0"/>
    <w:rsid w:val="00135715"/>
    <w:rsid w:val="00135D7A"/>
    <w:rsid w:val="0014461B"/>
    <w:rsid w:val="00150A1D"/>
    <w:rsid w:val="001510F0"/>
    <w:rsid w:val="00154FF9"/>
    <w:rsid w:val="00155680"/>
    <w:rsid w:val="00156228"/>
    <w:rsid w:val="0015634E"/>
    <w:rsid w:val="00165F97"/>
    <w:rsid w:val="001666DA"/>
    <w:rsid w:val="00166A15"/>
    <w:rsid w:val="0017114D"/>
    <w:rsid w:val="00176362"/>
    <w:rsid w:val="00180F24"/>
    <w:rsid w:val="00187311"/>
    <w:rsid w:val="00193A98"/>
    <w:rsid w:val="00196D8A"/>
    <w:rsid w:val="00197FA4"/>
    <w:rsid w:val="001A13E9"/>
    <w:rsid w:val="001A26B6"/>
    <w:rsid w:val="001B344D"/>
    <w:rsid w:val="001B535B"/>
    <w:rsid w:val="001C3886"/>
    <w:rsid w:val="001C5435"/>
    <w:rsid w:val="001C5CBB"/>
    <w:rsid w:val="001D4595"/>
    <w:rsid w:val="001D48F5"/>
    <w:rsid w:val="001D5E18"/>
    <w:rsid w:val="001E5898"/>
    <w:rsid w:val="001E66FB"/>
    <w:rsid w:val="002025F4"/>
    <w:rsid w:val="0020351E"/>
    <w:rsid w:val="00203C77"/>
    <w:rsid w:val="00206195"/>
    <w:rsid w:val="002166B9"/>
    <w:rsid w:val="00223366"/>
    <w:rsid w:val="00225CBA"/>
    <w:rsid w:val="00234265"/>
    <w:rsid w:val="0023507A"/>
    <w:rsid w:val="00243123"/>
    <w:rsid w:val="00243685"/>
    <w:rsid w:val="002443FB"/>
    <w:rsid w:val="00247046"/>
    <w:rsid w:val="00250462"/>
    <w:rsid w:val="002540A2"/>
    <w:rsid w:val="002553A2"/>
    <w:rsid w:val="002633E3"/>
    <w:rsid w:val="00275B49"/>
    <w:rsid w:val="0028526E"/>
    <w:rsid w:val="002925C0"/>
    <w:rsid w:val="00292F46"/>
    <w:rsid w:val="002972D3"/>
    <w:rsid w:val="002A025B"/>
    <w:rsid w:val="002A5109"/>
    <w:rsid w:val="002A69C4"/>
    <w:rsid w:val="002B2B4F"/>
    <w:rsid w:val="002B7F52"/>
    <w:rsid w:val="002C2B71"/>
    <w:rsid w:val="002C3E55"/>
    <w:rsid w:val="002C51C8"/>
    <w:rsid w:val="002C5719"/>
    <w:rsid w:val="002D3BBE"/>
    <w:rsid w:val="002E4110"/>
    <w:rsid w:val="002E5095"/>
    <w:rsid w:val="002E5BD6"/>
    <w:rsid w:val="002E5DA4"/>
    <w:rsid w:val="002F0AB4"/>
    <w:rsid w:val="002F4144"/>
    <w:rsid w:val="00300B44"/>
    <w:rsid w:val="003027FF"/>
    <w:rsid w:val="00313494"/>
    <w:rsid w:val="00316117"/>
    <w:rsid w:val="00327196"/>
    <w:rsid w:val="00327C0B"/>
    <w:rsid w:val="00334153"/>
    <w:rsid w:val="003419A1"/>
    <w:rsid w:val="00347092"/>
    <w:rsid w:val="00351A10"/>
    <w:rsid w:val="00355F49"/>
    <w:rsid w:val="003564B8"/>
    <w:rsid w:val="00360BCA"/>
    <w:rsid w:val="00362B66"/>
    <w:rsid w:val="0036346C"/>
    <w:rsid w:val="003702D3"/>
    <w:rsid w:val="00372033"/>
    <w:rsid w:val="00372D2E"/>
    <w:rsid w:val="00380E34"/>
    <w:rsid w:val="00382339"/>
    <w:rsid w:val="00383A98"/>
    <w:rsid w:val="00386295"/>
    <w:rsid w:val="00386C68"/>
    <w:rsid w:val="00387BF2"/>
    <w:rsid w:val="0039100B"/>
    <w:rsid w:val="00391730"/>
    <w:rsid w:val="00392F47"/>
    <w:rsid w:val="00397F9B"/>
    <w:rsid w:val="003A1C42"/>
    <w:rsid w:val="003A4F3A"/>
    <w:rsid w:val="003A7545"/>
    <w:rsid w:val="003B0C2B"/>
    <w:rsid w:val="003B1C8F"/>
    <w:rsid w:val="003B24A1"/>
    <w:rsid w:val="003B5B71"/>
    <w:rsid w:val="003B67E5"/>
    <w:rsid w:val="003B6B33"/>
    <w:rsid w:val="003B6DD5"/>
    <w:rsid w:val="003C0925"/>
    <w:rsid w:val="003C490C"/>
    <w:rsid w:val="003C7DF5"/>
    <w:rsid w:val="003D12BE"/>
    <w:rsid w:val="003E16B9"/>
    <w:rsid w:val="003F1EFE"/>
    <w:rsid w:val="003F2DD7"/>
    <w:rsid w:val="003F3A33"/>
    <w:rsid w:val="003F6579"/>
    <w:rsid w:val="00402A02"/>
    <w:rsid w:val="00404153"/>
    <w:rsid w:val="00406807"/>
    <w:rsid w:val="00410624"/>
    <w:rsid w:val="004147B5"/>
    <w:rsid w:val="00414B3D"/>
    <w:rsid w:val="004328F9"/>
    <w:rsid w:val="004368C8"/>
    <w:rsid w:val="0043756C"/>
    <w:rsid w:val="00440EC1"/>
    <w:rsid w:val="00441C51"/>
    <w:rsid w:val="00450FC3"/>
    <w:rsid w:val="00451EE1"/>
    <w:rsid w:val="0045300B"/>
    <w:rsid w:val="00453824"/>
    <w:rsid w:val="004539B2"/>
    <w:rsid w:val="004557F8"/>
    <w:rsid w:val="0045702F"/>
    <w:rsid w:val="0046117C"/>
    <w:rsid w:val="00464DC9"/>
    <w:rsid w:val="00466781"/>
    <w:rsid w:val="004679FE"/>
    <w:rsid w:val="00470BF8"/>
    <w:rsid w:val="00472660"/>
    <w:rsid w:val="004736C7"/>
    <w:rsid w:val="00473EC1"/>
    <w:rsid w:val="00481477"/>
    <w:rsid w:val="0048277A"/>
    <w:rsid w:val="00487350"/>
    <w:rsid w:val="00487A1E"/>
    <w:rsid w:val="004A7186"/>
    <w:rsid w:val="004B2A08"/>
    <w:rsid w:val="004B51F4"/>
    <w:rsid w:val="004B5EC1"/>
    <w:rsid w:val="004C1547"/>
    <w:rsid w:val="004C1C01"/>
    <w:rsid w:val="004C58F9"/>
    <w:rsid w:val="004D001F"/>
    <w:rsid w:val="004D0EFC"/>
    <w:rsid w:val="004D4585"/>
    <w:rsid w:val="004D5271"/>
    <w:rsid w:val="004D5CB6"/>
    <w:rsid w:val="004E55B8"/>
    <w:rsid w:val="004E5E45"/>
    <w:rsid w:val="004E74A5"/>
    <w:rsid w:val="004E77B1"/>
    <w:rsid w:val="004E78EB"/>
    <w:rsid w:val="004F092C"/>
    <w:rsid w:val="004F399C"/>
    <w:rsid w:val="004F61AC"/>
    <w:rsid w:val="004F6D58"/>
    <w:rsid w:val="00501A1E"/>
    <w:rsid w:val="00502670"/>
    <w:rsid w:val="00502FA7"/>
    <w:rsid w:val="00504437"/>
    <w:rsid w:val="00506713"/>
    <w:rsid w:val="00506E2D"/>
    <w:rsid w:val="00511409"/>
    <w:rsid w:val="005154B3"/>
    <w:rsid w:val="00520A21"/>
    <w:rsid w:val="005231C4"/>
    <w:rsid w:val="00534C85"/>
    <w:rsid w:val="00540325"/>
    <w:rsid w:val="005404D2"/>
    <w:rsid w:val="0054081E"/>
    <w:rsid w:val="00547FEB"/>
    <w:rsid w:val="005514AA"/>
    <w:rsid w:val="005519F5"/>
    <w:rsid w:val="00553C9E"/>
    <w:rsid w:val="00554A20"/>
    <w:rsid w:val="00563E90"/>
    <w:rsid w:val="005645B3"/>
    <w:rsid w:val="005651EE"/>
    <w:rsid w:val="005673FD"/>
    <w:rsid w:val="005675E2"/>
    <w:rsid w:val="005700A4"/>
    <w:rsid w:val="005759AB"/>
    <w:rsid w:val="00581900"/>
    <w:rsid w:val="00581BF1"/>
    <w:rsid w:val="00585C18"/>
    <w:rsid w:val="00590C89"/>
    <w:rsid w:val="005910E3"/>
    <w:rsid w:val="00591EB6"/>
    <w:rsid w:val="005B0C7F"/>
    <w:rsid w:val="005D41CE"/>
    <w:rsid w:val="005E08F8"/>
    <w:rsid w:val="005E58B4"/>
    <w:rsid w:val="005E6440"/>
    <w:rsid w:val="005E6CC7"/>
    <w:rsid w:val="005E7BC8"/>
    <w:rsid w:val="005F494A"/>
    <w:rsid w:val="00612E7F"/>
    <w:rsid w:val="006147FD"/>
    <w:rsid w:val="0061560B"/>
    <w:rsid w:val="00617D08"/>
    <w:rsid w:val="00624326"/>
    <w:rsid w:val="00624DAA"/>
    <w:rsid w:val="00624F60"/>
    <w:rsid w:val="00634324"/>
    <w:rsid w:val="00634382"/>
    <w:rsid w:val="006343D6"/>
    <w:rsid w:val="00634DF2"/>
    <w:rsid w:val="006354B0"/>
    <w:rsid w:val="006429CF"/>
    <w:rsid w:val="00642EFC"/>
    <w:rsid w:val="006453BD"/>
    <w:rsid w:val="00650704"/>
    <w:rsid w:val="00654470"/>
    <w:rsid w:val="00655D25"/>
    <w:rsid w:val="006617D3"/>
    <w:rsid w:val="006618BD"/>
    <w:rsid w:val="006621E8"/>
    <w:rsid w:val="00666078"/>
    <w:rsid w:val="00673F5B"/>
    <w:rsid w:val="0067456A"/>
    <w:rsid w:val="00676C5A"/>
    <w:rsid w:val="00681114"/>
    <w:rsid w:val="00685EDB"/>
    <w:rsid w:val="00686A1D"/>
    <w:rsid w:val="0069221A"/>
    <w:rsid w:val="00695466"/>
    <w:rsid w:val="00695843"/>
    <w:rsid w:val="006A1E1F"/>
    <w:rsid w:val="006B0A56"/>
    <w:rsid w:val="006B18A2"/>
    <w:rsid w:val="006B285D"/>
    <w:rsid w:val="006C5914"/>
    <w:rsid w:val="006D3A0B"/>
    <w:rsid w:val="006D4E6C"/>
    <w:rsid w:val="006D71F6"/>
    <w:rsid w:val="006E2937"/>
    <w:rsid w:val="006E2F91"/>
    <w:rsid w:val="006E3D17"/>
    <w:rsid w:val="006F0F66"/>
    <w:rsid w:val="006F7F70"/>
    <w:rsid w:val="007011D9"/>
    <w:rsid w:val="00712399"/>
    <w:rsid w:val="00712D78"/>
    <w:rsid w:val="00717E86"/>
    <w:rsid w:val="00720543"/>
    <w:rsid w:val="00720817"/>
    <w:rsid w:val="0072180B"/>
    <w:rsid w:val="0072190D"/>
    <w:rsid w:val="00723E5B"/>
    <w:rsid w:val="00724936"/>
    <w:rsid w:val="00727EDF"/>
    <w:rsid w:val="007357D9"/>
    <w:rsid w:val="007365B4"/>
    <w:rsid w:val="00736C3E"/>
    <w:rsid w:val="00752369"/>
    <w:rsid w:val="00755FF3"/>
    <w:rsid w:val="007579DA"/>
    <w:rsid w:val="007703DB"/>
    <w:rsid w:val="00773061"/>
    <w:rsid w:val="007745DA"/>
    <w:rsid w:val="00775698"/>
    <w:rsid w:val="00775773"/>
    <w:rsid w:val="007846B0"/>
    <w:rsid w:val="00785C14"/>
    <w:rsid w:val="00790BC6"/>
    <w:rsid w:val="00793627"/>
    <w:rsid w:val="007978B7"/>
    <w:rsid w:val="007A203A"/>
    <w:rsid w:val="007A406C"/>
    <w:rsid w:val="007B159A"/>
    <w:rsid w:val="007B1BB1"/>
    <w:rsid w:val="007B3E1F"/>
    <w:rsid w:val="007B3F71"/>
    <w:rsid w:val="007C2BA0"/>
    <w:rsid w:val="007C3C07"/>
    <w:rsid w:val="007C5257"/>
    <w:rsid w:val="007D2832"/>
    <w:rsid w:val="007D30DC"/>
    <w:rsid w:val="007D4F84"/>
    <w:rsid w:val="007D6B70"/>
    <w:rsid w:val="007E3CFF"/>
    <w:rsid w:val="007E43D3"/>
    <w:rsid w:val="007F09FF"/>
    <w:rsid w:val="007F0A0B"/>
    <w:rsid w:val="007F0B83"/>
    <w:rsid w:val="007F1CF5"/>
    <w:rsid w:val="007F6D77"/>
    <w:rsid w:val="00806B32"/>
    <w:rsid w:val="00812BAA"/>
    <w:rsid w:val="008320FD"/>
    <w:rsid w:val="00835E8A"/>
    <w:rsid w:val="00847645"/>
    <w:rsid w:val="00853E34"/>
    <w:rsid w:val="008560CF"/>
    <w:rsid w:val="00856AF4"/>
    <w:rsid w:val="0085764C"/>
    <w:rsid w:val="008619CE"/>
    <w:rsid w:val="00864B5C"/>
    <w:rsid w:val="00865AB4"/>
    <w:rsid w:val="00867832"/>
    <w:rsid w:val="00871355"/>
    <w:rsid w:val="0087241B"/>
    <w:rsid w:val="00877D9F"/>
    <w:rsid w:val="008931C3"/>
    <w:rsid w:val="0089740B"/>
    <w:rsid w:val="008976FB"/>
    <w:rsid w:val="008A069B"/>
    <w:rsid w:val="008A50E5"/>
    <w:rsid w:val="008A7C14"/>
    <w:rsid w:val="008B0163"/>
    <w:rsid w:val="008B1AE9"/>
    <w:rsid w:val="008B27DD"/>
    <w:rsid w:val="008B3BBE"/>
    <w:rsid w:val="008C21FC"/>
    <w:rsid w:val="008C2F52"/>
    <w:rsid w:val="008D683B"/>
    <w:rsid w:val="008D6D79"/>
    <w:rsid w:val="008D7B77"/>
    <w:rsid w:val="008E029E"/>
    <w:rsid w:val="008E0DF2"/>
    <w:rsid w:val="008E389B"/>
    <w:rsid w:val="008E46D6"/>
    <w:rsid w:val="008E6D74"/>
    <w:rsid w:val="008F2C69"/>
    <w:rsid w:val="009073AF"/>
    <w:rsid w:val="0091243B"/>
    <w:rsid w:val="00914A54"/>
    <w:rsid w:val="00917732"/>
    <w:rsid w:val="009251D0"/>
    <w:rsid w:val="00934682"/>
    <w:rsid w:val="00937BD4"/>
    <w:rsid w:val="009405E0"/>
    <w:rsid w:val="00946A4F"/>
    <w:rsid w:val="00953A65"/>
    <w:rsid w:val="0095731C"/>
    <w:rsid w:val="009612E3"/>
    <w:rsid w:val="00974455"/>
    <w:rsid w:val="00980105"/>
    <w:rsid w:val="00984211"/>
    <w:rsid w:val="00987B48"/>
    <w:rsid w:val="00990BE3"/>
    <w:rsid w:val="00995649"/>
    <w:rsid w:val="00995884"/>
    <w:rsid w:val="009967BA"/>
    <w:rsid w:val="009A0AA7"/>
    <w:rsid w:val="009A157F"/>
    <w:rsid w:val="009A194C"/>
    <w:rsid w:val="009A39C5"/>
    <w:rsid w:val="009A40F1"/>
    <w:rsid w:val="009B3541"/>
    <w:rsid w:val="009B59E1"/>
    <w:rsid w:val="009B79D7"/>
    <w:rsid w:val="009C3EAF"/>
    <w:rsid w:val="009C740E"/>
    <w:rsid w:val="009D112A"/>
    <w:rsid w:val="009E15AB"/>
    <w:rsid w:val="009E31B4"/>
    <w:rsid w:val="009E378A"/>
    <w:rsid w:val="009F1360"/>
    <w:rsid w:val="009F6AFC"/>
    <w:rsid w:val="00A04B73"/>
    <w:rsid w:val="00A068EE"/>
    <w:rsid w:val="00A07A5F"/>
    <w:rsid w:val="00A112AA"/>
    <w:rsid w:val="00A12E42"/>
    <w:rsid w:val="00A20E7C"/>
    <w:rsid w:val="00A21F9C"/>
    <w:rsid w:val="00A22998"/>
    <w:rsid w:val="00A269B7"/>
    <w:rsid w:val="00A33161"/>
    <w:rsid w:val="00A37C8C"/>
    <w:rsid w:val="00A41AB3"/>
    <w:rsid w:val="00A44369"/>
    <w:rsid w:val="00A46339"/>
    <w:rsid w:val="00A518DB"/>
    <w:rsid w:val="00A5190B"/>
    <w:rsid w:val="00A62F9C"/>
    <w:rsid w:val="00A67A7A"/>
    <w:rsid w:val="00A74BFA"/>
    <w:rsid w:val="00A81BCB"/>
    <w:rsid w:val="00A846D5"/>
    <w:rsid w:val="00A96510"/>
    <w:rsid w:val="00A974A5"/>
    <w:rsid w:val="00AA0287"/>
    <w:rsid w:val="00AA7111"/>
    <w:rsid w:val="00AB2084"/>
    <w:rsid w:val="00AB7347"/>
    <w:rsid w:val="00AC596B"/>
    <w:rsid w:val="00AC5DBE"/>
    <w:rsid w:val="00AD67F2"/>
    <w:rsid w:val="00AD716C"/>
    <w:rsid w:val="00AE1CDD"/>
    <w:rsid w:val="00AE1E67"/>
    <w:rsid w:val="00AE1FA1"/>
    <w:rsid w:val="00AE2DCC"/>
    <w:rsid w:val="00AE3690"/>
    <w:rsid w:val="00AE4660"/>
    <w:rsid w:val="00AE6D23"/>
    <w:rsid w:val="00AF0B17"/>
    <w:rsid w:val="00AF33F1"/>
    <w:rsid w:val="00AF4435"/>
    <w:rsid w:val="00B01DCB"/>
    <w:rsid w:val="00B1082D"/>
    <w:rsid w:val="00B10F90"/>
    <w:rsid w:val="00B14159"/>
    <w:rsid w:val="00B2057C"/>
    <w:rsid w:val="00B206F3"/>
    <w:rsid w:val="00B2162C"/>
    <w:rsid w:val="00B24C74"/>
    <w:rsid w:val="00B34FE3"/>
    <w:rsid w:val="00B36B6B"/>
    <w:rsid w:val="00B40655"/>
    <w:rsid w:val="00B41AB5"/>
    <w:rsid w:val="00B455BA"/>
    <w:rsid w:val="00B5217D"/>
    <w:rsid w:val="00B535E8"/>
    <w:rsid w:val="00B5733B"/>
    <w:rsid w:val="00B642DD"/>
    <w:rsid w:val="00B660A0"/>
    <w:rsid w:val="00B76B42"/>
    <w:rsid w:val="00B803B1"/>
    <w:rsid w:val="00B8042D"/>
    <w:rsid w:val="00B8110E"/>
    <w:rsid w:val="00B90D9C"/>
    <w:rsid w:val="00B92D7A"/>
    <w:rsid w:val="00B956CC"/>
    <w:rsid w:val="00B96914"/>
    <w:rsid w:val="00B96D99"/>
    <w:rsid w:val="00BA147F"/>
    <w:rsid w:val="00BA5A54"/>
    <w:rsid w:val="00BA6337"/>
    <w:rsid w:val="00BB1D71"/>
    <w:rsid w:val="00BB6340"/>
    <w:rsid w:val="00BC2486"/>
    <w:rsid w:val="00BC2519"/>
    <w:rsid w:val="00BC3298"/>
    <w:rsid w:val="00BC3781"/>
    <w:rsid w:val="00BD075F"/>
    <w:rsid w:val="00BD5A1D"/>
    <w:rsid w:val="00BE03A7"/>
    <w:rsid w:val="00BE1C1C"/>
    <w:rsid w:val="00BE3FED"/>
    <w:rsid w:val="00BE6C5B"/>
    <w:rsid w:val="00C030EA"/>
    <w:rsid w:val="00C03717"/>
    <w:rsid w:val="00C04D74"/>
    <w:rsid w:val="00C050B1"/>
    <w:rsid w:val="00C11DDE"/>
    <w:rsid w:val="00C16DE7"/>
    <w:rsid w:val="00C213E4"/>
    <w:rsid w:val="00C243D8"/>
    <w:rsid w:val="00C25FD8"/>
    <w:rsid w:val="00C321B1"/>
    <w:rsid w:val="00C336A3"/>
    <w:rsid w:val="00C34E37"/>
    <w:rsid w:val="00C36403"/>
    <w:rsid w:val="00C37D48"/>
    <w:rsid w:val="00C53370"/>
    <w:rsid w:val="00C547F4"/>
    <w:rsid w:val="00C55C2C"/>
    <w:rsid w:val="00C5645E"/>
    <w:rsid w:val="00C6092B"/>
    <w:rsid w:val="00C62FA2"/>
    <w:rsid w:val="00C6454D"/>
    <w:rsid w:val="00C664C5"/>
    <w:rsid w:val="00C66E18"/>
    <w:rsid w:val="00C76B38"/>
    <w:rsid w:val="00C85FBD"/>
    <w:rsid w:val="00C94A9C"/>
    <w:rsid w:val="00CA11B8"/>
    <w:rsid w:val="00CA48DC"/>
    <w:rsid w:val="00CB06FC"/>
    <w:rsid w:val="00CB4C3E"/>
    <w:rsid w:val="00CC0A1F"/>
    <w:rsid w:val="00CD0E4C"/>
    <w:rsid w:val="00CF1E3B"/>
    <w:rsid w:val="00CF4623"/>
    <w:rsid w:val="00D03576"/>
    <w:rsid w:val="00D04934"/>
    <w:rsid w:val="00D055D6"/>
    <w:rsid w:val="00D1153B"/>
    <w:rsid w:val="00D125B1"/>
    <w:rsid w:val="00D13DC3"/>
    <w:rsid w:val="00D14243"/>
    <w:rsid w:val="00D14E39"/>
    <w:rsid w:val="00D20449"/>
    <w:rsid w:val="00D22679"/>
    <w:rsid w:val="00D250E3"/>
    <w:rsid w:val="00D25478"/>
    <w:rsid w:val="00D26634"/>
    <w:rsid w:val="00D30CB7"/>
    <w:rsid w:val="00D3505A"/>
    <w:rsid w:val="00D36EDC"/>
    <w:rsid w:val="00D42BDD"/>
    <w:rsid w:val="00D4526C"/>
    <w:rsid w:val="00D578D0"/>
    <w:rsid w:val="00D601C7"/>
    <w:rsid w:val="00D65AFB"/>
    <w:rsid w:val="00D666BE"/>
    <w:rsid w:val="00D67DBA"/>
    <w:rsid w:val="00D716DE"/>
    <w:rsid w:val="00D73B3F"/>
    <w:rsid w:val="00D87A03"/>
    <w:rsid w:val="00D92493"/>
    <w:rsid w:val="00D9479A"/>
    <w:rsid w:val="00D96013"/>
    <w:rsid w:val="00DA0555"/>
    <w:rsid w:val="00DA7987"/>
    <w:rsid w:val="00DB1D95"/>
    <w:rsid w:val="00DB2682"/>
    <w:rsid w:val="00DB26A1"/>
    <w:rsid w:val="00DB47EE"/>
    <w:rsid w:val="00DB532B"/>
    <w:rsid w:val="00DB56AE"/>
    <w:rsid w:val="00DC1D7F"/>
    <w:rsid w:val="00DC5CD7"/>
    <w:rsid w:val="00DC6162"/>
    <w:rsid w:val="00DD05E3"/>
    <w:rsid w:val="00DD0F9A"/>
    <w:rsid w:val="00DD571A"/>
    <w:rsid w:val="00DE0E6B"/>
    <w:rsid w:val="00DE30C3"/>
    <w:rsid w:val="00DE3728"/>
    <w:rsid w:val="00DF1447"/>
    <w:rsid w:val="00E2098F"/>
    <w:rsid w:val="00E34199"/>
    <w:rsid w:val="00E3471E"/>
    <w:rsid w:val="00E349C2"/>
    <w:rsid w:val="00E368EC"/>
    <w:rsid w:val="00E3714C"/>
    <w:rsid w:val="00E406CD"/>
    <w:rsid w:val="00E46A9C"/>
    <w:rsid w:val="00E47667"/>
    <w:rsid w:val="00E50ECC"/>
    <w:rsid w:val="00E52D4E"/>
    <w:rsid w:val="00E5304F"/>
    <w:rsid w:val="00E5617E"/>
    <w:rsid w:val="00E56C0D"/>
    <w:rsid w:val="00E607B5"/>
    <w:rsid w:val="00E60F6E"/>
    <w:rsid w:val="00E62100"/>
    <w:rsid w:val="00E62C5A"/>
    <w:rsid w:val="00E74A1B"/>
    <w:rsid w:val="00E7733B"/>
    <w:rsid w:val="00E77ADA"/>
    <w:rsid w:val="00E81690"/>
    <w:rsid w:val="00E875E1"/>
    <w:rsid w:val="00E90933"/>
    <w:rsid w:val="00E91095"/>
    <w:rsid w:val="00E97C3D"/>
    <w:rsid w:val="00EA0760"/>
    <w:rsid w:val="00EA27C6"/>
    <w:rsid w:val="00EA7506"/>
    <w:rsid w:val="00EB1BBF"/>
    <w:rsid w:val="00EB27A8"/>
    <w:rsid w:val="00EC789C"/>
    <w:rsid w:val="00ED0175"/>
    <w:rsid w:val="00ED23CA"/>
    <w:rsid w:val="00ED3656"/>
    <w:rsid w:val="00ED3EBE"/>
    <w:rsid w:val="00ED5393"/>
    <w:rsid w:val="00ED72DD"/>
    <w:rsid w:val="00EF0DBA"/>
    <w:rsid w:val="00EF7E5E"/>
    <w:rsid w:val="00F04970"/>
    <w:rsid w:val="00F10972"/>
    <w:rsid w:val="00F131D8"/>
    <w:rsid w:val="00F13FF8"/>
    <w:rsid w:val="00F20BE6"/>
    <w:rsid w:val="00F241E2"/>
    <w:rsid w:val="00F27AC8"/>
    <w:rsid w:val="00F31669"/>
    <w:rsid w:val="00F32EAF"/>
    <w:rsid w:val="00F339A9"/>
    <w:rsid w:val="00F341AF"/>
    <w:rsid w:val="00F34592"/>
    <w:rsid w:val="00F34867"/>
    <w:rsid w:val="00F41BAC"/>
    <w:rsid w:val="00F422DE"/>
    <w:rsid w:val="00F4429E"/>
    <w:rsid w:val="00F451C1"/>
    <w:rsid w:val="00F547EF"/>
    <w:rsid w:val="00F6341B"/>
    <w:rsid w:val="00F65B96"/>
    <w:rsid w:val="00F675C8"/>
    <w:rsid w:val="00F67CE5"/>
    <w:rsid w:val="00F715C1"/>
    <w:rsid w:val="00F729BA"/>
    <w:rsid w:val="00F73016"/>
    <w:rsid w:val="00F82F8B"/>
    <w:rsid w:val="00F844EE"/>
    <w:rsid w:val="00F867FA"/>
    <w:rsid w:val="00F86E49"/>
    <w:rsid w:val="00F8784C"/>
    <w:rsid w:val="00F90761"/>
    <w:rsid w:val="00F9150A"/>
    <w:rsid w:val="00FA0F89"/>
    <w:rsid w:val="00FA3359"/>
    <w:rsid w:val="00FA50FD"/>
    <w:rsid w:val="00FB09E9"/>
    <w:rsid w:val="00FB107E"/>
    <w:rsid w:val="00FB1E82"/>
    <w:rsid w:val="00FB5CA7"/>
    <w:rsid w:val="00FB6967"/>
    <w:rsid w:val="00FC1975"/>
    <w:rsid w:val="00FC6EB6"/>
    <w:rsid w:val="00FD0395"/>
    <w:rsid w:val="00FD0ECC"/>
    <w:rsid w:val="00FD4B16"/>
    <w:rsid w:val="00FD5991"/>
    <w:rsid w:val="00FE0441"/>
    <w:rsid w:val="00FE1309"/>
    <w:rsid w:val="00FE29AE"/>
    <w:rsid w:val="00FE324C"/>
    <w:rsid w:val="00FE3C67"/>
    <w:rsid w:val="00FE59F7"/>
    <w:rsid w:val="00FE610D"/>
    <w:rsid w:val="00FE7B32"/>
    <w:rsid w:val="00FF409B"/>
    <w:rsid w:val="00FF47D4"/>
    <w:rsid w:val="00FF6839"/>
    <w:rsid w:val="013408A4"/>
    <w:rsid w:val="02CFD905"/>
    <w:rsid w:val="0F7E9C04"/>
    <w:rsid w:val="197FDDF5"/>
    <w:rsid w:val="1BB5119E"/>
    <w:rsid w:val="1D6779AB"/>
    <w:rsid w:val="2542CB87"/>
    <w:rsid w:val="2A2CD456"/>
    <w:rsid w:val="3237E63B"/>
    <w:rsid w:val="33ABB148"/>
    <w:rsid w:val="35F77C9D"/>
    <w:rsid w:val="37E882A5"/>
    <w:rsid w:val="535FDE48"/>
    <w:rsid w:val="5B51C7D0"/>
    <w:rsid w:val="5CED9831"/>
    <w:rsid w:val="5FA04343"/>
    <w:rsid w:val="671C7017"/>
    <w:rsid w:val="6A5410D9"/>
    <w:rsid w:val="70A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3044"/>
  <w15:docId w15:val="{6FCE7BC5-1C6F-4B76-BA51-130E722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numbering" w:customStyle="1" w:styleId="WW8Num2">
    <w:name w:val="WW8Num2"/>
    <w:basedOn w:val="Sinlista"/>
    <w:rsid w:val="00624326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C68"/>
    <w:pPr>
      <w:ind w:left="720"/>
      <w:contextualSpacing/>
    </w:pPr>
  </w:style>
  <w:style w:type="paragraph" w:styleId="Sinespaciado">
    <w:name w:val="No Spacing"/>
    <w:uiPriority w:val="1"/>
    <w:qFormat/>
    <w:rsid w:val="00E5617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62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B3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B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B80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8A50E5"/>
  </w:style>
  <w:style w:type="character" w:customStyle="1" w:styleId="eop">
    <w:name w:val="eop"/>
    <w:basedOn w:val="Fuentedeprrafopredeter"/>
    <w:rsid w:val="008A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FF7D-59BA-4288-9A91-DD9BD2A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1561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>InKulpado666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Usuario</dc:creator>
  <cp:keywords>ACTA</cp:keywords>
  <dc:description>MERCOSUR</dc:description>
  <cp:lastModifiedBy>Alberto Sanchez</cp:lastModifiedBy>
  <cp:revision>4</cp:revision>
  <cp:lastPrinted>2022-05-27T18:23:00Z</cp:lastPrinted>
  <dcterms:created xsi:type="dcterms:W3CDTF">2022-09-02T19:54:00Z</dcterms:created>
  <dcterms:modified xsi:type="dcterms:W3CDTF">2022-09-02T20:01:00Z</dcterms:modified>
</cp:coreProperties>
</file>