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C0E77" w14:textId="65B3AE5C" w:rsidR="002C76D5" w:rsidRPr="00FD40D1" w:rsidRDefault="002C76D5">
      <w:pPr>
        <w:ind w:left="0" w:hanging="2"/>
        <w:jc w:val="both"/>
      </w:pPr>
    </w:p>
    <w:p w14:paraId="1323B590" w14:textId="77777777" w:rsidR="002C76D5" w:rsidRPr="00FD40D1" w:rsidRDefault="002C76D5">
      <w:pPr>
        <w:ind w:left="0" w:hanging="2"/>
        <w:jc w:val="both"/>
      </w:pPr>
    </w:p>
    <w:p w14:paraId="5BF90FFB" w14:textId="77777777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b/>
          <w:lang w:val="es-UY"/>
        </w:rPr>
        <w:t>MERCOSUR/RMIS/ACTA N° 01/2</w:t>
      </w:r>
      <w:r w:rsidR="00083605" w:rsidRPr="00FD40D1">
        <w:rPr>
          <w:b/>
          <w:lang w:val="es-UY"/>
        </w:rPr>
        <w:t>2</w:t>
      </w:r>
    </w:p>
    <w:p w14:paraId="7CE6F2A3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3195A629" w14:textId="77777777" w:rsidR="00271DC4" w:rsidRDefault="00271DC4">
      <w:pPr>
        <w:ind w:left="0" w:hanging="2"/>
        <w:jc w:val="center"/>
        <w:rPr>
          <w:b/>
          <w:lang w:val="es-UY"/>
        </w:rPr>
      </w:pPr>
    </w:p>
    <w:p w14:paraId="42F74AFB" w14:textId="77777777" w:rsidR="002C76D5" w:rsidRPr="00FD40D1" w:rsidRDefault="001C558A">
      <w:pPr>
        <w:ind w:left="0" w:hanging="2"/>
        <w:jc w:val="center"/>
        <w:rPr>
          <w:lang w:val="es-UY"/>
        </w:rPr>
      </w:pPr>
      <w:r w:rsidRPr="00FD40D1">
        <w:rPr>
          <w:b/>
          <w:lang w:val="es-UY"/>
        </w:rPr>
        <w:t xml:space="preserve"> XLV</w:t>
      </w:r>
      <w:r w:rsidR="00083605" w:rsidRPr="00FD40D1">
        <w:rPr>
          <w:b/>
          <w:lang w:val="es-UY"/>
        </w:rPr>
        <w:t>II</w:t>
      </w:r>
      <w:r w:rsidRPr="00FD40D1">
        <w:rPr>
          <w:b/>
          <w:lang w:val="es-UY"/>
        </w:rPr>
        <w:t xml:space="preserve"> REUNIÓN DE MINISTROS DEL INTERIOR Y DE SEGURIDAD</w:t>
      </w:r>
    </w:p>
    <w:p w14:paraId="24044B17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53C164E8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3D48F0EC" w14:textId="250ED431" w:rsidR="00083605" w:rsidRPr="00FD40D1" w:rsidRDefault="00083605" w:rsidP="00B766DC">
      <w:pPr>
        <w:shd w:val="clear" w:color="auto" w:fill="FFFFFF" w:themeFill="background1"/>
        <w:suppressAutoHyphens/>
        <w:autoSpaceDN w:val="0"/>
        <w:spacing w:line="240" w:lineRule="auto"/>
        <w:ind w:left="0" w:hanging="2"/>
        <w:jc w:val="both"/>
        <w:textAlignment w:val="baseline"/>
        <w:rPr>
          <w:rFonts w:eastAsia="Times New Roman"/>
          <w:lang w:val="es-ES"/>
        </w:rPr>
      </w:pPr>
      <w:r w:rsidRPr="00B766DC">
        <w:rPr>
          <w:rFonts w:eastAsia="Calibri"/>
          <w:kern w:val="3"/>
          <w:lang w:val="es-PY"/>
        </w:rPr>
        <w:t>Se realizó el día</w:t>
      </w:r>
      <w:r w:rsidR="005D5FE0" w:rsidRPr="00B766DC">
        <w:rPr>
          <w:rFonts w:eastAsia="Calibri"/>
          <w:kern w:val="3"/>
          <w:lang w:val="es-PY"/>
        </w:rPr>
        <w:t xml:space="preserve"> 3 de junio </w:t>
      </w:r>
      <w:r w:rsidRPr="00B766DC">
        <w:rPr>
          <w:rFonts w:eastAsia="Calibri"/>
          <w:kern w:val="3"/>
          <w:lang w:val="es-PY"/>
        </w:rPr>
        <w:t>de 2022, en ejercicio de la Presidencia Pro Tempore de Paraguay (PPTP), la XLVII Reunión de Ministros d</w:t>
      </w:r>
      <w:r w:rsidR="00486B60">
        <w:rPr>
          <w:rFonts w:eastAsia="Calibri"/>
          <w:kern w:val="3"/>
          <w:lang w:val="es-PY"/>
        </w:rPr>
        <w:t>el Interior y Seguridad (RMIS),</w:t>
      </w:r>
      <w:r w:rsidRPr="00B766DC">
        <w:rPr>
          <w:rFonts w:eastAsia="Calibri"/>
          <w:kern w:val="3"/>
          <w:lang w:val="es-PY"/>
        </w:rPr>
        <w:t xml:space="preserve"> con la </w:t>
      </w:r>
      <w:r w:rsidR="00A86692">
        <w:rPr>
          <w:rFonts w:eastAsia="Calibri"/>
          <w:kern w:val="3"/>
          <w:lang w:val="es-PY"/>
        </w:rPr>
        <w:t>presencia</w:t>
      </w:r>
      <w:r w:rsidRPr="00B766DC">
        <w:rPr>
          <w:rFonts w:eastAsia="Calibri"/>
          <w:kern w:val="3"/>
          <w:lang w:val="es-PY"/>
        </w:rPr>
        <w:t xml:space="preserve"> </w:t>
      </w:r>
      <w:r w:rsidRPr="00B766DC">
        <w:rPr>
          <w:rFonts w:eastAsia="Times New Roman"/>
          <w:lang w:val="es-ES"/>
        </w:rPr>
        <w:t>de las delegaciones de Argenti</w:t>
      </w:r>
      <w:r w:rsidR="00A65ABD">
        <w:rPr>
          <w:rFonts w:eastAsia="Times New Roman"/>
          <w:lang w:val="es-ES"/>
        </w:rPr>
        <w:t>na, Brasil, Paraguay y Uruguay. Las delegaciones de Chile, Colombia y Perú participaron en su condición de Estado Asociado, de acuerdo con lo dispuesto en la Decisión CMC N° 18/04.</w:t>
      </w:r>
    </w:p>
    <w:p w14:paraId="324F6301" w14:textId="77777777" w:rsidR="00083605" w:rsidRPr="00FD40D1" w:rsidRDefault="00083605" w:rsidP="00083605">
      <w:pPr>
        <w:suppressAutoHyphens/>
        <w:spacing w:line="240" w:lineRule="auto"/>
        <w:ind w:left="0" w:hanging="2"/>
        <w:jc w:val="both"/>
        <w:rPr>
          <w:color w:val="000000"/>
          <w:lang w:val="es-PY" w:eastAsia="zh-CN"/>
        </w:rPr>
      </w:pPr>
      <w:bookmarkStart w:id="0" w:name="_GoBack"/>
      <w:bookmarkEnd w:id="0"/>
    </w:p>
    <w:p w14:paraId="548A2AF6" w14:textId="5C2BE1D0" w:rsidR="002C76D5" w:rsidRPr="00FD40D1" w:rsidRDefault="005F551A">
      <w:pPr>
        <w:ind w:left="0" w:hanging="2"/>
        <w:jc w:val="both"/>
        <w:rPr>
          <w:lang w:val="es-UY"/>
        </w:rPr>
      </w:pPr>
      <w:r w:rsidRPr="00FD40D1">
        <w:rPr>
          <w:rFonts w:eastAsia="Times New Roman"/>
          <w:color w:val="000000"/>
          <w:lang w:val="es-UY" w:eastAsia="es-AR"/>
        </w:rPr>
        <w:t>La apertura de la reunión estuvo a cargo de</w:t>
      </w:r>
      <w:r w:rsidR="00083605" w:rsidRPr="00FD40D1">
        <w:rPr>
          <w:lang w:val="es-UY"/>
        </w:rPr>
        <w:t xml:space="preserve">l </w:t>
      </w:r>
      <w:r w:rsidR="001C558A" w:rsidRPr="00FD40D1">
        <w:rPr>
          <w:lang w:val="es-UY"/>
        </w:rPr>
        <w:t>Ministr</w:t>
      </w:r>
      <w:r w:rsidR="00083605" w:rsidRPr="00FD40D1">
        <w:rPr>
          <w:lang w:val="es-UY"/>
        </w:rPr>
        <w:t>o</w:t>
      </w:r>
      <w:r w:rsidR="001C558A" w:rsidRPr="00FD40D1">
        <w:rPr>
          <w:lang w:val="es-UY"/>
        </w:rPr>
        <w:t xml:space="preserve"> de</w:t>
      </w:r>
      <w:r w:rsidR="00083605" w:rsidRPr="00FD40D1">
        <w:rPr>
          <w:lang w:val="es-UY"/>
        </w:rPr>
        <w:t>l</w:t>
      </w:r>
      <w:r w:rsidR="001C558A" w:rsidRPr="00FD40D1">
        <w:rPr>
          <w:lang w:val="es-UY"/>
        </w:rPr>
        <w:t xml:space="preserve"> </w:t>
      </w:r>
      <w:r w:rsidR="00083605" w:rsidRPr="00FD40D1">
        <w:rPr>
          <w:lang w:val="es-UY"/>
        </w:rPr>
        <w:t>Interior</w:t>
      </w:r>
      <w:r w:rsidR="001F30EF" w:rsidRPr="00FD40D1">
        <w:rPr>
          <w:lang w:val="es-UY"/>
        </w:rPr>
        <w:t xml:space="preserve">, Federico A. </w:t>
      </w:r>
      <w:r w:rsidR="00FB2256" w:rsidRPr="00FD40D1">
        <w:rPr>
          <w:lang w:val="es-UY"/>
        </w:rPr>
        <w:t>González</w:t>
      </w:r>
      <w:r w:rsidR="001F30EF" w:rsidRPr="00FD40D1">
        <w:rPr>
          <w:lang w:val="es-UY"/>
        </w:rPr>
        <w:t xml:space="preserve">, </w:t>
      </w:r>
      <w:r w:rsidRPr="00FD40D1">
        <w:rPr>
          <w:rFonts w:eastAsia="Times New Roman"/>
          <w:color w:val="000000"/>
          <w:lang w:val="es-UY" w:eastAsia="es-AR"/>
        </w:rPr>
        <w:t>en ejercicio de la PPTP y</w:t>
      </w:r>
      <w:r w:rsidRPr="00FD40D1">
        <w:rPr>
          <w:lang w:val="es-UY"/>
        </w:rPr>
        <w:t xml:space="preserve"> dio </w:t>
      </w:r>
      <w:r w:rsidR="001C558A" w:rsidRPr="00FD40D1">
        <w:rPr>
          <w:lang w:val="es-UY"/>
        </w:rPr>
        <w:t xml:space="preserve">la bienvenida a las delegaciones presentes, augurando una fructífera labor. </w:t>
      </w:r>
    </w:p>
    <w:p w14:paraId="184AD68E" w14:textId="0A15D1F1" w:rsidR="005158D8" w:rsidRPr="00FD40D1" w:rsidRDefault="005158D8">
      <w:pPr>
        <w:ind w:left="0" w:hanging="2"/>
        <w:jc w:val="both"/>
        <w:rPr>
          <w:lang w:val="es-UY"/>
        </w:rPr>
      </w:pPr>
    </w:p>
    <w:p w14:paraId="558213AD" w14:textId="5294B22F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lista de participantes consta como </w:t>
      </w:r>
      <w:r w:rsidRPr="00FD40D1">
        <w:rPr>
          <w:b/>
          <w:lang w:val="es-UY"/>
        </w:rPr>
        <w:t>Anexo I</w:t>
      </w:r>
      <w:r w:rsidRPr="00FD40D1">
        <w:rPr>
          <w:lang w:val="es-UY"/>
        </w:rPr>
        <w:t>.</w:t>
      </w:r>
      <w:r w:rsidRPr="00FD40D1">
        <w:rPr>
          <w:b/>
          <w:lang w:val="es-UY"/>
        </w:rPr>
        <w:t xml:space="preserve"> </w:t>
      </w:r>
    </w:p>
    <w:p w14:paraId="7A39B6D3" w14:textId="77777777" w:rsidR="0089158E" w:rsidRPr="00FD40D1" w:rsidRDefault="0089158E" w:rsidP="0089158E">
      <w:pPr>
        <w:ind w:left="0" w:hanging="2"/>
        <w:jc w:val="both"/>
        <w:rPr>
          <w:lang w:val="es-UY"/>
        </w:rPr>
      </w:pPr>
    </w:p>
    <w:p w14:paraId="1327BAD6" w14:textId="2D849B6E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Agenda consta como </w:t>
      </w:r>
      <w:r w:rsidRPr="00FD40D1">
        <w:rPr>
          <w:b/>
          <w:bCs/>
          <w:lang w:val="es-UY"/>
        </w:rPr>
        <w:t>Anexo II</w:t>
      </w:r>
      <w:r w:rsidRPr="00FD40D1">
        <w:rPr>
          <w:lang w:val="es-UY"/>
        </w:rPr>
        <w:t>.</w:t>
      </w:r>
    </w:p>
    <w:p w14:paraId="534B8E8C" w14:textId="14A8648F" w:rsidR="0089158E" w:rsidRPr="00FD40D1" w:rsidRDefault="0089158E" w:rsidP="0089158E">
      <w:pPr>
        <w:ind w:left="0" w:hanging="2"/>
        <w:jc w:val="both"/>
        <w:rPr>
          <w:lang w:val="es-UY"/>
        </w:rPr>
      </w:pPr>
    </w:p>
    <w:p w14:paraId="1B26714E" w14:textId="70E11AF9" w:rsidR="0089158E" w:rsidRPr="00FD40D1" w:rsidRDefault="0089158E" w:rsidP="0089158E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El Resumen del Acta consta como </w:t>
      </w:r>
      <w:r w:rsidRPr="00FD40D1">
        <w:rPr>
          <w:b/>
          <w:bCs/>
          <w:lang w:val="es-UY"/>
        </w:rPr>
        <w:t>Anexo III</w:t>
      </w:r>
      <w:r w:rsidRPr="00FD40D1">
        <w:rPr>
          <w:lang w:val="es-UY"/>
        </w:rPr>
        <w:t>.</w:t>
      </w:r>
    </w:p>
    <w:p w14:paraId="10565C3D" w14:textId="77777777" w:rsidR="005158D8" w:rsidRPr="00FD40D1" w:rsidRDefault="005158D8">
      <w:pPr>
        <w:ind w:left="0" w:hanging="2"/>
        <w:jc w:val="both"/>
        <w:rPr>
          <w:lang w:val="es-UY"/>
        </w:rPr>
      </w:pPr>
    </w:p>
    <w:p w14:paraId="6D78AB34" w14:textId="494CDDCE" w:rsidR="005D5FE0" w:rsidRPr="00FD40D1" w:rsidRDefault="005D5FE0">
      <w:pPr>
        <w:ind w:left="0" w:hanging="2"/>
        <w:jc w:val="both"/>
        <w:rPr>
          <w:lang w:val="es-UY"/>
        </w:rPr>
      </w:pPr>
    </w:p>
    <w:p w14:paraId="72C0D637" w14:textId="42A98D78" w:rsidR="005D5FE0" w:rsidRPr="00FD40D1" w:rsidRDefault="005D5FE0" w:rsidP="007105A3">
      <w:pPr>
        <w:tabs>
          <w:tab w:val="left" w:pos="567"/>
        </w:tabs>
        <w:ind w:left="567" w:hangingChars="236" w:hanging="569"/>
        <w:jc w:val="both"/>
        <w:rPr>
          <w:b/>
          <w:bCs/>
          <w:lang w:val="es-UY"/>
        </w:rPr>
      </w:pPr>
      <w:r w:rsidRPr="00FD40D1">
        <w:rPr>
          <w:b/>
          <w:bCs/>
          <w:lang w:val="es-UY"/>
        </w:rPr>
        <w:t xml:space="preserve">1. </w:t>
      </w:r>
      <w:r w:rsidR="007105A3" w:rsidRPr="00FD40D1">
        <w:rPr>
          <w:b/>
          <w:bCs/>
          <w:lang w:val="es-UY"/>
        </w:rPr>
        <w:t xml:space="preserve">  </w:t>
      </w:r>
      <w:r w:rsidR="007105A3" w:rsidRPr="00FD40D1">
        <w:rPr>
          <w:b/>
          <w:bCs/>
          <w:lang w:val="es-UY"/>
        </w:rPr>
        <w:tab/>
      </w:r>
      <w:r w:rsidRPr="00FD40D1">
        <w:rPr>
          <w:b/>
          <w:bCs/>
          <w:lang w:val="es-UY"/>
        </w:rPr>
        <w:t xml:space="preserve">EVALUACIÓN SEMESTRAL </w:t>
      </w:r>
      <w:r w:rsidR="005158D8" w:rsidRPr="00FD40D1">
        <w:rPr>
          <w:b/>
          <w:bCs/>
          <w:lang w:val="es-UY"/>
        </w:rPr>
        <w:t>DE LOS TRABAJOS DE LA RMIS</w:t>
      </w:r>
      <w:r w:rsidRPr="00FD40D1">
        <w:rPr>
          <w:b/>
          <w:bCs/>
          <w:lang w:val="es-UY"/>
        </w:rPr>
        <w:t xml:space="preserve"> </w:t>
      </w:r>
      <w:r w:rsidR="007105A3" w:rsidRPr="00FD40D1">
        <w:rPr>
          <w:b/>
          <w:bCs/>
          <w:lang w:val="es-UY"/>
        </w:rPr>
        <w:t>Y SUS FOROS DEPENDIENTES</w:t>
      </w:r>
    </w:p>
    <w:p w14:paraId="3945F5C1" w14:textId="77777777" w:rsidR="005D5FE0" w:rsidRPr="00FD40D1" w:rsidRDefault="005D5FE0">
      <w:pPr>
        <w:ind w:left="0" w:hanging="2"/>
        <w:jc w:val="both"/>
        <w:rPr>
          <w:lang w:val="es-UY"/>
        </w:rPr>
      </w:pPr>
    </w:p>
    <w:p w14:paraId="7A3C1B02" w14:textId="32EEC299" w:rsidR="00542501" w:rsidRPr="00FD40D1" w:rsidRDefault="005D5FE0" w:rsidP="00542501">
      <w:pPr>
        <w:shd w:val="clear" w:color="auto" w:fill="FFFFFF"/>
        <w:spacing w:line="240" w:lineRule="auto"/>
        <w:ind w:left="0" w:hanging="2"/>
        <w:contextualSpacing/>
        <w:jc w:val="both"/>
        <w:rPr>
          <w:rFonts w:eastAsia="Times New Roman"/>
          <w:kern w:val="0"/>
          <w:position w:val="0"/>
          <w:lang w:val="es-ES"/>
        </w:rPr>
      </w:pPr>
      <w:r w:rsidRPr="00FD40D1">
        <w:rPr>
          <w:lang w:val="es-UY"/>
        </w:rPr>
        <w:t xml:space="preserve">Los Ministros y altas autoridades presentes </w:t>
      </w:r>
      <w:r w:rsidR="001C558A" w:rsidRPr="00FD40D1">
        <w:rPr>
          <w:lang w:val="es-UY"/>
        </w:rPr>
        <w:t xml:space="preserve">analizaron los resultados de las tareas emprendidas por los órganos de trabajo de la Reunión de Ministros del Interior y de Seguridad y 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teniendo en cuenta la actual coyuntura internacional, realizaron un amplio </w:t>
      </w:r>
      <w:r w:rsidR="00FB2256" w:rsidRPr="00FD40D1">
        <w:rPr>
          <w:rFonts w:eastAsia="Times New Roman"/>
          <w:kern w:val="0"/>
          <w:position w:val="0"/>
          <w:lang w:val="es-ES"/>
        </w:rPr>
        <w:t>debate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 sobre los temas de la agenda interna de</w:t>
      </w:r>
      <w:r w:rsidR="00101ACF" w:rsidRPr="00FD40D1">
        <w:rPr>
          <w:rFonts w:eastAsia="Times New Roman"/>
          <w:kern w:val="0"/>
          <w:position w:val="0"/>
          <w:lang w:val="es-ES"/>
        </w:rPr>
        <w:t xml:space="preserve"> la RMIS </w:t>
      </w:r>
      <w:r w:rsidR="00542501" w:rsidRPr="00FD40D1">
        <w:rPr>
          <w:rFonts w:eastAsia="Times New Roman"/>
          <w:kern w:val="0"/>
          <w:position w:val="0"/>
          <w:lang w:val="es-ES"/>
        </w:rPr>
        <w:t>y externa a</w:t>
      </w:r>
      <w:r w:rsidR="00101ACF" w:rsidRPr="00FD40D1">
        <w:rPr>
          <w:rFonts w:eastAsia="Times New Roman"/>
          <w:kern w:val="0"/>
          <w:position w:val="0"/>
          <w:lang w:val="es-ES"/>
        </w:rPr>
        <w:t xml:space="preserve"> la misma destacando el 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compromiso de continuar los trabajos </w:t>
      </w:r>
      <w:r w:rsidR="00101ACF" w:rsidRPr="00FD40D1">
        <w:rPr>
          <w:rFonts w:eastAsia="Times New Roman"/>
          <w:kern w:val="0"/>
          <w:position w:val="0"/>
          <w:lang w:val="es-ES"/>
        </w:rPr>
        <w:t>de cooperación e intercambio de experiencia para seguir avanzando en el fortalecimiento del bloque regional en lo que respecta a los temas de este foro de negociación.</w:t>
      </w:r>
      <w:r w:rsidR="00542501" w:rsidRPr="00FD40D1">
        <w:rPr>
          <w:rFonts w:eastAsia="Times New Roman"/>
          <w:kern w:val="0"/>
          <w:position w:val="0"/>
          <w:lang w:val="es-ES"/>
        </w:rPr>
        <w:t xml:space="preserve"> </w:t>
      </w:r>
    </w:p>
    <w:p w14:paraId="35044145" w14:textId="77777777" w:rsidR="007105A3" w:rsidRPr="00FD40D1" w:rsidRDefault="007105A3" w:rsidP="007105A3">
      <w:pPr>
        <w:tabs>
          <w:tab w:val="left" w:pos="284"/>
          <w:tab w:val="left" w:pos="851"/>
        </w:tabs>
        <w:ind w:leftChars="0" w:left="0" w:firstLineChars="0" w:firstLine="0"/>
        <w:jc w:val="both"/>
        <w:rPr>
          <w:b/>
          <w:lang w:val="es-UY"/>
        </w:rPr>
      </w:pPr>
    </w:p>
    <w:p w14:paraId="6F4C2C6C" w14:textId="7033DD62" w:rsidR="007105A3" w:rsidRPr="00FD40D1" w:rsidRDefault="00D6573D" w:rsidP="007105A3">
      <w:pPr>
        <w:tabs>
          <w:tab w:val="left" w:pos="284"/>
          <w:tab w:val="left" w:pos="851"/>
        </w:tabs>
        <w:ind w:leftChars="234" w:left="1131" w:hangingChars="236" w:hanging="569"/>
        <w:jc w:val="both"/>
        <w:rPr>
          <w:b/>
          <w:lang w:val="es-UY"/>
        </w:rPr>
      </w:pPr>
      <w:r w:rsidRPr="00FD40D1">
        <w:rPr>
          <w:b/>
        </w:rPr>
        <w:t>1</w:t>
      </w:r>
      <w:r w:rsidR="007105A3" w:rsidRPr="00FD40D1">
        <w:rPr>
          <w:b/>
        </w:rPr>
        <w:t xml:space="preserve">.1.  </w:t>
      </w:r>
      <w:r w:rsidR="007105A3" w:rsidRPr="00FD40D1">
        <w:rPr>
          <w:b/>
          <w:lang w:val="es-UY"/>
        </w:rPr>
        <w:t>Comisión</w:t>
      </w:r>
      <w:r w:rsidR="007105A3" w:rsidRPr="00FD40D1">
        <w:rPr>
          <w:b/>
        </w:rPr>
        <w:t xml:space="preserve"> </w:t>
      </w:r>
      <w:r w:rsidR="007105A3" w:rsidRPr="00FD40D1">
        <w:rPr>
          <w:b/>
          <w:lang w:val="es-UY"/>
        </w:rPr>
        <w:t>Técnica</w:t>
      </w:r>
    </w:p>
    <w:p w14:paraId="58512A29" w14:textId="36C8664A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3CCB5BB5" w14:textId="5A621F63" w:rsidR="007105A3" w:rsidRPr="00C8393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Cs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A14BE2" w:rsidRPr="00FD40D1">
        <w:rPr>
          <w:lang w:val="es-UY"/>
        </w:rPr>
        <w:t xml:space="preserve">Acta </w:t>
      </w:r>
      <w:r w:rsidRPr="00FD40D1">
        <w:rPr>
          <w:lang w:val="es-UY"/>
        </w:rPr>
        <w:t xml:space="preserve">de la Comisión Técnica y los </w:t>
      </w:r>
      <w:proofErr w:type="spellStart"/>
      <w:r w:rsidRPr="00FD40D1">
        <w:rPr>
          <w:lang w:val="es-UY"/>
        </w:rPr>
        <w:t>GTEs</w:t>
      </w:r>
      <w:proofErr w:type="spellEnd"/>
      <w:r w:rsidRPr="00FD40D1">
        <w:rPr>
          <w:b/>
          <w:lang w:val="es-UY"/>
        </w:rPr>
        <w:t xml:space="preserve"> (Anexo </w:t>
      </w:r>
      <w:r w:rsidR="00D51731">
        <w:rPr>
          <w:b/>
          <w:lang w:val="es-UY"/>
        </w:rPr>
        <w:t>IV</w:t>
      </w:r>
      <w:r w:rsidRPr="00FD40D1">
        <w:rPr>
          <w:b/>
          <w:lang w:val="es-UY"/>
        </w:rPr>
        <w:t>)</w:t>
      </w:r>
      <w:r w:rsidR="00C83931">
        <w:rPr>
          <w:bCs/>
          <w:lang w:val="es-UY"/>
        </w:rPr>
        <w:t>.</w:t>
      </w:r>
    </w:p>
    <w:p w14:paraId="5A3A5A51" w14:textId="77777777" w:rsidR="00D6573D" w:rsidRDefault="00D6573D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1AC1B095" w14:textId="77777777" w:rsidR="00AA406B" w:rsidRDefault="00AA406B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13A0004D" w14:textId="77777777" w:rsidR="00AA406B" w:rsidRDefault="00AA406B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7C3837FA" w14:textId="77777777" w:rsidR="00AA406B" w:rsidRDefault="00AA406B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13C85FE5" w14:textId="77777777" w:rsidR="00AA406B" w:rsidRDefault="00AA406B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4D7B013E" w14:textId="77777777" w:rsidR="00C50520" w:rsidRDefault="00C50520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2B7E1520" w14:textId="34DF3A25" w:rsidR="007105A3" w:rsidRPr="00FD40D1" w:rsidRDefault="007105A3" w:rsidP="00D6573D">
      <w:pPr>
        <w:pStyle w:val="Prrafodelista"/>
        <w:numPr>
          <w:ilvl w:val="1"/>
          <w:numId w:val="7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FD40D1">
        <w:rPr>
          <w:b/>
          <w:lang w:val="es-UY"/>
        </w:rPr>
        <w:lastRenderedPageBreak/>
        <w:t>Foro Especializado Migratorio</w:t>
      </w:r>
    </w:p>
    <w:p w14:paraId="1EFD2845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70FEA905" w14:textId="3D93F846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>Los Ministros tomaron conocimiento de los trabajos desarrollados en la Reunión del Foro Especiali</w:t>
      </w:r>
      <w:r w:rsidR="00B61255">
        <w:rPr>
          <w:lang w:val="es-UY"/>
        </w:rPr>
        <w:t>zado Migratorio y aprobaron el A</w:t>
      </w:r>
      <w:r w:rsidRPr="00FD40D1">
        <w:rPr>
          <w:lang w:val="es-UY"/>
        </w:rPr>
        <w:t xml:space="preserve">cta </w:t>
      </w:r>
      <w:r w:rsidRPr="00FD40D1">
        <w:rPr>
          <w:b/>
          <w:lang w:val="es-UY"/>
        </w:rPr>
        <w:t>(Anexo</w:t>
      </w:r>
      <w:r w:rsidR="00AC7DCE">
        <w:rPr>
          <w:b/>
          <w:lang w:val="es-UY"/>
        </w:rPr>
        <w:t xml:space="preserve"> V</w:t>
      </w:r>
      <w:r w:rsidRPr="00FD40D1">
        <w:rPr>
          <w:b/>
          <w:lang w:val="es-UY"/>
        </w:rPr>
        <w:t>)</w:t>
      </w:r>
      <w:r w:rsidR="001C49AC">
        <w:rPr>
          <w:b/>
          <w:lang w:val="es-UY"/>
        </w:rPr>
        <w:t>.</w:t>
      </w:r>
    </w:p>
    <w:p w14:paraId="74A7095E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471F525C" w14:textId="637E8435" w:rsidR="007105A3" w:rsidRPr="00FD40D1" w:rsidRDefault="007105A3" w:rsidP="00D6573D">
      <w:pPr>
        <w:pStyle w:val="Prrafodelista"/>
        <w:numPr>
          <w:ilvl w:val="1"/>
          <w:numId w:val="7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FD40D1">
        <w:rPr>
          <w:b/>
          <w:lang w:val="es-UY"/>
        </w:rPr>
        <w:t xml:space="preserve">Foro Especializado en Terrorismo </w:t>
      </w:r>
    </w:p>
    <w:p w14:paraId="17A76CF7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0D0BF588" w14:textId="30E1E021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FA4BD7">
        <w:rPr>
          <w:lang w:val="es-UY"/>
        </w:rPr>
        <w:t>Acta</w:t>
      </w:r>
      <w:r w:rsidR="00512A49">
        <w:rPr>
          <w:lang w:val="es-UY"/>
        </w:rPr>
        <w:t xml:space="preserve"> de</w:t>
      </w:r>
      <w:r w:rsidRPr="00FD40D1">
        <w:rPr>
          <w:lang w:val="es-UY"/>
        </w:rPr>
        <w:t xml:space="preserve">l Foro Especializado en Terrorismo </w:t>
      </w:r>
      <w:r w:rsidRPr="00FD40D1">
        <w:rPr>
          <w:b/>
          <w:lang w:val="es-UY"/>
        </w:rPr>
        <w:t xml:space="preserve">(Anexo </w:t>
      </w:r>
      <w:r w:rsidR="00C42804">
        <w:rPr>
          <w:b/>
          <w:lang w:val="es-UY"/>
        </w:rPr>
        <w:t>VI</w:t>
      </w:r>
      <w:r w:rsidRPr="00FD40D1">
        <w:rPr>
          <w:b/>
          <w:lang w:val="es-UY"/>
        </w:rPr>
        <w:t xml:space="preserve"> - Confidencial sin circulación)</w:t>
      </w:r>
      <w:r w:rsidR="00891DE6" w:rsidRPr="00891DE6">
        <w:rPr>
          <w:lang w:val="es-UY"/>
        </w:rPr>
        <w:t>.</w:t>
      </w:r>
    </w:p>
    <w:p w14:paraId="1ED725EB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3ED67519" w14:textId="77777777" w:rsidR="007105A3" w:rsidRPr="00FD40D1" w:rsidRDefault="007105A3" w:rsidP="00D6573D">
      <w:pPr>
        <w:pStyle w:val="Prrafodelista"/>
        <w:numPr>
          <w:ilvl w:val="1"/>
          <w:numId w:val="7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FD40D1">
        <w:rPr>
          <w:b/>
          <w:lang w:val="es-UY"/>
        </w:rPr>
        <w:t>Reunión de Jefes de Policía y Fuerzas de Seguridad</w:t>
      </w:r>
    </w:p>
    <w:p w14:paraId="445719EC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5C8A4468" w14:textId="3C6598FE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 xml:space="preserve">Los Ministros tomaron conocimiento de los trabajos desarrollados durante el presente semestre y aprobaron el </w:t>
      </w:r>
      <w:r w:rsidR="00FA2A81">
        <w:rPr>
          <w:lang w:val="es-UY"/>
        </w:rPr>
        <w:t>Ac</w:t>
      </w:r>
      <w:r w:rsidRPr="00FD40D1">
        <w:rPr>
          <w:lang w:val="es-UY"/>
        </w:rPr>
        <w:t xml:space="preserve">ta de la Reunión de Jefes de Policía y Fuerzas de Seguridad </w:t>
      </w:r>
      <w:r w:rsidRPr="00FD40D1">
        <w:rPr>
          <w:b/>
          <w:lang w:val="es-UY"/>
        </w:rPr>
        <w:t xml:space="preserve">(Anexo </w:t>
      </w:r>
      <w:r w:rsidR="00FA2A81">
        <w:rPr>
          <w:b/>
          <w:lang w:val="es-UY"/>
        </w:rPr>
        <w:t>VII</w:t>
      </w:r>
      <w:r w:rsidRPr="00FD40D1">
        <w:rPr>
          <w:b/>
          <w:lang w:val="es-UY"/>
        </w:rPr>
        <w:t xml:space="preserve"> - </w:t>
      </w:r>
      <w:r w:rsidR="00FA2A81" w:rsidRPr="00FD40D1">
        <w:rPr>
          <w:b/>
          <w:lang w:val="es-UY"/>
        </w:rPr>
        <w:t>Confidencial sin circulación</w:t>
      </w:r>
      <w:r w:rsidRPr="00FD40D1">
        <w:rPr>
          <w:b/>
          <w:lang w:val="es-UY"/>
        </w:rPr>
        <w:t>)</w:t>
      </w:r>
      <w:r w:rsidR="00FA2A81" w:rsidRPr="002559B4">
        <w:rPr>
          <w:lang w:val="es-UY"/>
        </w:rPr>
        <w:t>.</w:t>
      </w:r>
    </w:p>
    <w:p w14:paraId="3F6F232C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25A51D36" w14:textId="77777777" w:rsidR="007105A3" w:rsidRPr="00FD40D1" w:rsidRDefault="007105A3" w:rsidP="00D6573D">
      <w:pPr>
        <w:pStyle w:val="Prrafodelista"/>
        <w:numPr>
          <w:ilvl w:val="1"/>
          <w:numId w:val="7"/>
        </w:numPr>
        <w:tabs>
          <w:tab w:val="left" w:pos="284"/>
          <w:tab w:val="left" w:pos="851"/>
        </w:tabs>
        <w:ind w:leftChars="0" w:left="1134" w:firstLineChars="0" w:hanging="567"/>
        <w:jc w:val="both"/>
        <w:rPr>
          <w:b/>
          <w:lang w:val="es-UY"/>
        </w:rPr>
      </w:pPr>
      <w:r w:rsidRPr="00FD40D1">
        <w:rPr>
          <w:b/>
          <w:lang w:val="es-UY"/>
        </w:rPr>
        <w:t>Reunión de Comisiones Nacional para Refugiados (CONARES)</w:t>
      </w:r>
    </w:p>
    <w:p w14:paraId="4A5E6C5F" w14:textId="77777777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</w:p>
    <w:p w14:paraId="2370447E" w14:textId="6041D403" w:rsidR="007105A3" w:rsidRPr="00FD40D1" w:rsidRDefault="007105A3" w:rsidP="007105A3">
      <w:pPr>
        <w:tabs>
          <w:tab w:val="left" w:pos="284"/>
          <w:tab w:val="left" w:pos="851"/>
        </w:tabs>
        <w:ind w:left="0" w:hanging="2"/>
        <w:jc w:val="both"/>
        <w:rPr>
          <w:b/>
          <w:lang w:val="es-UY"/>
        </w:rPr>
      </w:pPr>
      <w:r w:rsidRPr="00FD40D1">
        <w:rPr>
          <w:lang w:val="es-UY"/>
        </w:rPr>
        <w:t xml:space="preserve">Los Ministros tomaron conocimiento de los trabajos desarrollados durante el semestre y aprobaron el </w:t>
      </w:r>
      <w:r w:rsidR="009F3831">
        <w:rPr>
          <w:lang w:val="es-UY"/>
        </w:rPr>
        <w:t>Ac</w:t>
      </w:r>
      <w:r w:rsidRPr="00FD40D1">
        <w:rPr>
          <w:lang w:val="es-UY"/>
        </w:rPr>
        <w:t xml:space="preserve">ta de la reunión </w:t>
      </w:r>
      <w:r w:rsidRPr="00FD40D1">
        <w:rPr>
          <w:b/>
          <w:lang w:val="es-UY"/>
        </w:rPr>
        <w:t xml:space="preserve">(Anexo </w:t>
      </w:r>
      <w:r w:rsidR="00F964D3">
        <w:rPr>
          <w:b/>
          <w:lang w:val="es-UY"/>
        </w:rPr>
        <w:t>VIII</w:t>
      </w:r>
      <w:r w:rsidRPr="00FD40D1">
        <w:rPr>
          <w:b/>
          <w:lang w:val="es-UY"/>
        </w:rPr>
        <w:t>)</w:t>
      </w:r>
      <w:r w:rsidR="00F964D3">
        <w:rPr>
          <w:b/>
          <w:lang w:val="es-UY"/>
        </w:rPr>
        <w:t>.</w:t>
      </w:r>
    </w:p>
    <w:p w14:paraId="0134EB47" w14:textId="1C39CCA9" w:rsidR="00C83931" w:rsidRDefault="00C83931" w:rsidP="0012159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706D3EF7" w14:textId="77777777" w:rsidR="0012159F" w:rsidRPr="00FD40D1" w:rsidRDefault="0012159F" w:rsidP="0012159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3A9EAF3C" w14:textId="15A27194" w:rsidR="00E90081" w:rsidRPr="00FD40D1" w:rsidRDefault="00E90081" w:rsidP="00E90081">
      <w:pPr>
        <w:pStyle w:val="Prrafodelista"/>
        <w:numPr>
          <w:ilvl w:val="0"/>
          <w:numId w:val="5"/>
        </w:numPr>
        <w:spacing w:after="16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>APROBACIÓN DE DOCUMENTOS</w:t>
      </w:r>
    </w:p>
    <w:p w14:paraId="13EBEF38" w14:textId="0A3A3C6C" w:rsidR="00E90081" w:rsidRPr="00C83931" w:rsidRDefault="00E90081" w:rsidP="00174E97">
      <w:pPr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C83931">
        <w:rPr>
          <w:rFonts w:eastAsia="Calibri"/>
          <w:kern w:val="0"/>
          <w:position w:val="0"/>
          <w:lang w:val="es-MX" w:eastAsia="en-US"/>
        </w:rPr>
        <w:t xml:space="preserve">Los Ministros de los Estados Partes aprueban los siguientes documentos: </w:t>
      </w:r>
    </w:p>
    <w:p w14:paraId="19202504" w14:textId="38066681" w:rsidR="00E90081" w:rsidRPr="00C83931" w:rsidRDefault="00E90081" w:rsidP="00C83931">
      <w:pPr>
        <w:pStyle w:val="Prrafodelista"/>
        <w:numPr>
          <w:ilvl w:val="0"/>
          <w:numId w:val="8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C83931">
        <w:rPr>
          <w:rFonts w:eastAsia="Calibri"/>
          <w:b/>
          <w:bCs/>
          <w:kern w:val="0"/>
          <w:position w:val="0"/>
          <w:lang w:val="es-MX" w:eastAsia="en-US"/>
        </w:rPr>
        <w:t>Declaración de Asunción de Ministros del Interior y Seguridad del MERCOSUR</w:t>
      </w:r>
    </w:p>
    <w:p w14:paraId="31536221" w14:textId="2F52DD91" w:rsidR="006B184F" w:rsidRDefault="00C83931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C83931">
        <w:rPr>
          <w:rFonts w:eastAsia="Calibri"/>
          <w:kern w:val="0"/>
          <w:position w:val="0"/>
          <w:lang w:val="es-MX" w:eastAsia="en-US"/>
        </w:rPr>
        <w:t xml:space="preserve">Los Ministros </w:t>
      </w:r>
      <w:r>
        <w:rPr>
          <w:rFonts w:eastAsia="Calibri"/>
          <w:kern w:val="0"/>
          <w:position w:val="0"/>
          <w:lang w:val="es-MX" w:eastAsia="en-US"/>
        </w:rPr>
        <w:t>aprobaron la Declaración de Asunción y la elevan para conocimiento del CMC por intermedio del FCCP</w:t>
      </w:r>
      <w:r w:rsidRPr="00C83931">
        <w:rPr>
          <w:rFonts w:eastAsia="Calibri"/>
          <w:b/>
          <w:bCs/>
          <w:kern w:val="0"/>
          <w:position w:val="0"/>
          <w:lang w:val="es-MX" w:eastAsia="en-US"/>
        </w:rPr>
        <w:t xml:space="preserve"> (Anexo IX)</w:t>
      </w:r>
      <w:r w:rsidRPr="00C83931">
        <w:rPr>
          <w:rFonts w:eastAsia="Calibri"/>
          <w:kern w:val="0"/>
          <w:position w:val="0"/>
          <w:lang w:val="es-MX" w:eastAsia="en-US"/>
        </w:rPr>
        <w:t>.</w:t>
      </w:r>
    </w:p>
    <w:p w14:paraId="46FEE678" w14:textId="77777777" w:rsidR="00C83931" w:rsidRPr="00C83931" w:rsidRDefault="00C83931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highlight w:val="green"/>
          <w:lang w:val="es-MX" w:eastAsia="en-US"/>
        </w:rPr>
      </w:pPr>
    </w:p>
    <w:p w14:paraId="4D4D500F" w14:textId="5332C906" w:rsidR="00E90081" w:rsidRPr="00FD40D1" w:rsidRDefault="00E90081" w:rsidP="00387D63">
      <w:pPr>
        <w:pStyle w:val="Prrafodelista"/>
        <w:numPr>
          <w:ilvl w:val="0"/>
          <w:numId w:val="5"/>
        </w:numPr>
        <w:spacing w:after="16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>OTROS TEMAS</w:t>
      </w:r>
    </w:p>
    <w:p w14:paraId="706BD07C" w14:textId="0DA50A00" w:rsidR="007105A3" w:rsidRDefault="00387D63" w:rsidP="00E90081">
      <w:pPr>
        <w:pStyle w:val="Prrafodelista"/>
        <w:numPr>
          <w:ilvl w:val="1"/>
          <w:numId w:val="5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>Protección de los Agentes en la lucha contra el Crimen Organizado Transnacional</w:t>
      </w:r>
    </w:p>
    <w:p w14:paraId="244FCE68" w14:textId="689730A3" w:rsidR="00C242BA" w:rsidRDefault="00D6573D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kern w:val="0"/>
          <w:position w:val="0"/>
          <w:lang w:val="es-MX" w:eastAsia="en-US"/>
        </w:rPr>
        <w:t>L</w:t>
      </w:r>
      <w:r w:rsidR="00EB0249" w:rsidRPr="00FD40D1">
        <w:rPr>
          <w:rFonts w:eastAsia="Calibri"/>
          <w:kern w:val="0"/>
          <w:position w:val="0"/>
          <w:lang w:val="es-MX" w:eastAsia="en-US"/>
        </w:rPr>
        <w:t xml:space="preserve">as delegaciones </w:t>
      </w:r>
      <w:r w:rsidR="00E90081" w:rsidRPr="00FD40D1">
        <w:rPr>
          <w:rFonts w:eastAsia="Calibri"/>
          <w:kern w:val="0"/>
          <w:position w:val="0"/>
          <w:lang w:val="es-MX" w:eastAsia="en-US"/>
        </w:rPr>
        <w:t xml:space="preserve">repudian las acciones criminales que terminaron con la vida del Agente Fiscal Marcelo </w:t>
      </w:r>
      <w:proofErr w:type="spellStart"/>
      <w:r w:rsidR="00E90081" w:rsidRPr="00FD40D1">
        <w:rPr>
          <w:rFonts w:eastAsia="Calibri"/>
          <w:kern w:val="0"/>
          <w:position w:val="0"/>
          <w:lang w:val="es-MX" w:eastAsia="en-US"/>
        </w:rPr>
        <w:t>Pecci</w:t>
      </w:r>
      <w:proofErr w:type="spellEnd"/>
      <w:r w:rsidR="00E90081" w:rsidRPr="00FD40D1">
        <w:rPr>
          <w:rFonts w:eastAsia="Calibri"/>
          <w:kern w:val="0"/>
          <w:position w:val="0"/>
          <w:lang w:val="es-MX" w:eastAsia="en-US"/>
        </w:rPr>
        <w:t xml:space="preserve"> el pasado 10 de mayo y que atentan contra la seguridad de los agentes de seguridad y de justicia.</w:t>
      </w:r>
      <w:r w:rsidR="0042587F" w:rsidRPr="00FD40D1">
        <w:rPr>
          <w:rFonts w:eastAsia="Calibri"/>
          <w:kern w:val="0"/>
          <w:position w:val="0"/>
          <w:lang w:val="es-MX" w:eastAsia="en-US"/>
        </w:rPr>
        <w:t xml:space="preserve"> </w:t>
      </w:r>
      <w:r w:rsidR="00E90081" w:rsidRPr="00FD40D1">
        <w:rPr>
          <w:rFonts w:eastAsia="Calibri"/>
          <w:kern w:val="0"/>
          <w:position w:val="0"/>
          <w:lang w:val="es-MX" w:eastAsia="en-US"/>
        </w:rPr>
        <w:t xml:space="preserve"> En este sentido, </w:t>
      </w:r>
      <w:r w:rsidRPr="00FD40D1">
        <w:rPr>
          <w:rFonts w:eastAsia="Calibri"/>
          <w:kern w:val="0"/>
          <w:position w:val="0"/>
          <w:lang w:val="es-MX" w:eastAsia="en-US"/>
        </w:rPr>
        <w:t xml:space="preserve">debatieron sobre la protección de </w:t>
      </w:r>
      <w:r w:rsidR="00E90081" w:rsidRPr="00FD40D1">
        <w:rPr>
          <w:rFonts w:eastAsia="Calibri"/>
          <w:kern w:val="0"/>
          <w:position w:val="0"/>
          <w:lang w:val="es-MX" w:eastAsia="en-US"/>
        </w:rPr>
        <w:t>dichos agentes en</w:t>
      </w:r>
      <w:r w:rsidRPr="00FD40D1">
        <w:rPr>
          <w:rFonts w:eastAsia="Calibri"/>
          <w:kern w:val="0"/>
          <w:position w:val="0"/>
          <w:lang w:val="es-MX" w:eastAsia="en-US"/>
        </w:rPr>
        <w:t xml:space="preserve"> la lucha contra el crimen organizado transnacional.</w:t>
      </w:r>
    </w:p>
    <w:p w14:paraId="0B31CBE3" w14:textId="106781CF" w:rsidR="00C83931" w:rsidRDefault="00C83931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6DEB9A78" w14:textId="0291D73F" w:rsidR="00C83931" w:rsidRDefault="00C83931" w:rsidP="00C83931">
      <w:pP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5FB46407" w14:textId="7E362A0A" w:rsidR="00C242BA" w:rsidRDefault="002939C2" w:rsidP="00C242BA">
      <w:pPr>
        <w:pStyle w:val="Prrafodelista"/>
        <w:numPr>
          <w:ilvl w:val="1"/>
          <w:numId w:val="5"/>
        </w:numPr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  <w:r w:rsidRPr="00FD40D1">
        <w:rPr>
          <w:rFonts w:eastAsia="Calibri"/>
          <w:b/>
          <w:kern w:val="0"/>
          <w:position w:val="0"/>
          <w:lang w:val="es-MX" w:eastAsia="en-US"/>
        </w:rPr>
        <w:lastRenderedPageBreak/>
        <w:t>Intercambio de Experiencias</w:t>
      </w:r>
    </w:p>
    <w:p w14:paraId="3DFCC03F" w14:textId="7F01CFE5" w:rsidR="000F6B93" w:rsidRPr="00222BC4" w:rsidRDefault="00E46122" w:rsidP="00222BC4">
      <w:pPr>
        <w:pStyle w:val="Prrafodelista"/>
        <w:numPr>
          <w:ilvl w:val="2"/>
          <w:numId w:val="5"/>
        </w:numPr>
        <w:spacing w:after="160"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222BC4">
        <w:rPr>
          <w:rFonts w:eastAsia="Calibri"/>
          <w:b/>
          <w:kern w:val="0"/>
          <w:position w:val="0"/>
          <w:lang w:val="es-MX" w:eastAsia="en-US"/>
        </w:rPr>
        <w:t>Cooperación para la Seguridad Fronteriza. Comando Tripartito. Promoción de Comandos Bipartitos. Convenios de Intercambio de Información Migratoria y uso de SISME.</w:t>
      </w:r>
    </w:p>
    <w:p w14:paraId="732A1AAE" w14:textId="347114AC" w:rsidR="007105A3" w:rsidRPr="00FD40D1" w:rsidRDefault="00C242BA" w:rsidP="00C8393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kern w:val="0"/>
          <w:position w:val="0"/>
          <w:lang w:val="es-MX" w:eastAsia="en-US"/>
        </w:rPr>
        <w:t>Los Ministros celebra</w:t>
      </w:r>
      <w:r w:rsidR="00222BC4">
        <w:rPr>
          <w:rFonts w:eastAsia="Calibri"/>
          <w:kern w:val="0"/>
          <w:position w:val="0"/>
          <w:lang w:val="es-MX" w:eastAsia="en-US"/>
        </w:rPr>
        <w:t>ron</w:t>
      </w:r>
      <w:r w:rsidRPr="00FD40D1">
        <w:rPr>
          <w:rFonts w:eastAsia="Calibri"/>
          <w:kern w:val="0"/>
          <w:position w:val="0"/>
          <w:lang w:val="es-MX" w:eastAsia="en-US"/>
        </w:rPr>
        <w:t xml:space="preserve"> las experiencias que permiten fortalecer los trabajos de los órganos de seguridad en zonas de frontera, a través de mecanismos como el Comando Tripartito y Bipartitos en fronteras comunes. </w:t>
      </w:r>
    </w:p>
    <w:p w14:paraId="4D94A431" w14:textId="41FEACE7" w:rsidR="00C242BA" w:rsidRPr="00FD40D1" w:rsidRDefault="00C242BA" w:rsidP="00502CB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46E45B12" w14:textId="121B752B" w:rsidR="00C242BA" w:rsidRPr="00FD40D1" w:rsidRDefault="00C242BA" w:rsidP="00C8393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kern w:val="0"/>
          <w:position w:val="0"/>
          <w:lang w:val="es-MX" w:eastAsia="en-US"/>
        </w:rPr>
        <w:t>Asimismo, subraya</w:t>
      </w:r>
      <w:r w:rsidR="00222BC4">
        <w:rPr>
          <w:rFonts w:eastAsia="Calibri"/>
          <w:kern w:val="0"/>
          <w:position w:val="0"/>
          <w:lang w:val="es-MX" w:eastAsia="en-US"/>
        </w:rPr>
        <w:t>ron</w:t>
      </w:r>
      <w:r w:rsidRPr="00FD40D1">
        <w:rPr>
          <w:rFonts w:eastAsia="Calibri"/>
          <w:kern w:val="0"/>
          <w:position w:val="0"/>
          <w:lang w:val="es-MX" w:eastAsia="en-US"/>
        </w:rPr>
        <w:t xml:space="preserve"> la importancia del fortalecimie</w:t>
      </w:r>
      <w:r w:rsidR="005F124D" w:rsidRPr="00FD40D1">
        <w:rPr>
          <w:rFonts w:eastAsia="Calibri"/>
          <w:kern w:val="0"/>
          <w:position w:val="0"/>
          <w:lang w:val="es-MX" w:eastAsia="en-US"/>
        </w:rPr>
        <w:t>nto de</w:t>
      </w:r>
      <w:r w:rsidRPr="00FD40D1">
        <w:rPr>
          <w:rFonts w:eastAsia="Calibri"/>
          <w:kern w:val="0"/>
          <w:position w:val="0"/>
          <w:lang w:val="es-MX" w:eastAsia="en-US"/>
        </w:rPr>
        <w:t>l</w:t>
      </w:r>
      <w:r w:rsidR="005F124D" w:rsidRPr="00FD40D1">
        <w:rPr>
          <w:rFonts w:eastAsia="Calibri"/>
          <w:kern w:val="0"/>
          <w:position w:val="0"/>
          <w:lang w:val="es-MX" w:eastAsia="en-US"/>
        </w:rPr>
        <w:t xml:space="preserve"> </w:t>
      </w:r>
      <w:r w:rsidRPr="00FD40D1">
        <w:rPr>
          <w:rFonts w:eastAsia="Calibri"/>
          <w:kern w:val="0"/>
          <w:position w:val="0"/>
          <w:lang w:val="es-MX" w:eastAsia="en-US"/>
        </w:rPr>
        <w:t>intercambio vigente migratorio y la implementación y utilización de la herramienta de intercambio de información SISME (Sistema de Intercambio de Información del MERCOSUR)</w:t>
      </w:r>
      <w:r w:rsidR="005F124D" w:rsidRPr="00FD40D1">
        <w:rPr>
          <w:rFonts w:eastAsia="Calibri"/>
          <w:kern w:val="0"/>
          <w:position w:val="0"/>
          <w:lang w:val="es-MX" w:eastAsia="en-US"/>
        </w:rPr>
        <w:t xml:space="preserve">. </w:t>
      </w:r>
    </w:p>
    <w:p w14:paraId="7A284EAC" w14:textId="77777777" w:rsidR="00026A0B" w:rsidRPr="00502CBF" w:rsidRDefault="00026A0B" w:rsidP="00502CBF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</w:p>
    <w:p w14:paraId="775F1D95" w14:textId="178D334A" w:rsidR="00026A0B" w:rsidRPr="00FD40D1" w:rsidRDefault="005D6273" w:rsidP="00222BC4">
      <w:pPr>
        <w:pStyle w:val="Prrafodelista"/>
        <w:numPr>
          <w:ilvl w:val="2"/>
          <w:numId w:val="5"/>
        </w:numPr>
        <w:tabs>
          <w:tab w:val="left" w:pos="1843"/>
        </w:tabs>
        <w:spacing w:line="240" w:lineRule="auto"/>
        <w:ind w:leftChars="0" w:firstLineChars="0" w:firstLine="54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  <w:r w:rsidRPr="00FD40D1">
        <w:rPr>
          <w:rFonts w:eastAsia="Calibri"/>
          <w:b/>
          <w:kern w:val="0"/>
          <w:position w:val="0"/>
          <w:lang w:val="es-MX" w:eastAsia="en-US"/>
        </w:rPr>
        <w:t xml:space="preserve">Abordaje de Seguridad Ciudadana. Corresponsabilidad. </w:t>
      </w:r>
    </w:p>
    <w:p w14:paraId="10799E2E" w14:textId="77777777" w:rsidR="00026A0B" w:rsidRPr="00502CBF" w:rsidRDefault="00026A0B" w:rsidP="00502CB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</w:p>
    <w:p w14:paraId="57D30E77" w14:textId="6B741217" w:rsidR="00026A0B" w:rsidRPr="00FD40D1" w:rsidRDefault="00026A0B" w:rsidP="00222BC4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kern w:val="0"/>
          <w:position w:val="0"/>
          <w:lang w:val="es-MX" w:eastAsia="en-US"/>
        </w:rPr>
        <w:t>Las delegaciones destaca</w:t>
      </w:r>
      <w:r w:rsidR="00222BC4">
        <w:rPr>
          <w:rFonts w:eastAsia="Calibri"/>
          <w:kern w:val="0"/>
          <w:position w:val="0"/>
          <w:lang w:val="es-MX" w:eastAsia="en-US"/>
        </w:rPr>
        <w:t>ron</w:t>
      </w:r>
      <w:r w:rsidRPr="00FD40D1">
        <w:rPr>
          <w:rFonts w:eastAsia="Calibri"/>
          <w:kern w:val="0"/>
          <w:position w:val="0"/>
          <w:lang w:val="es-MX" w:eastAsia="en-US"/>
        </w:rPr>
        <w:t xml:space="preserve"> la importancia </w:t>
      </w:r>
      <w:r w:rsidR="008839FB" w:rsidRPr="00FD40D1">
        <w:rPr>
          <w:rFonts w:eastAsia="Calibri"/>
          <w:kern w:val="0"/>
          <w:position w:val="0"/>
          <w:lang w:val="es-MX" w:eastAsia="en-US"/>
        </w:rPr>
        <w:t xml:space="preserve">del intercambio de </w:t>
      </w:r>
      <w:r w:rsidRPr="00FD40D1">
        <w:rPr>
          <w:rFonts w:eastAsia="Calibri"/>
          <w:kern w:val="0"/>
          <w:position w:val="0"/>
          <w:lang w:val="es-MX" w:eastAsia="en-US"/>
        </w:rPr>
        <w:t>buenas prácticas y la implementación de modelos de gestión local para la prevención</w:t>
      </w:r>
      <w:r w:rsidR="00F4273E" w:rsidRPr="00FD40D1">
        <w:rPr>
          <w:rFonts w:eastAsia="Calibri"/>
          <w:kern w:val="0"/>
          <w:position w:val="0"/>
          <w:lang w:val="es-MX" w:eastAsia="en-US"/>
        </w:rPr>
        <w:t xml:space="preserve"> de delitos y violencias </w:t>
      </w:r>
      <w:r w:rsidR="0031660B" w:rsidRPr="00FD40D1">
        <w:rPr>
          <w:rFonts w:eastAsia="Calibri"/>
          <w:kern w:val="0"/>
          <w:position w:val="0"/>
          <w:lang w:val="es-MX" w:eastAsia="en-US"/>
        </w:rPr>
        <w:t>en base a la realidad de los países de la región.</w:t>
      </w:r>
    </w:p>
    <w:p w14:paraId="4A4FD9B2" w14:textId="77777777" w:rsidR="00026A0B" w:rsidRPr="00502CBF" w:rsidRDefault="00026A0B" w:rsidP="00502CBF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</w:p>
    <w:p w14:paraId="5BB88996" w14:textId="4C75550E" w:rsidR="005F124D" w:rsidRPr="00FD40D1" w:rsidRDefault="00754BCA" w:rsidP="00222BC4">
      <w:pPr>
        <w:pStyle w:val="Prrafodelista"/>
        <w:numPr>
          <w:ilvl w:val="2"/>
          <w:numId w:val="5"/>
        </w:numPr>
        <w:spacing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eastAsia="Calibri"/>
          <w:b/>
          <w:kern w:val="0"/>
          <w:position w:val="0"/>
          <w:lang w:val="es-MX" w:eastAsia="en-US"/>
        </w:rPr>
      </w:pPr>
      <w:r w:rsidRPr="00FD40D1">
        <w:rPr>
          <w:rFonts w:eastAsia="Calibri"/>
          <w:b/>
          <w:kern w:val="0"/>
          <w:position w:val="0"/>
          <w:lang w:val="es-MX" w:eastAsia="en-US"/>
        </w:rPr>
        <w:t xml:space="preserve">Realización del Seminario “Estrategias Para La Prevención Del Delito y las Violencias desde la perspectiva de la Seguridad Ciudadana”. </w:t>
      </w:r>
    </w:p>
    <w:p w14:paraId="64E7BA15" w14:textId="77777777" w:rsidR="005F124D" w:rsidRPr="00FD40D1" w:rsidRDefault="005F124D" w:rsidP="00502CBF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7D6631C6" w14:textId="6EE0E495" w:rsidR="0023209D" w:rsidRPr="00FD40D1" w:rsidRDefault="0023209D" w:rsidP="00222B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40D1">
        <w:rPr>
          <w:rFonts w:ascii="Arial" w:hAnsi="Arial" w:cs="Arial"/>
          <w:sz w:val="24"/>
          <w:szCs w:val="24"/>
        </w:rPr>
        <w:t>Conforme la Declaración de creación del “Día de la Seguridad Ciudadana para la Prevención del Delito y la Violencia del MERCOSUR”, del 31 de mayo de 2019, los Ministros del Interior y Seguridad, adoptaron el 22 de mayo como el día internacional</w:t>
      </w:r>
      <w:r w:rsidR="00801D53">
        <w:rPr>
          <w:rFonts w:ascii="Arial" w:hAnsi="Arial" w:cs="Arial"/>
          <w:sz w:val="24"/>
          <w:szCs w:val="24"/>
        </w:rPr>
        <w:t xml:space="preserve"> y solicitan al CMC por medio del FCCP su divulgación.</w:t>
      </w:r>
    </w:p>
    <w:p w14:paraId="54906281" w14:textId="77777777" w:rsidR="0023209D" w:rsidRPr="00FD40D1" w:rsidRDefault="0023209D" w:rsidP="00222B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1FC628" w14:textId="18603BFE" w:rsidR="0023209D" w:rsidRPr="00FD40D1" w:rsidRDefault="00160B03" w:rsidP="00222BC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</w:t>
      </w:r>
      <w:r w:rsidR="0023209D" w:rsidRPr="00FD40D1">
        <w:rPr>
          <w:rFonts w:ascii="Arial" w:hAnsi="Arial" w:cs="Arial"/>
          <w:sz w:val="24"/>
          <w:szCs w:val="24"/>
        </w:rPr>
        <w:t>Argentina en su carácter de primer organizador, realizó el Seminario “Estrategias para la Prevención del Delito y la Violencia desde la Perspectiva de la Seguridad Ciudadana” el pasado 23 de mayo, en formato hibrido.</w:t>
      </w:r>
    </w:p>
    <w:p w14:paraId="2666DFD8" w14:textId="77777777" w:rsidR="00513A21" w:rsidRPr="00FD40D1" w:rsidRDefault="00513A21" w:rsidP="00513A21">
      <w:pPr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5E0D51A3" w14:textId="22ADDCAD" w:rsidR="00513A21" w:rsidRPr="00FD40D1" w:rsidRDefault="00CE03E4" w:rsidP="00D62F3E">
      <w:pPr>
        <w:pStyle w:val="Prrafodelista"/>
        <w:numPr>
          <w:ilvl w:val="2"/>
          <w:numId w:val="5"/>
        </w:numPr>
        <w:spacing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eastAsia="Calibri"/>
          <w:color w:val="FF0000"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 xml:space="preserve">Realización del Seminario: Abordaje del </w:t>
      </w:r>
      <w:proofErr w:type="spellStart"/>
      <w:r w:rsidRPr="00FD40D1">
        <w:rPr>
          <w:rFonts w:eastAsia="Calibri"/>
          <w:b/>
          <w:bCs/>
          <w:kern w:val="0"/>
          <w:position w:val="0"/>
          <w:lang w:val="es-MX" w:eastAsia="en-US"/>
        </w:rPr>
        <w:t>Femicidio</w:t>
      </w:r>
      <w:proofErr w:type="spellEnd"/>
      <w:r w:rsidRPr="00FD40D1">
        <w:rPr>
          <w:rFonts w:eastAsia="Calibri"/>
          <w:b/>
          <w:bCs/>
          <w:kern w:val="0"/>
          <w:position w:val="0"/>
          <w:lang w:val="es-MX" w:eastAsia="en-US"/>
        </w:rPr>
        <w:t>/</w:t>
      </w:r>
      <w:proofErr w:type="spellStart"/>
      <w:r w:rsidRPr="00FD40D1">
        <w:rPr>
          <w:rFonts w:eastAsia="Calibri"/>
          <w:b/>
          <w:bCs/>
          <w:kern w:val="0"/>
          <w:position w:val="0"/>
          <w:lang w:val="es-MX" w:eastAsia="en-US"/>
        </w:rPr>
        <w:t>Feminicidio</w:t>
      </w:r>
      <w:proofErr w:type="spellEnd"/>
      <w:r w:rsidRPr="00FD40D1">
        <w:rPr>
          <w:rFonts w:eastAsia="Calibri"/>
          <w:b/>
          <w:bCs/>
          <w:kern w:val="0"/>
          <w:position w:val="0"/>
          <w:lang w:val="es-MX" w:eastAsia="en-US"/>
        </w:rPr>
        <w:t>: Su prevención, respuesta y desafíos en las áreas de seguridad y acceso a la justicia en el MERCOSUR</w:t>
      </w:r>
    </w:p>
    <w:p w14:paraId="5B08D2C4" w14:textId="77777777" w:rsidR="00E52E42" w:rsidRPr="00FD40D1" w:rsidRDefault="00E52E42" w:rsidP="00E52E42">
      <w:pPr>
        <w:pStyle w:val="Prrafodelista"/>
        <w:spacing w:line="240" w:lineRule="auto"/>
        <w:ind w:leftChars="0" w:left="1080" w:firstLineChars="0" w:firstLine="0"/>
        <w:jc w:val="both"/>
        <w:textDirection w:val="lrTb"/>
        <w:textAlignment w:val="auto"/>
        <w:outlineLvl w:val="9"/>
        <w:rPr>
          <w:rFonts w:eastAsia="Calibri"/>
          <w:color w:val="FF0000"/>
          <w:kern w:val="0"/>
          <w:position w:val="0"/>
          <w:lang w:val="es-MX" w:eastAsia="en-US"/>
        </w:rPr>
      </w:pPr>
    </w:p>
    <w:p w14:paraId="3FC48156" w14:textId="1D518C3D" w:rsidR="00513A21" w:rsidRPr="00FD40D1" w:rsidRDefault="00513A21" w:rsidP="00D62F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40D1">
        <w:rPr>
          <w:rFonts w:ascii="Arial" w:hAnsi="Arial" w:cs="Arial"/>
          <w:sz w:val="24"/>
          <w:szCs w:val="24"/>
        </w:rPr>
        <w:t>L</w:t>
      </w:r>
      <w:r w:rsidR="006424C0" w:rsidRPr="00FD40D1">
        <w:rPr>
          <w:rFonts w:ascii="Arial" w:hAnsi="Arial" w:cs="Arial"/>
          <w:sz w:val="24"/>
          <w:szCs w:val="24"/>
        </w:rPr>
        <w:t xml:space="preserve">as delegaciones </w:t>
      </w:r>
      <w:r w:rsidRPr="00FD40D1">
        <w:rPr>
          <w:rFonts w:ascii="Arial" w:hAnsi="Arial" w:cs="Arial"/>
          <w:sz w:val="24"/>
          <w:szCs w:val="24"/>
        </w:rPr>
        <w:t xml:space="preserve">son conscientes de la importancia </w:t>
      </w:r>
      <w:r w:rsidR="0055133F" w:rsidRPr="00FD40D1">
        <w:rPr>
          <w:rFonts w:ascii="Arial" w:hAnsi="Arial" w:cs="Arial"/>
          <w:sz w:val="24"/>
          <w:szCs w:val="24"/>
        </w:rPr>
        <w:t xml:space="preserve">del trabajo en conjunto </w:t>
      </w:r>
      <w:r w:rsidRPr="00FD40D1">
        <w:rPr>
          <w:rFonts w:ascii="Arial" w:hAnsi="Arial" w:cs="Arial"/>
          <w:sz w:val="24"/>
          <w:szCs w:val="24"/>
        </w:rPr>
        <w:t xml:space="preserve">y de las conclusiones a las que ha arribado el seminario “Abordaje del </w:t>
      </w:r>
      <w:proofErr w:type="spellStart"/>
      <w:r w:rsidRPr="00FD40D1">
        <w:rPr>
          <w:rFonts w:ascii="Arial" w:hAnsi="Arial" w:cs="Arial"/>
          <w:sz w:val="24"/>
          <w:szCs w:val="24"/>
        </w:rPr>
        <w:t>Femicidio</w:t>
      </w:r>
      <w:proofErr w:type="spellEnd"/>
      <w:r w:rsidRPr="00FD40D1">
        <w:rPr>
          <w:rFonts w:ascii="Arial" w:hAnsi="Arial" w:cs="Arial"/>
          <w:sz w:val="24"/>
          <w:szCs w:val="24"/>
        </w:rPr>
        <w:t>/</w:t>
      </w:r>
      <w:proofErr w:type="spellStart"/>
      <w:r w:rsidRPr="00FD40D1">
        <w:rPr>
          <w:rFonts w:ascii="Arial" w:hAnsi="Arial" w:cs="Arial"/>
          <w:sz w:val="24"/>
          <w:szCs w:val="24"/>
        </w:rPr>
        <w:t>feminicidio</w:t>
      </w:r>
      <w:proofErr w:type="spellEnd"/>
      <w:r w:rsidRPr="00FD40D1">
        <w:rPr>
          <w:rFonts w:ascii="Arial" w:hAnsi="Arial" w:cs="Arial"/>
          <w:sz w:val="24"/>
          <w:szCs w:val="24"/>
        </w:rPr>
        <w:t>”, realizado el pasado 27</w:t>
      </w:r>
      <w:r w:rsidR="0055133F" w:rsidRPr="00FD40D1">
        <w:rPr>
          <w:rFonts w:ascii="Arial" w:hAnsi="Arial" w:cs="Arial"/>
          <w:sz w:val="24"/>
          <w:szCs w:val="24"/>
        </w:rPr>
        <w:t xml:space="preserve"> d</w:t>
      </w:r>
      <w:r w:rsidR="00E60F1A" w:rsidRPr="00FD40D1">
        <w:rPr>
          <w:rFonts w:ascii="Arial" w:hAnsi="Arial" w:cs="Arial"/>
          <w:sz w:val="24"/>
          <w:szCs w:val="24"/>
        </w:rPr>
        <w:t>e mayo del corriente.</w:t>
      </w:r>
    </w:p>
    <w:p w14:paraId="7B499D7F" w14:textId="77777777" w:rsidR="00E60F1A" w:rsidRPr="00FD40D1" w:rsidRDefault="00E60F1A" w:rsidP="009B2D64">
      <w:pPr>
        <w:spacing w:line="240" w:lineRule="auto"/>
        <w:ind w:leftChars="0" w:left="993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2D338699" w14:textId="7B0C6862" w:rsidR="00513A21" w:rsidRPr="00FD40D1" w:rsidRDefault="00160B03" w:rsidP="00D62F3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respecto,</w:t>
      </w:r>
      <w:r w:rsidR="0055133F" w:rsidRPr="00FD40D1">
        <w:rPr>
          <w:rFonts w:ascii="Arial" w:hAnsi="Arial" w:cs="Arial"/>
          <w:sz w:val="24"/>
          <w:szCs w:val="24"/>
        </w:rPr>
        <w:t xml:space="preserve"> destaca</w:t>
      </w:r>
      <w:r>
        <w:rPr>
          <w:rFonts w:ascii="Arial" w:hAnsi="Arial" w:cs="Arial"/>
          <w:sz w:val="24"/>
          <w:szCs w:val="24"/>
        </w:rPr>
        <w:t>ron</w:t>
      </w:r>
      <w:r w:rsidR="0055133F" w:rsidRPr="00FD40D1">
        <w:rPr>
          <w:rFonts w:ascii="Arial" w:hAnsi="Arial" w:cs="Arial"/>
          <w:sz w:val="24"/>
          <w:szCs w:val="24"/>
        </w:rPr>
        <w:t xml:space="preserve"> </w:t>
      </w:r>
      <w:r w:rsidR="00070042" w:rsidRPr="00FD40D1">
        <w:rPr>
          <w:rFonts w:ascii="Arial" w:hAnsi="Arial" w:cs="Arial"/>
          <w:sz w:val="24"/>
          <w:szCs w:val="24"/>
        </w:rPr>
        <w:t>que estos espacios propician el</w:t>
      </w:r>
      <w:r w:rsidR="0055133F" w:rsidRPr="00FD40D1">
        <w:rPr>
          <w:rFonts w:ascii="Arial" w:hAnsi="Arial" w:cs="Arial"/>
          <w:sz w:val="24"/>
          <w:szCs w:val="24"/>
        </w:rPr>
        <w:t xml:space="preserve"> intercambio de</w:t>
      </w:r>
      <w:r w:rsidR="00513A21" w:rsidRPr="00FD40D1">
        <w:rPr>
          <w:rFonts w:ascii="Arial" w:hAnsi="Arial" w:cs="Arial"/>
          <w:sz w:val="24"/>
          <w:szCs w:val="24"/>
        </w:rPr>
        <w:t xml:space="preserve"> </w:t>
      </w:r>
      <w:r w:rsidR="003144F0" w:rsidRPr="00FD40D1">
        <w:rPr>
          <w:rFonts w:ascii="Arial" w:hAnsi="Arial" w:cs="Arial"/>
          <w:sz w:val="24"/>
          <w:szCs w:val="24"/>
        </w:rPr>
        <w:t>conocimiento</w:t>
      </w:r>
      <w:r w:rsidR="00070042" w:rsidRPr="00FD40D1">
        <w:rPr>
          <w:rFonts w:ascii="Arial" w:hAnsi="Arial" w:cs="Arial"/>
          <w:sz w:val="24"/>
          <w:szCs w:val="24"/>
        </w:rPr>
        <w:t xml:space="preserve"> en materia de educación, información </w:t>
      </w:r>
      <w:r w:rsidR="0087764D" w:rsidRPr="00FD40D1">
        <w:rPr>
          <w:rFonts w:ascii="Arial" w:hAnsi="Arial" w:cs="Arial"/>
          <w:sz w:val="24"/>
          <w:szCs w:val="24"/>
        </w:rPr>
        <w:t xml:space="preserve">así como la </w:t>
      </w:r>
      <w:r w:rsidR="00513A21" w:rsidRPr="00FD40D1">
        <w:rPr>
          <w:rFonts w:ascii="Arial" w:hAnsi="Arial" w:cs="Arial"/>
          <w:sz w:val="24"/>
          <w:szCs w:val="24"/>
        </w:rPr>
        <w:t>prevenci</w:t>
      </w:r>
      <w:r w:rsidR="008717D3" w:rsidRPr="00FD40D1">
        <w:rPr>
          <w:rFonts w:ascii="Arial" w:hAnsi="Arial" w:cs="Arial"/>
          <w:sz w:val="24"/>
          <w:szCs w:val="24"/>
        </w:rPr>
        <w:t>ón</w:t>
      </w:r>
      <w:r w:rsidR="00513A21" w:rsidRPr="00FD40D1">
        <w:rPr>
          <w:rFonts w:ascii="Arial" w:hAnsi="Arial" w:cs="Arial"/>
          <w:sz w:val="24"/>
          <w:szCs w:val="24"/>
        </w:rPr>
        <w:t xml:space="preserve"> </w:t>
      </w:r>
      <w:r w:rsidR="008717D3" w:rsidRPr="00FD40D1">
        <w:rPr>
          <w:rFonts w:ascii="Arial" w:hAnsi="Arial" w:cs="Arial"/>
          <w:sz w:val="24"/>
          <w:szCs w:val="24"/>
        </w:rPr>
        <w:t xml:space="preserve">en el </w:t>
      </w:r>
      <w:r w:rsidR="00513A21" w:rsidRPr="00FD40D1">
        <w:rPr>
          <w:rFonts w:ascii="Arial" w:hAnsi="Arial" w:cs="Arial"/>
          <w:sz w:val="24"/>
          <w:szCs w:val="24"/>
        </w:rPr>
        <w:t xml:space="preserve">ámbito de la seguridad y del acceso a la justicia en el MERCOSUR. </w:t>
      </w:r>
    </w:p>
    <w:p w14:paraId="641856D0" w14:textId="77777777" w:rsidR="000C69F5" w:rsidRPr="00FD40D1" w:rsidRDefault="000C69F5" w:rsidP="00D62F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EB0025" w14:textId="7641C850" w:rsidR="00513A21" w:rsidRPr="00FD40D1" w:rsidRDefault="000C69F5" w:rsidP="007B52CC">
      <w:pPr>
        <w:pStyle w:val="Sinespaciado"/>
        <w:jc w:val="both"/>
      </w:pPr>
      <w:r w:rsidRPr="00FD40D1">
        <w:rPr>
          <w:rFonts w:ascii="Arial" w:hAnsi="Arial" w:cs="Arial"/>
          <w:sz w:val="24"/>
          <w:szCs w:val="24"/>
        </w:rPr>
        <w:lastRenderedPageBreak/>
        <w:t xml:space="preserve">Concordaron en la necesidad de otorgar mayor visibilidad a la problemática del </w:t>
      </w:r>
      <w:proofErr w:type="spellStart"/>
      <w:r w:rsidRPr="00FD40D1">
        <w:rPr>
          <w:rFonts w:ascii="Arial" w:hAnsi="Arial" w:cs="Arial"/>
          <w:sz w:val="24"/>
          <w:szCs w:val="24"/>
        </w:rPr>
        <w:t>femicidio</w:t>
      </w:r>
      <w:proofErr w:type="spellEnd"/>
      <w:r w:rsidRPr="00FD40D1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FD40D1">
        <w:rPr>
          <w:rFonts w:ascii="Arial" w:hAnsi="Arial" w:cs="Arial"/>
          <w:sz w:val="24"/>
          <w:szCs w:val="24"/>
        </w:rPr>
        <w:t>feminicidio</w:t>
      </w:r>
      <w:proofErr w:type="spellEnd"/>
      <w:r w:rsidRPr="00FD40D1">
        <w:rPr>
          <w:rFonts w:ascii="Arial" w:hAnsi="Arial" w:cs="Arial"/>
          <w:sz w:val="24"/>
          <w:szCs w:val="24"/>
        </w:rPr>
        <w:t xml:space="preserve"> e indagar las mejores prácticas de los países de la región que han dado resultados concretos en la prevención de las violencias contra las mujeres y niñas.</w:t>
      </w:r>
    </w:p>
    <w:p w14:paraId="644532E9" w14:textId="536D8269" w:rsidR="0055133F" w:rsidRPr="00FD40D1" w:rsidRDefault="002E3C78" w:rsidP="00D62F3E">
      <w:pPr>
        <w:pStyle w:val="Prrafodelista"/>
        <w:numPr>
          <w:ilvl w:val="2"/>
          <w:numId w:val="5"/>
        </w:numPr>
        <w:spacing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>Estrategias de desarrollo alternativo como forma de combatir economías ilícitas</w:t>
      </w:r>
    </w:p>
    <w:p w14:paraId="116B8031" w14:textId="77777777" w:rsidR="001F30EF" w:rsidRPr="00FD40D1" w:rsidRDefault="001F30EF" w:rsidP="001F30EF">
      <w:pPr>
        <w:pStyle w:val="Prrafodelista"/>
        <w:spacing w:line="240" w:lineRule="auto"/>
        <w:ind w:leftChars="0" w:left="108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</w:p>
    <w:p w14:paraId="5D75A31F" w14:textId="5CDB4077" w:rsidR="0055133F" w:rsidRPr="00FD40D1" w:rsidRDefault="00957749" w:rsidP="00D62F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40D1">
        <w:rPr>
          <w:rFonts w:ascii="Arial" w:hAnsi="Arial" w:cs="Arial"/>
          <w:sz w:val="24"/>
          <w:szCs w:val="24"/>
        </w:rPr>
        <w:t xml:space="preserve">Las delegaciones intercambiaron pareceres al respecto, </w:t>
      </w:r>
      <w:r w:rsidR="00174E97" w:rsidRPr="00FD40D1">
        <w:rPr>
          <w:rFonts w:ascii="Arial" w:hAnsi="Arial" w:cs="Arial"/>
          <w:sz w:val="24"/>
          <w:szCs w:val="24"/>
        </w:rPr>
        <w:t>destac</w:t>
      </w:r>
      <w:r w:rsidRPr="00FD40D1">
        <w:rPr>
          <w:rFonts w:ascii="Arial" w:hAnsi="Arial" w:cs="Arial"/>
          <w:sz w:val="24"/>
          <w:szCs w:val="24"/>
        </w:rPr>
        <w:t>ando</w:t>
      </w:r>
      <w:r w:rsidR="007F1F05" w:rsidRPr="00FD40D1">
        <w:rPr>
          <w:rFonts w:ascii="Arial" w:hAnsi="Arial" w:cs="Arial"/>
          <w:sz w:val="24"/>
          <w:szCs w:val="24"/>
        </w:rPr>
        <w:t xml:space="preserve"> que este flagelo no es solo un problema económico, sino de seguridad. Por lo tanto, concuerdan en</w:t>
      </w:r>
      <w:r w:rsidR="00174E97" w:rsidRPr="00FD40D1">
        <w:rPr>
          <w:rFonts w:ascii="Arial" w:hAnsi="Arial" w:cs="Arial"/>
          <w:sz w:val="24"/>
          <w:szCs w:val="24"/>
        </w:rPr>
        <w:t xml:space="preserve"> la </w:t>
      </w:r>
      <w:r w:rsidRPr="00FD40D1">
        <w:rPr>
          <w:rFonts w:ascii="Arial" w:hAnsi="Arial" w:cs="Arial"/>
          <w:sz w:val="24"/>
          <w:szCs w:val="24"/>
        </w:rPr>
        <w:t>importancia de actuar</w:t>
      </w:r>
      <w:r w:rsidR="0019683E">
        <w:rPr>
          <w:rFonts w:ascii="Arial" w:hAnsi="Arial" w:cs="Arial"/>
          <w:sz w:val="24"/>
          <w:szCs w:val="24"/>
        </w:rPr>
        <w:t xml:space="preserve"> de forma </w:t>
      </w:r>
      <w:r w:rsidR="00160B03">
        <w:rPr>
          <w:rFonts w:ascii="Arial" w:hAnsi="Arial" w:cs="Arial"/>
          <w:sz w:val="24"/>
          <w:szCs w:val="24"/>
        </w:rPr>
        <w:t>coordinada</w:t>
      </w:r>
      <w:r w:rsidR="00160B03" w:rsidRPr="00FD40D1">
        <w:rPr>
          <w:rFonts w:ascii="Arial" w:hAnsi="Arial" w:cs="Arial"/>
          <w:sz w:val="24"/>
          <w:szCs w:val="24"/>
        </w:rPr>
        <w:t xml:space="preserve"> </w:t>
      </w:r>
      <w:r w:rsidR="00946E74">
        <w:rPr>
          <w:rFonts w:ascii="Arial" w:hAnsi="Arial" w:cs="Arial"/>
          <w:sz w:val="24"/>
          <w:szCs w:val="24"/>
        </w:rPr>
        <w:t xml:space="preserve">a nivel regional </w:t>
      </w:r>
      <w:r w:rsidR="00160B03" w:rsidRPr="00FD40D1">
        <w:rPr>
          <w:rFonts w:ascii="Arial" w:hAnsi="Arial" w:cs="Arial"/>
          <w:sz w:val="24"/>
          <w:szCs w:val="24"/>
        </w:rPr>
        <w:t>con</w:t>
      </w:r>
      <w:r w:rsidRPr="00FD40D1">
        <w:rPr>
          <w:rFonts w:ascii="Arial" w:hAnsi="Arial" w:cs="Arial"/>
          <w:sz w:val="24"/>
          <w:szCs w:val="24"/>
        </w:rPr>
        <w:t xml:space="preserve"> </w:t>
      </w:r>
      <w:r w:rsidR="00174E97" w:rsidRPr="00FD40D1">
        <w:rPr>
          <w:rFonts w:ascii="Arial" w:hAnsi="Arial" w:cs="Arial"/>
          <w:sz w:val="24"/>
          <w:szCs w:val="24"/>
        </w:rPr>
        <w:t xml:space="preserve">estrategias </w:t>
      </w:r>
      <w:r w:rsidR="007F1F05" w:rsidRPr="00FD40D1">
        <w:rPr>
          <w:rFonts w:ascii="Arial" w:hAnsi="Arial" w:cs="Arial"/>
          <w:sz w:val="24"/>
          <w:szCs w:val="24"/>
        </w:rPr>
        <w:t>para mitigar</w:t>
      </w:r>
      <w:r w:rsidR="00946E74">
        <w:rPr>
          <w:rFonts w:ascii="Arial" w:hAnsi="Arial" w:cs="Arial"/>
          <w:sz w:val="24"/>
          <w:szCs w:val="24"/>
        </w:rPr>
        <w:t xml:space="preserve"> estos delitos</w:t>
      </w:r>
      <w:r w:rsidR="007F1F05" w:rsidRPr="00FD40D1">
        <w:rPr>
          <w:rFonts w:ascii="Arial" w:hAnsi="Arial" w:cs="Arial"/>
          <w:sz w:val="24"/>
          <w:szCs w:val="24"/>
        </w:rPr>
        <w:t>.</w:t>
      </w:r>
      <w:r w:rsidR="00174E97" w:rsidRPr="00FD40D1">
        <w:rPr>
          <w:rFonts w:ascii="Arial" w:hAnsi="Arial" w:cs="Arial"/>
          <w:sz w:val="24"/>
          <w:szCs w:val="24"/>
        </w:rPr>
        <w:t xml:space="preserve"> </w:t>
      </w:r>
    </w:p>
    <w:p w14:paraId="2D4D8C12" w14:textId="77777777" w:rsidR="00513A21" w:rsidRPr="00FD40D1" w:rsidRDefault="00513A21" w:rsidP="00513A21">
      <w:pPr>
        <w:spacing w:line="240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eastAsia="Calibri"/>
          <w:color w:val="FF0000"/>
          <w:kern w:val="0"/>
          <w:position w:val="0"/>
          <w:lang w:val="es-MX" w:eastAsia="en-US"/>
        </w:rPr>
      </w:pPr>
    </w:p>
    <w:p w14:paraId="18CD5F20" w14:textId="3636AA74" w:rsidR="0055133F" w:rsidRPr="00FD40D1" w:rsidRDefault="002E3C78" w:rsidP="00D62F3E">
      <w:pPr>
        <w:pStyle w:val="Prrafodelista"/>
        <w:numPr>
          <w:ilvl w:val="2"/>
          <w:numId w:val="5"/>
        </w:numPr>
        <w:spacing w:line="240" w:lineRule="auto"/>
        <w:ind w:leftChars="0" w:left="1843" w:firstLineChars="0" w:hanging="709"/>
        <w:jc w:val="both"/>
        <w:textDirection w:val="lrTb"/>
        <w:textAlignment w:val="auto"/>
        <w:outlineLvl w:val="9"/>
        <w:rPr>
          <w:rFonts w:eastAsia="Calibri"/>
          <w:color w:val="FF0000"/>
          <w:kern w:val="0"/>
          <w:position w:val="0"/>
          <w:lang w:val="es-MX" w:eastAsia="en-US"/>
        </w:rPr>
      </w:pPr>
      <w:r w:rsidRPr="00FD40D1">
        <w:rPr>
          <w:rFonts w:eastAsia="Calibri"/>
          <w:b/>
          <w:bCs/>
          <w:kern w:val="0"/>
          <w:position w:val="0"/>
          <w:lang w:val="es-MX" w:eastAsia="en-US"/>
        </w:rPr>
        <w:t>Intercambio de experiencias y buenas prácticas en materia de delincuencia urbana</w:t>
      </w:r>
    </w:p>
    <w:p w14:paraId="1E44719A" w14:textId="77777777" w:rsidR="009C6394" w:rsidRPr="00FD40D1" w:rsidRDefault="009C6394" w:rsidP="009C6394">
      <w:pPr>
        <w:pStyle w:val="Prrafodelista"/>
        <w:spacing w:line="240" w:lineRule="auto"/>
        <w:ind w:leftChars="0" w:left="1080" w:firstLineChars="0" w:firstLine="0"/>
        <w:jc w:val="both"/>
        <w:textDirection w:val="lrTb"/>
        <w:textAlignment w:val="auto"/>
        <w:outlineLvl w:val="9"/>
        <w:rPr>
          <w:rFonts w:eastAsia="Calibri"/>
          <w:color w:val="FF0000"/>
          <w:kern w:val="0"/>
          <w:position w:val="0"/>
          <w:lang w:val="es-MX" w:eastAsia="en-US"/>
        </w:rPr>
      </w:pPr>
    </w:p>
    <w:p w14:paraId="28413C91" w14:textId="72F1BE26" w:rsidR="00513A21" w:rsidRPr="00FD40D1" w:rsidRDefault="00C70800" w:rsidP="00D62F3E">
      <w:pPr>
        <w:pStyle w:val="Prrafodelista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kern w:val="0"/>
          <w:position w:val="0"/>
          <w:lang w:val="es-MX" w:eastAsia="en-US"/>
        </w:rPr>
      </w:pPr>
      <w:r w:rsidRPr="00FD40D1">
        <w:rPr>
          <w:rFonts w:eastAsia="Calibri"/>
          <w:kern w:val="0"/>
          <w:position w:val="0"/>
          <w:lang w:val="es-MX" w:eastAsia="en-US"/>
        </w:rPr>
        <w:t xml:space="preserve">Las </w:t>
      </w:r>
      <w:r w:rsidR="00B00BFB" w:rsidRPr="00FD40D1">
        <w:rPr>
          <w:rFonts w:eastAsia="Calibri"/>
          <w:kern w:val="0"/>
          <w:position w:val="0"/>
          <w:lang w:val="es-MX" w:eastAsia="en-US"/>
        </w:rPr>
        <w:t>delegaciones</w:t>
      </w:r>
      <w:r w:rsidR="00E3521D">
        <w:rPr>
          <w:rFonts w:eastAsia="Calibri"/>
          <w:kern w:val="0"/>
          <w:position w:val="0"/>
          <w:lang w:val="es-MX" w:eastAsia="en-US"/>
        </w:rPr>
        <w:t>, según sus respectivas competencias,</w:t>
      </w:r>
      <w:r w:rsidR="0032598B">
        <w:rPr>
          <w:rFonts w:eastAsia="Calibri"/>
          <w:kern w:val="0"/>
          <w:position w:val="0"/>
          <w:lang w:val="es-MX" w:eastAsia="en-US"/>
        </w:rPr>
        <w:t xml:space="preserve"> </w:t>
      </w:r>
      <w:r w:rsidR="00B00BFB" w:rsidRPr="00FD40D1">
        <w:rPr>
          <w:rFonts w:eastAsia="Calibri"/>
          <w:kern w:val="0"/>
          <w:position w:val="0"/>
          <w:lang w:val="es-MX" w:eastAsia="en-US"/>
        </w:rPr>
        <w:t xml:space="preserve">comentaron </w:t>
      </w:r>
      <w:r w:rsidR="00946E74">
        <w:rPr>
          <w:rFonts w:eastAsia="Calibri"/>
          <w:kern w:val="0"/>
          <w:position w:val="0"/>
          <w:lang w:val="es-MX" w:eastAsia="en-US"/>
        </w:rPr>
        <w:t xml:space="preserve">sobre </w:t>
      </w:r>
      <w:r w:rsidR="00B00BFB" w:rsidRPr="00FD40D1">
        <w:rPr>
          <w:rFonts w:eastAsia="Calibri"/>
          <w:kern w:val="0"/>
          <w:position w:val="0"/>
          <w:lang w:val="es-MX" w:eastAsia="en-US"/>
        </w:rPr>
        <w:t xml:space="preserve">diversas experiencias en materia de buenas prácticas, </w:t>
      </w:r>
      <w:r w:rsidRPr="00FD40D1">
        <w:rPr>
          <w:rFonts w:eastAsia="Calibri"/>
          <w:kern w:val="0"/>
          <w:position w:val="0"/>
          <w:lang w:val="es-MX" w:eastAsia="en-US"/>
        </w:rPr>
        <w:t>destacando</w:t>
      </w:r>
      <w:r w:rsidR="0055133F" w:rsidRPr="00FD40D1">
        <w:rPr>
          <w:rFonts w:eastAsia="Calibri"/>
          <w:kern w:val="0"/>
          <w:position w:val="0"/>
          <w:lang w:val="es-MX" w:eastAsia="en-US"/>
        </w:rPr>
        <w:t xml:space="preserve"> el objetivo de brindar seguridad y afirmar la convivencia pacífica ent</w:t>
      </w:r>
      <w:r w:rsidR="00FE409A" w:rsidRPr="00FD40D1">
        <w:rPr>
          <w:rFonts w:eastAsia="Calibri"/>
          <w:kern w:val="0"/>
          <w:position w:val="0"/>
          <w:lang w:val="es-MX" w:eastAsia="en-US"/>
        </w:rPr>
        <w:t>re los ciudadanos</w:t>
      </w:r>
      <w:r w:rsidR="00946E74">
        <w:rPr>
          <w:rFonts w:eastAsia="Calibri"/>
          <w:kern w:val="0"/>
          <w:position w:val="0"/>
          <w:lang w:val="es-MX" w:eastAsia="en-US"/>
        </w:rPr>
        <w:t xml:space="preserve"> de la región</w:t>
      </w:r>
      <w:r w:rsidR="00FE409A" w:rsidRPr="00FD40D1">
        <w:rPr>
          <w:rFonts w:eastAsia="Calibri"/>
          <w:kern w:val="0"/>
          <w:position w:val="0"/>
          <w:lang w:val="es-MX" w:eastAsia="en-US"/>
        </w:rPr>
        <w:t>.</w:t>
      </w:r>
    </w:p>
    <w:p w14:paraId="5C34BAF5" w14:textId="6DF52A7C" w:rsidR="00D6573D" w:rsidRPr="00FD40D1" w:rsidRDefault="00D6573D" w:rsidP="00513A2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PY" w:eastAsia="en-US"/>
        </w:rPr>
      </w:pPr>
    </w:p>
    <w:p w14:paraId="716BBCF2" w14:textId="77777777" w:rsidR="00D6573D" w:rsidRPr="00FD40D1" w:rsidRDefault="00D6573D" w:rsidP="00D6573D">
      <w:pPr>
        <w:spacing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rFonts w:eastAsia="Calibri"/>
          <w:b/>
          <w:bCs/>
          <w:kern w:val="0"/>
          <w:position w:val="0"/>
          <w:lang w:val="es-PY" w:eastAsia="en-US"/>
        </w:rPr>
      </w:pPr>
    </w:p>
    <w:p w14:paraId="0BE23579" w14:textId="0B18247B" w:rsidR="002C76D5" w:rsidRPr="00FD40D1" w:rsidRDefault="00BB6606" w:rsidP="00641FC5">
      <w:pPr>
        <w:pStyle w:val="Prrafodelista"/>
        <w:numPr>
          <w:ilvl w:val="0"/>
          <w:numId w:val="5"/>
        </w:numPr>
        <w:spacing w:after="160" w:line="240" w:lineRule="auto"/>
        <w:ind w:leftChars="0" w:left="567" w:firstLineChars="0" w:hanging="567"/>
        <w:jc w:val="both"/>
        <w:textAlignment w:val="auto"/>
        <w:outlineLvl w:val="9"/>
        <w:rPr>
          <w:b/>
          <w:color w:val="000000"/>
          <w:lang w:val="es-UY"/>
        </w:rPr>
      </w:pPr>
      <w:bookmarkStart w:id="1" w:name="_heading=h.7th5s6mj72mi" w:colFirst="0" w:colLast="0"/>
      <w:bookmarkStart w:id="2" w:name="_heading=h.mshbjs4udf49" w:colFirst="0" w:colLast="0"/>
      <w:bookmarkEnd w:id="1"/>
      <w:bookmarkEnd w:id="2"/>
      <w:r w:rsidRPr="00FD40D1">
        <w:rPr>
          <w:b/>
          <w:lang w:val="es-UY"/>
        </w:rPr>
        <w:t>PRÓXIMA REUNIÓN</w:t>
      </w:r>
    </w:p>
    <w:p w14:paraId="67F685A7" w14:textId="79EFCD44" w:rsidR="002C76D5" w:rsidRPr="00FD40D1" w:rsidRDefault="001C558A">
      <w:pPr>
        <w:tabs>
          <w:tab w:val="left" w:pos="284"/>
          <w:tab w:val="left" w:pos="851"/>
        </w:tabs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 próxima reunión será convocada oportunamente por la PPT </w:t>
      </w:r>
      <w:r w:rsidR="00946E74">
        <w:rPr>
          <w:lang w:val="es-UY"/>
        </w:rPr>
        <w:t xml:space="preserve">en ejercicio </w:t>
      </w:r>
      <w:r w:rsidRPr="00FD40D1">
        <w:rPr>
          <w:lang w:val="es-UY"/>
        </w:rPr>
        <w:t>en fecha a</w:t>
      </w:r>
      <w:r w:rsidR="00946E74">
        <w:rPr>
          <w:lang w:val="es-UY"/>
        </w:rPr>
        <w:t xml:space="preserve"> ser oportunamente</w:t>
      </w:r>
      <w:r w:rsidRPr="00FD40D1">
        <w:rPr>
          <w:lang w:val="es-UY"/>
        </w:rPr>
        <w:t xml:space="preserve"> determina</w:t>
      </w:r>
      <w:r w:rsidR="00946E74">
        <w:rPr>
          <w:lang w:val="es-UY"/>
        </w:rPr>
        <w:t>da</w:t>
      </w:r>
      <w:r w:rsidRPr="00FD40D1">
        <w:rPr>
          <w:lang w:val="es-UY"/>
        </w:rPr>
        <w:t>.</w:t>
      </w:r>
    </w:p>
    <w:p w14:paraId="77723DA5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74B3D355" w14:textId="313A6F05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 xml:space="preserve">Las Ministros e integrantes de las delegaciones agradecieron </w:t>
      </w:r>
      <w:r w:rsidR="002410D2" w:rsidRPr="00FD40D1">
        <w:rPr>
          <w:lang w:val="es-UY"/>
        </w:rPr>
        <w:t>a la delegación de Paraguay la hospitalidad y la labor realizada durante el presente semestre 2022.</w:t>
      </w:r>
    </w:p>
    <w:p w14:paraId="31BF4F67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1355EF13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62C15868" w14:textId="2DB60472" w:rsidR="002C76D5" w:rsidRPr="00357CC8" w:rsidRDefault="001C558A" w:rsidP="00357CC8">
      <w:pPr>
        <w:spacing w:after="160" w:line="240" w:lineRule="auto"/>
        <w:ind w:leftChars="0" w:left="0" w:firstLineChars="0" w:hanging="2"/>
        <w:jc w:val="both"/>
        <w:textAlignment w:val="auto"/>
        <w:outlineLvl w:val="9"/>
        <w:rPr>
          <w:lang w:val="es-UY"/>
        </w:rPr>
      </w:pPr>
      <w:r w:rsidRPr="00357CC8">
        <w:rPr>
          <w:b/>
          <w:lang w:val="es-UY"/>
        </w:rPr>
        <w:t>LISTA DE ANEXOS</w:t>
      </w:r>
    </w:p>
    <w:p w14:paraId="2E6989F0" w14:textId="77777777" w:rsidR="002C76D5" w:rsidRPr="00FD40D1" w:rsidRDefault="002C76D5">
      <w:pPr>
        <w:ind w:left="0" w:hanging="2"/>
        <w:jc w:val="both"/>
        <w:rPr>
          <w:lang w:val="es-UY"/>
        </w:rPr>
      </w:pPr>
    </w:p>
    <w:p w14:paraId="21DD9534" w14:textId="77777777" w:rsidR="002C76D5" w:rsidRPr="00FD40D1" w:rsidRDefault="001C558A">
      <w:pPr>
        <w:ind w:left="0" w:hanging="2"/>
        <w:jc w:val="both"/>
        <w:rPr>
          <w:lang w:val="es-UY"/>
        </w:rPr>
      </w:pPr>
      <w:r w:rsidRPr="00FD40D1">
        <w:rPr>
          <w:lang w:val="es-UY"/>
        </w:rPr>
        <w:t>Los Anexos que hacen parte de la presente Acta son los siguientes:</w:t>
      </w:r>
    </w:p>
    <w:p w14:paraId="4CB1BDA3" w14:textId="77777777" w:rsidR="002C76D5" w:rsidRPr="00FD40D1" w:rsidRDefault="002C76D5">
      <w:pPr>
        <w:ind w:left="0" w:hanging="2"/>
        <w:jc w:val="both"/>
        <w:rPr>
          <w:lang w:val="es-UY"/>
        </w:rPr>
      </w:pPr>
    </w:p>
    <w:tbl>
      <w:tblPr>
        <w:tblStyle w:val="a3"/>
        <w:tblW w:w="851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96"/>
        <w:gridCol w:w="6818"/>
      </w:tblGrid>
      <w:tr w:rsidR="002C76D5" w:rsidRPr="00FD40D1" w14:paraId="110F5A5B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C4F692" w14:textId="6F5C6142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7F850" w14:textId="77777777" w:rsidR="002C76D5" w:rsidRDefault="001C558A">
            <w:pPr>
              <w:ind w:left="0" w:hanging="2"/>
              <w:jc w:val="both"/>
            </w:pPr>
            <w:r w:rsidRPr="00FD40D1">
              <w:t>Lista de participantes</w:t>
            </w:r>
            <w:r w:rsidR="000C53C8">
              <w:t>.</w:t>
            </w:r>
          </w:p>
          <w:p w14:paraId="74342F81" w14:textId="77777777" w:rsidR="000C53C8" w:rsidRPr="00FD40D1" w:rsidRDefault="000C53C8">
            <w:pPr>
              <w:ind w:left="0" w:hanging="2"/>
              <w:jc w:val="both"/>
            </w:pPr>
          </w:p>
        </w:tc>
      </w:tr>
      <w:tr w:rsidR="002C76D5" w:rsidRPr="00FD40D1" w14:paraId="6B3D36D3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0A1D84" w14:textId="082E32B8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1AA13" w14:textId="77777777" w:rsidR="002C76D5" w:rsidRDefault="000C53C8">
            <w:pPr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>Agenda de la reunión.</w:t>
            </w:r>
          </w:p>
          <w:p w14:paraId="401B1D3B" w14:textId="6E3B79EF" w:rsidR="000C53C8" w:rsidRPr="00FD40D1" w:rsidRDefault="000C53C8">
            <w:pPr>
              <w:ind w:left="0" w:hanging="2"/>
              <w:jc w:val="both"/>
              <w:rPr>
                <w:lang w:val="es-UY"/>
              </w:rPr>
            </w:pPr>
          </w:p>
        </w:tc>
      </w:tr>
      <w:tr w:rsidR="002C76D5" w:rsidRPr="00FD40D1" w14:paraId="7BE1A5A3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6D270D" w14:textId="5470D87E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III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BE906" w14:textId="77777777" w:rsidR="002C76D5" w:rsidRDefault="000C53C8">
            <w:pPr>
              <w:ind w:left="0" w:hanging="2"/>
              <w:jc w:val="both"/>
            </w:pPr>
            <w:proofErr w:type="spellStart"/>
            <w:r>
              <w:t>Resumen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Acta.</w:t>
            </w:r>
          </w:p>
          <w:p w14:paraId="447FF4DD" w14:textId="38CF69D5" w:rsidR="000C53C8" w:rsidRPr="00FD40D1" w:rsidRDefault="000C53C8">
            <w:pPr>
              <w:ind w:left="0" w:hanging="2"/>
              <w:jc w:val="both"/>
            </w:pPr>
          </w:p>
        </w:tc>
      </w:tr>
      <w:tr w:rsidR="002C76D5" w:rsidRPr="00FD40D1" w14:paraId="54CCF1D9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9C58E0" w14:textId="08342B61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IV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45CAA" w14:textId="77777777" w:rsidR="002C76D5" w:rsidRDefault="004B0D89">
            <w:pPr>
              <w:ind w:left="0" w:hanging="2"/>
              <w:jc w:val="both"/>
              <w:rPr>
                <w:lang w:val="es-UY"/>
              </w:rPr>
            </w:pPr>
            <w:r w:rsidRPr="00FD40D1">
              <w:rPr>
                <w:lang w:val="es-UY"/>
              </w:rPr>
              <w:t xml:space="preserve">Acta de la Comisión Técnica y los </w:t>
            </w:r>
            <w:proofErr w:type="spellStart"/>
            <w:r w:rsidRPr="00FD40D1">
              <w:rPr>
                <w:lang w:val="es-UY"/>
              </w:rPr>
              <w:t>GTEs</w:t>
            </w:r>
            <w:proofErr w:type="spellEnd"/>
            <w:r>
              <w:rPr>
                <w:lang w:val="es-UY"/>
              </w:rPr>
              <w:t>.</w:t>
            </w:r>
          </w:p>
          <w:p w14:paraId="7B0A4A2F" w14:textId="3B053AFA" w:rsidR="004B0D89" w:rsidRPr="00FD40D1" w:rsidRDefault="004B0D89">
            <w:pPr>
              <w:ind w:left="0" w:hanging="2"/>
              <w:jc w:val="both"/>
            </w:pPr>
          </w:p>
        </w:tc>
      </w:tr>
      <w:tr w:rsidR="002C76D5" w:rsidRPr="00FD40D1" w14:paraId="4641725B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66E693" w14:textId="0D3D6ABA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V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DAEAA" w14:textId="77777777" w:rsidR="002C76D5" w:rsidRDefault="005B5FD2">
            <w:pPr>
              <w:ind w:left="0" w:hanging="2"/>
              <w:jc w:val="both"/>
              <w:rPr>
                <w:lang w:val="es-UY"/>
              </w:rPr>
            </w:pPr>
            <w:r>
              <w:t xml:space="preserve">Acta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r w:rsidRPr="00FD40D1">
              <w:rPr>
                <w:lang w:val="es-UY"/>
              </w:rPr>
              <w:t>Foro Especiali</w:t>
            </w:r>
            <w:r>
              <w:rPr>
                <w:lang w:val="es-UY"/>
              </w:rPr>
              <w:t>zado Migratorio.</w:t>
            </w:r>
          </w:p>
          <w:p w14:paraId="67A87FF3" w14:textId="74CA2516" w:rsidR="005B5FD2" w:rsidRPr="00FD40D1" w:rsidRDefault="005B5FD2">
            <w:pPr>
              <w:ind w:left="0" w:hanging="2"/>
              <w:jc w:val="both"/>
            </w:pPr>
          </w:p>
        </w:tc>
      </w:tr>
      <w:tr w:rsidR="002C76D5" w:rsidRPr="00FD40D1" w14:paraId="2274AD9A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7CCE82C" w14:textId="39DDCE3A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lastRenderedPageBreak/>
              <w:t>ANEXO VI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DACA2" w14:textId="58CC64BF" w:rsidR="002C76D5" w:rsidRDefault="00357CC8">
            <w:pPr>
              <w:tabs>
                <w:tab w:val="left" w:pos="0"/>
                <w:tab w:val="left" w:pos="284"/>
              </w:tabs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 xml:space="preserve">RESERVADA - </w:t>
            </w:r>
            <w:r w:rsidR="005B5FD2">
              <w:rPr>
                <w:lang w:val="es-UY"/>
              </w:rPr>
              <w:t xml:space="preserve">Acta del </w:t>
            </w:r>
            <w:r w:rsidR="005B5FD2" w:rsidRPr="00FD40D1">
              <w:rPr>
                <w:lang w:val="es-UY"/>
              </w:rPr>
              <w:t>Foro Especializado en Terrorismo</w:t>
            </w:r>
            <w:r w:rsidR="005B5FD2">
              <w:rPr>
                <w:lang w:val="es-UY"/>
              </w:rPr>
              <w:t xml:space="preserve"> (sin circulación).</w:t>
            </w:r>
          </w:p>
          <w:p w14:paraId="6AF3B507" w14:textId="5042B099" w:rsidR="005B5FD2" w:rsidRPr="00FD40D1" w:rsidRDefault="005B5FD2">
            <w:pPr>
              <w:tabs>
                <w:tab w:val="left" w:pos="0"/>
                <w:tab w:val="left" w:pos="284"/>
              </w:tabs>
              <w:ind w:left="0" w:hanging="2"/>
              <w:jc w:val="both"/>
            </w:pPr>
          </w:p>
        </w:tc>
      </w:tr>
      <w:tr w:rsidR="002C76D5" w:rsidRPr="00FD40D1" w14:paraId="2149E547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34C1B0" w14:textId="3C4839CA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VII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AF338" w14:textId="79AF2CA9" w:rsidR="000302CA" w:rsidRDefault="00357CC8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 xml:space="preserve">RESERVADA  - </w:t>
            </w:r>
            <w:r w:rsidR="000302CA">
              <w:rPr>
                <w:lang w:val="es-UY"/>
              </w:rPr>
              <w:t>Ac</w:t>
            </w:r>
            <w:r w:rsidR="000302CA" w:rsidRPr="00FD40D1">
              <w:rPr>
                <w:lang w:val="es-UY"/>
              </w:rPr>
              <w:t>ta de la Reunión de Jefes de Policía y Fuerzas de Seguridad</w:t>
            </w:r>
            <w:r w:rsidR="000302CA">
              <w:rPr>
                <w:lang w:val="es-UY"/>
              </w:rPr>
              <w:t xml:space="preserve"> (sin circulación).</w:t>
            </w:r>
          </w:p>
          <w:p w14:paraId="0FF7677D" w14:textId="20EADFDD" w:rsidR="002C76D5" w:rsidRPr="00FD40D1" w:rsidRDefault="000302CA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 xml:space="preserve"> </w:t>
            </w:r>
          </w:p>
        </w:tc>
      </w:tr>
      <w:tr w:rsidR="002C76D5" w:rsidRPr="00FD40D1" w14:paraId="5E4073DA" w14:textId="77777777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ED977B" w14:textId="28FAE5A2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>ANEXO VIII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CC8BB" w14:textId="77777777" w:rsidR="002C76D5" w:rsidRDefault="00503972" w:rsidP="00503972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  <w:r>
              <w:rPr>
                <w:lang w:val="es-UY"/>
              </w:rPr>
              <w:t>Ac</w:t>
            </w:r>
            <w:r w:rsidRPr="00FD40D1">
              <w:rPr>
                <w:lang w:val="es-UY"/>
              </w:rPr>
              <w:t>ta de la reunión</w:t>
            </w:r>
            <w:r>
              <w:rPr>
                <w:lang w:val="es-UY"/>
              </w:rPr>
              <w:t xml:space="preserve"> de la Comisió</w:t>
            </w:r>
            <w:r w:rsidRPr="00503972">
              <w:rPr>
                <w:lang w:val="es-UY"/>
              </w:rPr>
              <w:t>n Nacional para Refugiados</w:t>
            </w:r>
            <w:r>
              <w:rPr>
                <w:lang w:val="es-UY"/>
              </w:rPr>
              <w:t>.</w:t>
            </w:r>
          </w:p>
          <w:p w14:paraId="77D9167B" w14:textId="2662F9FB" w:rsidR="00503972" w:rsidRPr="00FD40D1" w:rsidRDefault="00503972" w:rsidP="00503972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</w:p>
        </w:tc>
      </w:tr>
      <w:tr w:rsidR="002C76D5" w:rsidRPr="00FD40D1" w14:paraId="1852D6E5" w14:textId="77777777">
        <w:trPr>
          <w:trHeight w:val="26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A9661B" w14:textId="2B02E43E" w:rsidR="002C76D5" w:rsidRPr="00FD40D1" w:rsidRDefault="001C558A">
            <w:pPr>
              <w:ind w:left="0" w:hanging="2"/>
              <w:jc w:val="both"/>
            </w:pPr>
            <w:r w:rsidRPr="00FD40D1">
              <w:rPr>
                <w:b/>
              </w:rPr>
              <w:t xml:space="preserve">ANEXO IX 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051C6" w14:textId="77777777" w:rsidR="002C76D5" w:rsidRPr="000558F3" w:rsidRDefault="00A47DA7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rFonts w:eastAsia="Calibri"/>
                <w:bCs/>
                <w:kern w:val="0"/>
                <w:position w:val="0"/>
                <w:lang w:val="es-MX" w:eastAsia="en-US"/>
              </w:rPr>
            </w:pPr>
            <w:r w:rsidRPr="000558F3">
              <w:rPr>
                <w:rFonts w:eastAsia="Calibri"/>
                <w:bCs/>
                <w:kern w:val="0"/>
                <w:position w:val="0"/>
                <w:lang w:val="es-MX" w:eastAsia="en-US"/>
              </w:rPr>
              <w:t>Declaración de Asunción de Ministros del Interior y Seguridad del MERCOSUR.</w:t>
            </w:r>
          </w:p>
          <w:p w14:paraId="22BF19F0" w14:textId="01F26531" w:rsidR="000558F3" w:rsidRPr="00FD40D1" w:rsidRDefault="000558F3">
            <w:pPr>
              <w:tabs>
                <w:tab w:val="left" w:pos="284"/>
                <w:tab w:val="left" w:pos="851"/>
              </w:tabs>
              <w:ind w:left="0" w:hanging="2"/>
              <w:jc w:val="both"/>
              <w:rPr>
                <w:lang w:val="es-UY"/>
              </w:rPr>
            </w:pPr>
          </w:p>
        </w:tc>
      </w:tr>
    </w:tbl>
    <w:p w14:paraId="55DAC283" w14:textId="77777777" w:rsidR="002C76D5" w:rsidRPr="00FD40D1" w:rsidRDefault="002C76D5">
      <w:pPr>
        <w:ind w:left="0" w:hanging="2"/>
        <w:jc w:val="center"/>
        <w:rPr>
          <w:lang w:val="es-UY"/>
        </w:rPr>
      </w:pPr>
    </w:p>
    <w:tbl>
      <w:tblPr>
        <w:tblStyle w:val="a4"/>
        <w:tblW w:w="8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89"/>
        <w:gridCol w:w="4394"/>
      </w:tblGrid>
      <w:tr w:rsidR="002C76D5" w:rsidRPr="00FD40D1" w14:paraId="1B7790B0" w14:textId="77777777" w:rsidTr="00651F62">
        <w:tc>
          <w:tcPr>
            <w:tcW w:w="4389" w:type="dxa"/>
            <w:shd w:val="clear" w:color="auto" w:fill="FFFFFF" w:themeFill="background1"/>
          </w:tcPr>
          <w:p w14:paraId="446503AA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2DA00D78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70317D59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35A2A77C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3C00061B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67F70D47" w14:textId="7BCD13E0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_______________________</w:t>
            </w:r>
            <w:r w:rsidR="007464D0">
              <w:rPr>
                <w:b/>
                <w:lang w:val="es-UY"/>
              </w:rPr>
              <w:t>____</w:t>
            </w:r>
            <w:r w:rsidRPr="00651F62">
              <w:rPr>
                <w:b/>
                <w:lang w:val="es-UY"/>
              </w:rPr>
              <w:t>___</w:t>
            </w:r>
          </w:p>
          <w:p w14:paraId="0BC543F9" w14:textId="77777777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>Por el Ministerio de Seguridad de la República Argentina</w:t>
            </w:r>
          </w:p>
          <w:p w14:paraId="29CD5F81" w14:textId="49A2837C" w:rsidR="002C76D5" w:rsidRPr="00651F62" w:rsidRDefault="007B52CC">
            <w:pPr>
              <w:ind w:left="0" w:right="170" w:hanging="2"/>
              <w:jc w:val="center"/>
            </w:pPr>
            <w:r w:rsidRPr="00651F62">
              <w:rPr>
                <w:b/>
              </w:rPr>
              <w:t>Aníbal</w:t>
            </w:r>
            <w:r w:rsidR="00C37EC1" w:rsidRPr="00651F62">
              <w:rPr>
                <w:b/>
              </w:rPr>
              <w:t xml:space="preserve"> Domingo Fernandez</w:t>
            </w:r>
          </w:p>
          <w:p w14:paraId="46D5AC9B" w14:textId="77777777" w:rsidR="002C76D5" w:rsidRPr="00651F62" w:rsidRDefault="002C76D5">
            <w:pPr>
              <w:ind w:left="0" w:right="170" w:hanging="2"/>
              <w:jc w:val="center"/>
            </w:pPr>
          </w:p>
          <w:p w14:paraId="0E4BA0DC" w14:textId="77777777" w:rsidR="002C76D5" w:rsidRPr="00651F62" w:rsidRDefault="002C76D5">
            <w:pPr>
              <w:ind w:left="0" w:right="170" w:hanging="2"/>
              <w:jc w:val="center"/>
            </w:pPr>
          </w:p>
          <w:p w14:paraId="0666D6A4" w14:textId="77777777" w:rsidR="002C76D5" w:rsidRPr="00651F62" w:rsidRDefault="002C76D5">
            <w:pPr>
              <w:ind w:left="0" w:right="170" w:hanging="2"/>
              <w:jc w:val="center"/>
            </w:pPr>
          </w:p>
        </w:tc>
        <w:tc>
          <w:tcPr>
            <w:tcW w:w="4394" w:type="dxa"/>
            <w:shd w:val="clear" w:color="auto" w:fill="FFFFFF" w:themeFill="background1"/>
          </w:tcPr>
          <w:p w14:paraId="32450654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1D109990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48149852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59245E66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63465C60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1D52A93E" w14:textId="6AFEA084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</w:t>
            </w:r>
            <w:r w:rsidR="007464D0">
              <w:rPr>
                <w:b/>
                <w:lang w:val="es-UY"/>
              </w:rPr>
              <w:t>_</w:t>
            </w:r>
            <w:r w:rsidRPr="00651F62">
              <w:rPr>
                <w:b/>
                <w:lang w:val="es-UY"/>
              </w:rPr>
              <w:t>__</w:t>
            </w:r>
            <w:r w:rsidR="007464D0">
              <w:rPr>
                <w:b/>
                <w:lang w:val="es-UY"/>
              </w:rPr>
              <w:t>__</w:t>
            </w:r>
            <w:r w:rsidRPr="00651F62">
              <w:rPr>
                <w:b/>
                <w:lang w:val="es-UY"/>
              </w:rPr>
              <w:t>_______</w:t>
            </w:r>
          </w:p>
          <w:p w14:paraId="07336540" w14:textId="77777777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>Por el Ministerio de Justicia y Seguridad Pública de la República Federativa del Brasil</w:t>
            </w:r>
          </w:p>
          <w:p w14:paraId="59C004CA" w14:textId="77777777" w:rsidR="002C76D5" w:rsidRPr="00651F62" w:rsidRDefault="00C37EC1">
            <w:pPr>
              <w:ind w:left="0" w:right="170" w:hanging="2"/>
              <w:jc w:val="center"/>
              <w:rPr>
                <w:b/>
              </w:rPr>
            </w:pPr>
            <w:r w:rsidRPr="00651F62">
              <w:rPr>
                <w:b/>
                <w:color w:val="212121"/>
              </w:rPr>
              <w:t>Anderson Gustavo Torres</w:t>
            </w:r>
          </w:p>
          <w:p w14:paraId="3684B098" w14:textId="77777777" w:rsidR="002C76D5" w:rsidRPr="00651F62" w:rsidRDefault="002C76D5">
            <w:pPr>
              <w:ind w:left="0" w:hanging="2"/>
              <w:jc w:val="both"/>
            </w:pPr>
          </w:p>
        </w:tc>
      </w:tr>
      <w:tr w:rsidR="002C76D5" w:rsidRPr="00FD40D1" w14:paraId="20AD2EE2" w14:textId="77777777" w:rsidTr="00651F62">
        <w:tc>
          <w:tcPr>
            <w:tcW w:w="4389" w:type="dxa"/>
            <w:shd w:val="clear" w:color="auto" w:fill="FFFFFF" w:themeFill="background1"/>
          </w:tcPr>
          <w:p w14:paraId="54F65EC4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0A9E7334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7BB637E0" w14:textId="29431E1C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____________________</w:t>
            </w:r>
            <w:r w:rsidR="007464D0">
              <w:rPr>
                <w:b/>
                <w:lang w:val="es-UY"/>
              </w:rPr>
              <w:t>__</w:t>
            </w:r>
            <w:r w:rsidRPr="00651F62">
              <w:rPr>
                <w:b/>
                <w:lang w:val="es-UY"/>
              </w:rPr>
              <w:t>________</w:t>
            </w:r>
          </w:p>
          <w:p w14:paraId="188A901A" w14:textId="77777777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>Por el Ministerio del Interior de la República de Paraguay</w:t>
            </w:r>
          </w:p>
          <w:p w14:paraId="16C6F583" w14:textId="77777777" w:rsidR="002C76D5" w:rsidRPr="00651F62" w:rsidRDefault="00C37EC1">
            <w:pPr>
              <w:ind w:left="0" w:right="170" w:hanging="2"/>
              <w:jc w:val="center"/>
              <w:rPr>
                <w:b/>
              </w:rPr>
            </w:pPr>
            <w:r w:rsidRPr="00651F62">
              <w:rPr>
                <w:b/>
                <w:color w:val="202124"/>
              </w:rPr>
              <w:t>Federico A. González F.</w:t>
            </w:r>
          </w:p>
          <w:p w14:paraId="69C561AD" w14:textId="77777777" w:rsidR="002C76D5" w:rsidRPr="00651F62" w:rsidRDefault="002C76D5">
            <w:pPr>
              <w:ind w:left="0" w:right="170" w:hanging="2"/>
              <w:jc w:val="center"/>
            </w:pPr>
          </w:p>
          <w:p w14:paraId="544127CD" w14:textId="77777777" w:rsidR="002C76D5" w:rsidRPr="00651F62" w:rsidRDefault="002C76D5">
            <w:pPr>
              <w:ind w:left="0" w:right="170" w:hanging="2"/>
              <w:jc w:val="center"/>
            </w:pPr>
          </w:p>
        </w:tc>
        <w:tc>
          <w:tcPr>
            <w:tcW w:w="4394" w:type="dxa"/>
            <w:shd w:val="clear" w:color="auto" w:fill="FFFFFF" w:themeFill="background1"/>
          </w:tcPr>
          <w:p w14:paraId="62A0CA46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4D7CC15C" w14:textId="77777777" w:rsidR="002C76D5" w:rsidRPr="00651F62" w:rsidRDefault="002C76D5">
            <w:pPr>
              <w:ind w:left="0" w:right="170" w:hanging="2"/>
              <w:jc w:val="center"/>
              <w:rPr>
                <w:lang w:val="es-UY"/>
              </w:rPr>
            </w:pPr>
          </w:p>
          <w:p w14:paraId="4612CFC5" w14:textId="470020FF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b/>
                <w:lang w:val="es-UY"/>
              </w:rPr>
              <w:t>____________________</w:t>
            </w:r>
            <w:r w:rsidR="007464D0">
              <w:rPr>
                <w:b/>
                <w:lang w:val="es-UY"/>
              </w:rPr>
              <w:t>__</w:t>
            </w:r>
            <w:r w:rsidRPr="00651F62">
              <w:rPr>
                <w:b/>
                <w:lang w:val="es-UY"/>
              </w:rPr>
              <w:t>________</w:t>
            </w:r>
          </w:p>
          <w:p w14:paraId="5AB9A13D" w14:textId="77777777" w:rsidR="002C76D5" w:rsidRPr="00651F62" w:rsidRDefault="001C558A">
            <w:pPr>
              <w:ind w:left="0" w:right="170" w:hanging="2"/>
              <w:jc w:val="center"/>
              <w:rPr>
                <w:lang w:val="es-UY"/>
              </w:rPr>
            </w:pPr>
            <w:r w:rsidRPr="00651F62">
              <w:rPr>
                <w:lang w:val="es-UY"/>
              </w:rPr>
              <w:t>Por el Ministerio del Interior de la República Oriental del Uruguay</w:t>
            </w:r>
          </w:p>
          <w:p w14:paraId="1E6B97D9" w14:textId="5534B065" w:rsidR="002C76D5" w:rsidRPr="00651F62" w:rsidRDefault="00257D6F" w:rsidP="00016C1A">
            <w:pPr>
              <w:ind w:left="0" w:right="170" w:hanging="2"/>
              <w:jc w:val="center"/>
              <w:rPr>
                <w:b/>
              </w:rPr>
            </w:pPr>
            <w:proofErr w:type="spellStart"/>
            <w:r w:rsidRPr="00651F62">
              <w:rPr>
                <w:b/>
              </w:rPr>
              <w:t>Luis</w:t>
            </w:r>
            <w:proofErr w:type="spellEnd"/>
            <w:r w:rsidRPr="00651F62">
              <w:rPr>
                <w:b/>
              </w:rPr>
              <w:t xml:space="preserve"> </w:t>
            </w:r>
            <w:r w:rsidR="00AB049A" w:rsidRPr="00651F62">
              <w:rPr>
                <w:b/>
              </w:rPr>
              <w:t xml:space="preserve">Fernando </w:t>
            </w:r>
            <w:proofErr w:type="spellStart"/>
            <w:r w:rsidRPr="00651F62">
              <w:rPr>
                <w:b/>
              </w:rPr>
              <w:t>Ca</w:t>
            </w:r>
            <w:r w:rsidR="00016C1A" w:rsidRPr="00651F62">
              <w:rPr>
                <w:b/>
              </w:rPr>
              <w:t>l</w:t>
            </w:r>
            <w:r w:rsidRPr="00651F62">
              <w:rPr>
                <w:b/>
              </w:rPr>
              <w:t>abria</w:t>
            </w:r>
            <w:proofErr w:type="spellEnd"/>
          </w:p>
        </w:tc>
      </w:tr>
    </w:tbl>
    <w:p w14:paraId="2EEC5FC8" w14:textId="77777777" w:rsidR="002C76D5" w:rsidRPr="00FD40D1" w:rsidRDefault="002C76D5">
      <w:pPr>
        <w:tabs>
          <w:tab w:val="left" w:pos="5640"/>
        </w:tabs>
        <w:ind w:left="0" w:hanging="2"/>
      </w:pPr>
    </w:p>
    <w:p w14:paraId="3D2340AA" w14:textId="77777777" w:rsidR="002C76D5" w:rsidRPr="00FD40D1" w:rsidRDefault="002C76D5">
      <w:pPr>
        <w:tabs>
          <w:tab w:val="left" w:pos="5640"/>
        </w:tabs>
        <w:ind w:left="0" w:hanging="2"/>
      </w:pPr>
    </w:p>
    <w:p w14:paraId="0C749EC4" w14:textId="77777777" w:rsidR="002C76D5" w:rsidRPr="00FD40D1" w:rsidRDefault="002C76D5">
      <w:pPr>
        <w:tabs>
          <w:tab w:val="left" w:pos="5640"/>
        </w:tabs>
        <w:ind w:left="0" w:hanging="2"/>
      </w:pPr>
    </w:p>
    <w:p w14:paraId="70FB72FB" w14:textId="77777777" w:rsidR="002C76D5" w:rsidRPr="00FD40D1" w:rsidRDefault="002C76D5">
      <w:pPr>
        <w:tabs>
          <w:tab w:val="left" w:pos="5640"/>
        </w:tabs>
        <w:ind w:left="0" w:hanging="2"/>
      </w:pPr>
    </w:p>
    <w:p w14:paraId="797706B5" w14:textId="77777777" w:rsidR="002C76D5" w:rsidRPr="00FD40D1" w:rsidRDefault="002C76D5">
      <w:pPr>
        <w:tabs>
          <w:tab w:val="left" w:pos="5640"/>
        </w:tabs>
        <w:ind w:left="0" w:hanging="2"/>
      </w:pPr>
    </w:p>
    <w:p w14:paraId="664953F3" w14:textId="77777777" w:rsidR="002C76D5" w:rsidRPr="00FD40D1" w:rsidRDefault="002C76D5">
      <w:pPr>
        <w:tabs>
          <w:tab w:val="left" w:pos="5640"/>
        </w:tabs>
        <w:ind w:left="0" w:hanging="2"/>
      </w:pPr>
    </w:p>
    <w:p w14:paraId="26267768" w14:textId="77777777" w:rsidR="002C76D5" w:rsidRPr="00FD40D1" w:rsidRDefault="002C76D5">
      <w:pPr>
        <w:tabs>
          <w:tab w:val="left" w:pos="5640"/>
        </w:tabs>
        <w:ind w:left="0" w:hanging="2"/>
      </w:pPr>
    </w:p>
    <w:p w14:paraId="2CBF9A5D" w14:textId="7FA2A841" w:rsidR="00946E74" w:rsidRDefault="00946E74">
      <w:pPr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E1DBDE0" w14:textId="77777777" w:rsidR="002C76D5" w:rsidRPr="00FD40D1" w:rsidRDefault="002C76D5">
      <w:pPr>
        <w:tabs>
          <w:tab w:val="left" w:pos="5640"/>
        </w:tabs>
        <w:ind w:left="0" w:hanging="2"/>
      </w:pPr>
    </w:p>
    <w:p w14:paraId="3A089507" w14:textId="764A01A6" w:rsidR="004970A3" w:rsidRPr="00FD40D1" w:rsidRDefault="004970A3">
      <w:pPr>
        <w:tabs>
          <w:tab w:val="left" w:pos="5640"/>
        </w:tabs>
        <w:ind w:left="0" w:hanging="2"/>
      </w:pPr>
    </w:p>
    <w:p w14:paraId="102E2635" w14:textId="77777777" w:rsidR="004970A3" w:rsidRPr="00FD40D1" w:rsidRDefault="004970A3">
      <w:pPr>
        <w:tabs>
          <w:tab w:val="left" w:pos="5640"/>
        </w:tabs>
        <w:ind w:left="0" w:hanging="2"/>
      </w:pPr>
    </w:p>
    <w:p w14:paraId="673A2470" w14:textId="77777777" w:rsidR="002C76D5" w:rsidRPr="00FD40D1" w:rsidRDefault="002C76D5">
      <w:pPr>
        <w:tabs>
          <w:tab w:val="left" w:pos="5640"/>
        </w:tabs>
        <w:ind w:left="0" w:hanging="2"/>
      </w:pPr>
    </w:p>
    <w:p w14:paraId="3C94CCB5" w14:textId="77777777" w:rsidR="002C76D5" w:rsidRPr="00FD40D1" w:rsidRDefault="001C558A">
      <w:pPr>
        <w:ind w:left="0" w:hanging="2"/>
        <w:jc w:val="center"/>
        <w:rPr>
          <w:lang w:val="es-UY"/>
        </w:rPr>
      </w:pPr>
      <w:r w:rsidRPr="00FD40D1">
        <w:rPr>
          <w:b/>
          <w:lang w:val="es-UY"/>
        </w:rPr>
        <w:t xml:space="preserve"> XLV</w:t>
      </w:r>
      <w:r w:rsidR="00E70F05" w:rsidRPr="00FD40D1">
        <w:rPr>
          <w:b/>
          <w:lang w:val="es-UY"/>
        </w:rPr>
        <w:t>II</w:t>
      </w:r>
      <w:r w:rsidRPr="00FD40D1">
        <w:rPr>
          <w:b/>
          <w:lang w:val="es-UY"/>
        </w:rPr>
        <w:t xml:space="preserve"> REUNIÓN DE MINISTROS DEL INTERIOR Y DE SEGURIDAD</w:t>
      </w:r>
    </w:p>
    <w:p w14:paraId="337E046F" w14:textId="77777777" w:rsidR="002C76D5" w:rsidRPr="00FD40D1" w:rsidRDefault="002C76D5">
      <w:pPr>
        <w:tabs>
          <w:tab w:val="left" w:pos="5640"/>
        </w:tabs>
        <w:ind w:left="0" w:hanging="2"/>
        <w:rPr>
          <w:lang w:val="es-UY"/>
        </w:rPr>
      </w:pPr>
    </w:p>
    <w:p w14:paraId="047CF783" w14:textId="77777777" w:rsidR="002C76D5" w:rsidRPr="00FD40D1" w:rsidRDefault="001C558A">
      <w:pPr>
        <w:tabs>
          <w:tab w:val="left" w:pos="5640"/>
        </w:tabs>
        <w:ind w:left="0" w:hanging="2"/>
        <w:jc w:val="center"/>
        <w:rPr>
          <w:b/>
          <w:lang w:val="es-UY"/>
        </w:rPr>
      </w:pPr>
      <w:r w:rsidRPr="00FD40D1">
        <w:rPr>
          <w:b/>
          <w:lang w:val="es-UY"/>
        </w:rPr>
        <w:t>Participación de los Estados Asociados al MERCOSUR</w:t>
      </w:r>
    </w:p>
    <w:p w14:paraId="49300041" w14:textId="3441DAA4" w:rsidR="002C76D5" w:rsidRDefault="002C76D5">
      <w:pPr>
        <w:tabs>
          <w:tab w:val="left" w:pos="5640"/>
        </w:tabs>
        <w:ind w:left="0" w:hanging="2"/>
        <w:jc w:val="center"/>
        <w:rPr>
          <w:lang w:val="es-UY"/>
        </w:rPr>
      </w:pPr>
    </w:p>
    <w:p w14:paraId="5D6D8497" w14:textId="3B0B9471" w:rsidR="00357CC8" w:rsidRDefault="00357CC8">
      <w:pPr>
        <w:tabs>
          <w:tab w:val="left" w:pos="5640"/>
        </w:tabs>
        <w:ind w:left="0" w:hanging="2"/>
        <w:jc w:val="center"/>
        <w:rPr>
          <w:lang w:val="es-UY"/>
        </w:rPr>
      </w:pPr>
      <w:r>
        <w:rPr>
          <w:lang w:val="es-UY"/>
        </w:rPr>
        <w:t>AYUDA MEMORIA</w:t>
      </w:r>
    </w:p>
    <w:p w14:paraId="70F5A207" w14:textId="77777777" w:rsidR="00357CC8" w:rsidRPr="00FD40D1" w:rsidRDefault="00357CC8">
      <w:pPr>
        <w:tabs>
          <w:tab w:val="left" w:pos="5640"/>
        </w:tabs>
        <w:ind w:left="0" w:hanging="2"/>
        <w:jc w:val="center"/>
        <w:rPr>
          <w:lang w:val="es-UY"/>
        </w:rPr>
      </w:pPr>
    </w:p>
    <w:p w14:paraId="5186A922" w14:textId="2B0F26AD" w:rsidR="002C76D5" w:rsidRPr="00FD40D1" w:rsidRDefault="001C558A">
      <w:pPr>
        <w:tabs>
          <w:tab w:val="left" w:pos="5640"/>
        </w:tabs>
        <w:ind w:left="0" w:hanging="2"/>
        <w:jc w:val="both"/>
        <w:rPr>
          <w:lang w:val="es-UY"/>
        </w:rPr>
      </w:pPr>
      <w:r w:rsidRPr="00FD40D1">
        <w:rPr>
          <w:lang w:val="es-UY"/>
        </w:rPr>
        <w:t>La</w:t>
      </w:r>
      <w:r w:rsidR="002410D2" w:rsidRPr="00FD40D1">
        <w:rPr>
          <w:lang w:val="es-UY"/>
        </w:rPr>
        <w:t xml:space="preserve">s delegaciones </w:t>
      </w:r>
      <w:r w:rsidR="002410D2" w:rsidRPr="00A00B30">
        <w:rPr>
          <w:shd w:val="clear" w:color="auto" w:fill="FFFFFF" w:themeFill="background1"/>
          <w:lang w:val="es-UY"/>
        </w:rPr>
        <w:t xml:space="preserve">de </w:t>
      </w:r>
      <w:r w:rsidR="00BE18F3">
        <w:rPr>
          <w:shd w:val="clear" w:color="auto" w:fill="FFFFFF" w:themeFill="background1"/>
          <w:lang w:val="es-UY"/>
        </w:rPr>
        <w:t xml:space="preserve">Chile, </w:t>
      </w:r>
      <w:r w:rsidR="00A00B30" w:rsidRPr="00A00B30">
        <w:rPr>
          <w:shd w:val="clear" w:color="auto" w:fill="FFFFFF" w:themeFill="background1"/>
          <w:lang w:val="es-UY"/>
        </w:rPr>
        <w:t>Colombia</w:t>
      </w:r>
      <w:r w:rsidR="00E4299C">
        <w:rPr>
          <w:shd w:val="clear" w:color="auto" w:fill="FFFFFF" w:themeFill="background1"/>
          <w:lang w:val="es-UY"/>
        </w:rPr>
        <w:t xml:space="preserve"> y </w:t>
      </w:r>
      <w:r w:rsidR="002410D2" w:rsidRPr="00A00B30">
        <w:rPr>
          <w:shd w:val="clear" w:color="auto" w:fill="FFFFFF" w:themeFill="background1"/>
          <w:lang w:val="es-UY"/>
        </w:rPr>
        <w:t>Perú participaron</w:t>
      </w:r>
      <w:r w:rsidR="002410D2" w:rsidRPr="00FD40D1">
        <w:rPr>
          <w:lang w:val="es-UY"/>
        </w:rPr>
        <w:t xml:space="preserve"> </w:t>
      </w:r>
      <w:r w:rsidRPr="00FD40D1">
        <w:rPr>
          <w:lang w:val="es-UY"/>
        </w:rPr>
        <w:t>como Estado</w:t>
      </w:r>
      <w:r w:rsidR="007B52CC">
        <w:rPr>
          <w:lang w:val="es-UY"/>
        </w:rPr>
        <w:t>s</w:t>
      </w:r>
      <w:r w:rsidRPr="00FD40D1">
        <w:rPr>
          <w:lang w:val="es-UY"/>
        </w:rPr>
        <w:t xml:space="preserve"> Asociado</w:t>
      </w:r>
      <w:r w:rsidR="007B52CC">
        <w:rPr>
          <w:lang w:val="es-UY"/>
        </w:rPr>
        <w:t>s</w:t>
      </w:r>
      <w:r w:rsidRPr="00FD40D1">
        <w:rPr>
          <w:lang w:val="es-UY"/>
        </w:rPr>
        <w:t>, en el desarrollo de la XLV</w:t>
      </w:r>
      <w:r w:rsidR="00E70F05" w:rsidRPr="00FD40D1">
        <w:rPr>
          <w:lang w:val="es-UY"/>
        </w:rPr>
        <w:t>II</w:t>
      </w:r>
      <w:r w:rsidRPr="00FD40D1">
        <w:rPr>
          <w:lang w:val="es-UY"/>
        </w:rPr>
        <w:t xml:space="preserve"> Reunión de Ministros del Interior y de Seguridad del MERCOSUR, </w:t>
      </w:r>
      <w:r w:rsidR="002410D2" w:rsidRPr="00FD40D1">
        <w:rPr>
          <w:lang w:val="es-UY"/>
        </w:rPr>
        <w:t>realizada en Asunción, República del Paraguay, el día 3 de junio de 2022</w:t>
      </w:r>
      <w:r w:rsidRPr="00FD40D1">
        <w:rPr>
          <w:lang w:val="es-UY"/>
        </w:rPr>
        <w:t>, en el tratami</w:t>
      </w:r>
      <w:r w:rsidR="00A977D3">
        <w:rPr>
          <w:lang w:val="es-UY"/>
        </w:rPr>
        <w:t xml:space="preserve">ento de los temas de la agenda </w:t>
      </w:r>
      <w:r w:rsidRPr="00FD40D1">
        <w:rPr>
          <w:lang w:val="es-UY"/>
        </w:rPr>
        <w:t>manifest</w:t>
      </w:r>
      <w:r w:rsidR="002410D2" w:rsidRPr="00FD40D1">
        <w:rPr>
          <w:lang w:val="es-UY"/>
        </w:rPr>
        <w:t xml:space="preserve">aron </w:t>
      </w:r>
      <w:r w:rsidRPr="00FD40D1">
        <w:rPr>
          <w:lang w:val="es-UY"/>
        </w:rPr>
        <w:t>su conformidad en relación a ellos.</w:t>
      </w:r>
    </w:p>
    <w:p w14:paraId="3613704B" w14:textId="77777777" w:rsidR="002C76D5" w:rsidRPr="00FD40D1" w:rsidRDefault="002C76D5" w:rsidP="00874B04">
      <w:pPr>
        <w:tabs>
          <w:tab w:val="left" w:pos="5640"/>
        </w:tabs>
        <w:ind w:left="0" w:hanging="2"/>
        <w:rPr>
          <w:lang w:val="es-UY"/>
        </w:rPr>
      </w:pPr>
    </w:p>
    <w:p w14:paraId="22C7B927" w14:textId="77777777" w:rsidR="002C76D5" w:rsidRPr="00FD40D1" w:rsidRDefault="002C76D5">
      <w:pPr>
        <w:tabs>
          <w:tab w:val="left" w:pos="5640"/>
        </w:tabs>
        <w:ind w:left="0" w:hanging="2"/>
        <w:rPr>
          <w:lang w:val="es-UY"/>
        </w:rPr>
      </w:pPr>
    </w:p>
    <w:p w14:paraId="6316C0B8" w14:textId="77777777" w:rsidR="002C76D5" w:rsidRPr="00FD40D1" w:rsidRDefault="002C76D5">
      <w:pPr>
        <w:tabs>
          <w:tab w:val="left" w:pos="5640"/>
        </w:tabs>
        <w:ind w:left="0" w:hanging="2"/>
        <w:rPr>
          <w:lang w:val="es-UY"/>
        </w:rPr>
      </w:pPr>
    </w:p>
    <w:p w14:paraId="7AEC2B7B" w14:textId="77777777" w:rsidR="002C76D5" w:rsidRPr="00FD40D1" w:rsidRDefault="002C76D5">
      <w:pPr>
        <w:tabs>
          <w:tab w:val="left" w:pos="5640"/>
        </w:tabs>
        <w:ind w:left="0" w:hanging="2"/>
        <w:rPr>
          <w:lang w:val="es-UY"/>
        </w:rPr>
      </w:pPr>
    </w:p>
    <w:p w14:paraId="514D0951" w14:textId="77777777" w:rsidR="002C76D5" w:rsidRPr="00FD40D1" w:rsidRDefault="002C76D5">
      <w:pPr>
        <w:ind w:left="0" w:right="170" w:hanging="2"/>
        <w:jc w:val="center"/>
        <w:rPr>
          <w:lang w:val="es-U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2410D2" w:rsidRPr="00FD40D1" w14:paraId="7941948E" w14:textId="77777777" w:rsidTr="002410D2">
        <w:tc>
          <w:tcPr>
            <w:tcW w:w="4389" w:type="dxa"/>
          </w:tcPr>
          <w:p w14:paraId="6BCAD1AB" w14:textId="5BF070E5" w:rsidR="002410D2" w:rsidRPr="00FD40D1" w:rsidRDefault="002410D2" w:rsidP="002410D2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b/>
                <w:lang w:val="es-UY"/>
              </w:rPr>
              <w:t>____________________________</w:t>
            </w:r>
          </w:p>
          <w:p w14:paraId="5EDA8681" w14:textId="77777777" w:rsidR="002410D2" w:rsidRPr="00FD40D1" w:rsidRDefault="002410D2" w:rsidP="002410D2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lang w:val="es-UY"/>
              </w:rPr>
              <w:t xml:space="preserve">Por el Ministerio del Interior de la </w:t>
            </w:r>
          </w:p>
          <w:p w14:paraId="0066E699" w14:textId="7948436D" w:rsidR="002410D2" w:rsidRDefault="00305508" w:rsidP="002410D2">
            <w:pPr>
              <w:ind w:left="0" w:right="170" w:hanging="2"/>
              <w:jc w:val="center"/>
            </w:pPr>
            <w:r w:rsidRPr="00FD40D1">
              <w:t xml:space="preserve">República de </w:t>
            </w:r>
            <w:r w:rsidR="006205A2">
              <w:t>Chile</w:t>
            </w:r>
          </w:p>
          <w:p w14:paraId="644F9412" w14:textId="712A1308" w:rsidR="006205A2" w:rsidRPr="006205A2" w:rsidRDefault="006205A2" w:rsidP="002410D2">
            <w:pPr>
              <w:ind w:left="0" w:right="170" w:hanging="2"/>
              <w:jc w:val="center"/>
              <w:rPr>
                <w:b/>
              </w:rPr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Lorenzini</w:t>
            </w:r>
            <w:proofErr w:type="spellEnd"/>
          </w:p>
          <w:p w14:paraId="06A925FF" w14:textId="78BA0F9E" w:rsidR="002410D2" w:rsidRDefault="002410D2" w:rsidP="00FD6590">
            <w:pPr>
              <w:ind w:leftChars="0" w:left="0" w:right="170" w:firstLineChars="0" w:firstLine="0"/>
              <w:rPr>
                <w:b/>
                <w:color w:val="202124"/>
              </w:rPr>
            </w:pPr>
          </w:p>
          <w:p w14:paraId="350786F5" w14:textId="2E5A7D4B" w:rsidR="006205A2" w:rsidRPr="00FD40D1" w:rsidRDefault="006205A2" w:rsidP="002410D2">
            <w:pPr>
              <w:ind w:left="0" w:right="170" w:hanging="2"/>
              <w:jc w:val="center"/>
              <w:rPr>
                <w:b/>
              </w:rPr>
            </w:pPr>
          </w:p>
          <w:p w14:paraId="7AAC135D" w14:textId="77777777" w:rsidR="002410D2" w:rsidRPr="00FD40D1" w:rsidRDefault="002410D2">
            <w:pPr>
              <w:ind w:leftChars="0" w:left="0" w:right="170" w:firstLineChars="0" w:firstLine="0"/>
              <w:jc w:val="center"/>
              <w:rPr>
                <w:lang w:val="es-UY"/>
              </w:rPr>
            </w:pPr>
          </w:p>
        </w:tc>
        <w:tc>
          <w:tcPr>
            <w:tcW w:w="4390" w:type="dxa"/>
          </w:tcPr>
          <w:p w14:paraId="131FEB8E" w14:textId="77777777" w:rsidR="002410D2" w:rsidRPr="00FD40D1" w:rsidRDefault="002410D2" w:rsidP="002410D2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b/>
                <w:lang w:val="es-UY"/>
              </w:rPr>
              <w:t>____________________________</w:t>
            </w:r>
          </w:p>
          <w:p w14:paraId="4A9C629A" w14:textId="77777777" w:rsidR="002410D2" w:rsidRPr="00FD40D1" w:rsidRDefault="002410D2" w:rsidP="002410D2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lang w:val="es-UY"/>
              </w:rPr>
              <w:t xml:space="preserve">Por el Ministerio del Interior de la </w:t>
            </w:r>
          </w:p>
          <w:p w14:paraId="6C7F9ABD" w14:textId="5F848180" w:rsidR="002410D2" w:rsidRPr="00FD40D1" w:rsidRDefault="00494933" w:rsidP="002410D2">
            <w:pPr>
              <w:ind w:left="0" w:right="170" w:hanging="2"/>
              <w:jc w:val="center"/>
            </w:pPr>
            <w:r>
              <w:t>República de</w:t>
            </w:r>
            <w:r w:rsidR="00305508" w:rsidRPr="00FD40D1">
              <w:t xml:space="preserve"> </w:t>
            </w:r>
            <w:proofErr w:type="spellStart"/>
            <w:r w:rsidR="006205A2">
              <w:t>Colombia</w:t>
            </w:r>
            <w:proofErr w:type="spellEnd"/>
          </w:p>
          <w:p w14:paraId="76603AF8" w14:textId="4AAAB751" w:rsidR="002410D2" w:rsidRPr="00FD40D1" w:rsidRDefault="00FD6590" w:rsidP="002410D2">
            <w:pPr>
              <w:ind w:left="0" w:right="170" w:hanging="2"/>
              <w:jc w:val="center"/>
              <w:rPr>
                <w:b/>
              </w:rPr>
            </w:pPr>
            <w:r>
              <w:rPr>
                <w:b/>
                <w:color w:val="202124"/>
              </w:rPr>
              <w:t xml:space="preserve">Daniel </w:t>
            </w:r>
            <w:proofErr w:type="spellStart"/>
            <w:r>
              <w:rPr>
                <w:b/>
                <w:color w:val="202124"/>
              </w:rPr>
              <w:t>Palacios</w:t>
            </w:r>
            <w:proofErr w:type="spellEnd"/>
            <w:r>
              <w:rPr>
                <w:b/>
                <w:color w:val="202124"/>
              </w:rPr>
              <w:t xml:space="preserve"> Martínez</w:t>
            </w:r>
          </w:p>
          <w:p w14:paraId="366FC767" w14:textId="77777777" w:rsidR="002410D2" w:rsidRPr="00FD40D1" w:rsidRDefault="002410D2">
            <w:pPr>
              <w:ind w:leftChars="0" w:left="0" w:right="170" w:firstLineChars="0" w:firstLine="0"/>
              <w:jc w:val="center"/>
              <w:rPr>
                <w:lang w:val="es-UY"/>
              </w:rPr>
            </w:pPr>
          </w:p>
        </w:tc>
      </w:tr>
    </w:tbl>
    <w:p w14:paraId="54504B82" w14:textId="77777777" w:rsidR="00874B04" w:rsidRDefault="00874B04" w:rsidP="00874B04">
      <w:pPr>
        <w:ind w:left="0" w:right="170" w:hanging="2"/>
        <w:rPr>
          <w:lang w:val="es-UY"/>
        </w:rPr>
      </w:pPr>
    </w:p>
    <w:p w14:paraId="276D938B" w14:textId="77777777" w:rsidR="00874B04" w:rsidRDefault="00874B04" w:rsidP="00874B04">
      <w:pPr>
        <w:ind w:left="0" w:right="170" w:hanging="2"/>
        <w:rPr>
          <w:lang w:val="es-UY"/>
        </w:rPr>
      </w:pPr>
    </w:p>
    <w:p w14:paraId="31C202C1" w14:textId="77777777" w:rsidR="00874B04" w:rsidRDefault="00874B04" w:rsidP="00874B04">
      <w:pPr>
        <w:ind w:left="0" w:right="170" w:hanging="2"/>
        <w:rPr>
          <w:lang w:val="es-U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874B04" w:rsidRPr="00FD40D1" w14:paraId="428160D8" w14:textId="77777777" w:rsidTr="00EF18F1">
        <w:tc>
          <w:tcPr>
            <w:tcW w:w="4389" w:type="dxa"/>
          </w:tcPr>
          <w:p w14:paraId="75EB3683" w14:textId="77777777" w:rsidR="00874B04" w:rsidRPr="00FD40D1" w:rsidRDefault="00874B04" w:rsidP="00EF18F1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b/>
                <w:lang w:val="es-UY"/>
              </w:rPr>
              <w:t>____________________________</w:t>
            </w:r>
          </w:p>
          <w:p w14:paraId="5B972411" w14:textId="77777777" w:rsidR="00874B04" w:rsidRPr="00FD40D1" w:rsidRDefault="00874B04" w:rsidP="00EF18F1">
            <w:pPr>
              <w:ind w:left="0" w:right="170" w:hanging="2"/>
              <w:jc w:val="center"/>
              <w:rPr>
                <w:lang w:val="es-UY"/>
              </w:rPr>
            </w:pPr>
            <w:r w:rsidRPr="00FD40D1">
              <w:rPr>
                <w:lang w:val="es-UY"/>
              </w:rPr>
              <w:t xml:space="preserve">Por el Ministerio del Interior de la </w:t>
            </w:r>
          </w:p>
          <w:p w14:paraId="504F9058" w14:textId="078C109F" w:rsidR="00874B04" w:rsidRPr="00FD40D1" w:rsidRDefault="00AC628A" w:rsidP="00EF18F1">
            <w:pPr>
              <w:ind w:left="0" w:right="170" w:hanging="2"/>
              <w:jc w:val="center"/>
            </w:pPr>
            <w:r>
              <w:t xml:space="preserve">República de </w:t>
            </w:r>
            <w:proofErr w:type="spellStart"/>
            <w:r>
              <w:t>Perú</w:t>
            </w:r>
            <w:proofErr w:type="spellEnd"/>
          </w:p>
          <w:p w14:paraId="17615697" w14:textId="10B6587A" w:rsidR="00874B04" w:rsidRPr="00FD40D1" w:rsidRDefault="003E0DC7" w:rsidP="00EF18F1">
            <w:pPr>
              <w:ind w:left="0" w:right="170" w:hanging="2"/>
              <w:jc w:val="center"/>
              <w:rPr>
                <w:b/>
              </w:rPr>
            </w:pPr>
            <w:proofErr w:type="spellStart"/>
            <w:r>
              <w:rPr>
                <w:b/>
                <w:color w:val="202124"/>
              </w:rPr>
              <w:t>Fredy</w:t>
            </w:r>
            <w:proofErr w:type="spellEnd"/>
            <w:r>
              <w:rPr>
                <w:b/>
                <w:color w:val="202124"/>
              </w:rPr>
              <w:t xml:space="preserve"> Lopez Mendoza</w:t>
            </w:r>
          </w:p>
          <w:p w14:paraId="0C439170" w14:textId="77777777" w:rsidR="00874B04" w:rsidRPr="00FD40D1" w:rsidRDefault="00874B04" w:rsidP="00EF18F1">
            <w:pPr>
              <w:ind w:leftChars="0" w:left="0" w:right="170" w:firstLineChars="0" w:firstLine="0"/>
              <w:jc w:val="center"/>
              <w:rPr>
                <w:lang w:val="es-UY"/>
              </w:rPr>
            </w:pPr>
          </w:p>
        </w:tc>
        <w:tc>
          <w:tcPr>
            <w:tcW w:w="4390" w:type="dxa"/>
          </w:tcPr>
          <w:p w14:paraId="7D5BB6D1" w14:textId="6799F7A1" w:rsidR="00874B04" w:rsidRPr="00FD40D1" w:rsidRDefault="00874B04" w:rsidP="00CF610E">
            <w:pPr>
              <w:ind w:left="0" w:right="170" w:hanging="2"/>
              <w:jc w:val="center"/>
              <w:rPr>
                <w:lang w:val="es-UY"/>
              </w:rPr>
            </w:pPr>
          </w:p>
        </w:tc>
      </w:tr>
    </w:tbl>
    <w:p w14:paraId="7AF075FC" w14:textId="77777777" w:rsidR="00874B04" w:rsidRPr="00FD40D1" w:rsidRDefault="00874B04" w:rsidP="00874B04">
      <w:pPr>
        <w:ind w:left="0" w:right="170" w:hanging="2"/>
        <w:rPr>
          <w:lang w:val="es-UY"/>
        </w:rPr>
      </w:pPr>
    </w:p>
    <w:p w14:paraId="2C78AA07" w14:textId="77777777" w:rsidR="002C76D5" w:rsidRPr="00FD40D1" w:rsidRDefault="002C76D5">
      <w:pPr>
        <w:ind w:left="0" w:right="170" w:hanging="2"/>
        <w:jc w:val="center"/>
      </w:pPr>
    </w:p>
    <w:p w14:paraId="2C1FA05E" w14:textId="77777777" w:rsidR="002C76D5" w:rsidRPr="00FD40D1" w:rsidRDefault="002C76D5">
      <w:pPr>
        <w:tabs>
          <w:tab w:val="left" w:pos="5640"/>
        </w:tabs>
        <w:ind w:left="0" w:hanging="2"/>
      </w:pPr>
    </w:p>
    <w:sectPr w:rsidR="002C76D5" w:rsidRPr="00FD40D1" w:rsidSect="00771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1417" w:bottom="1418" w:left="1700" w:header="794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FA7A" w14:textId="77777777" w:rsidR="009B6D46" w:rsidRDefault="009B6D46">
      <w:pPr>
        <w:spacing w:line="240" w:lineRule="auto"/>
        <w:ind w:left="0" w:hanging="2"/>
      </w:pPr>
      <w:r>
        <w:separator/>
      </w:r>
    </w:p>
  </w:endnote>
  <w:endnote w:type="continuationSeparator" w:id="0">
    <w:p w14:paraId="4F6D7833" w14:textId="77777777" w:rsidR="009B6D46" w:rsidRDefault="009B6D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0D23" w14:textId="77777777" w:rsidR="007717C8" w:rsidRDefault="007717C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6D4C0" w14:textId="77777777" w:rsidR="002C76D5" w:rsidRDefault="001C5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202C">
      <w:rPr>
        <w:noProof/>
        <w:color w:val="000000"/>
      </w:rPr>
      <w:t>2</w:t>
    </w:r>
    <w:r>
      <w:rPr>
        <w:color w:val="000000"/>
      </w:rPr>
      <w:fldChar w:fldCharType="end"/>
    </w:r>
  </w:p>
  <w:p w14:paraId="22DCB918" w14:textId="77777777" w:rsidR="002C76D5" w:rsidRDefault="002C7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2231" w14:textId="77777777" w:rsidR="007717C8" w:rsidRDefault="007717C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DA1D" w14:textId="77777777" w:rsidR="009B6D46" w:rsidRDefault="009B6D46">
      <w:pPr>
        <w:spacing w:line="240" w:lineRule="auto"/>
        <w:ind w:left="0" w:hanging="2"/>
      </w:pPr>
      <w:r>
        <w:separator/>
      </w:r>
    </w:p>
  </w:footnote>
  <w:footnote w:type="continuationSeparator" w:id="0">
    <w:p w14:paraId="2A1259FE" w14:textId="77777777" w:rsidR="009B6D46" w:rsidRDefault="009B6D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2108" w14:textId="77777777" w:rsidR="007717C8" w:rsidRDefault="007717C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F9292" w14:textId="2087E928" w:rsidR="002C76D5" w:rsidRDefault="006651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 w:eastAsia="es-PY"/>
      </w:rPr>
      <w:drawing>
        <wp:anchor distT="0" distB="9525" distL="114300" distR="114300" simplePos="0" relativeHeight="251665408" behindDoc="0" locked="0" layoutInCell="1" hidden="0" allowOverlap="1" wp14:anchorId="4CFA879C" wp14:editId="5204410E">
          <wp:simplePos x="0" y="0"/>
          <wp:positionH relativeFrom="margin">
            <wp:posOffset>4209415</wp:posOffset>
          </wp:positionH>
          <wp:positionV relativeFrom="topMargin">
            <wp:posOffset>610235</wp:posOffset>
          </wp:positionV>
          <wp:extent cx="1371600" cy="847725"/>
          <wp:effectExtent l="0" t="0" r="0" b="9525"/>
          <wp:wrapSquare wrapText="bothSides" distT="0" distB="9525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17C8">
      <w:rPr>
        <w:noProof/>
        <w:lang w:val="es-PY" w:eastAsia="es-PY"/>
      </w:rPr>
      <w:drawing>
        <wp:anchor distT="0" distB="0" distL="133350" distR="114300" simplePos="0" relativeHeight="251663360" behindDoc="0" locked="0" layoutInCell="1" hidden="0" allowOverlap="1" wp14:anchorId="5F13FDEF" wp14:editId="084098D8">
          <wp:simplePos x="0" y="0"/>
          <wp:positionH relativeFrom="margin">
            <wp:posOffset>0</wp:posOffset>
          </wp:positionH>
          <wp:positionV relativeFrom="paragraph">
            <wp:posOffset>106045</wp:posOffset>
          </wp:positionV>
          <wp:extent cx="1371600" cy="847725"/>
          <wp:effectExtent l="0" t="0" r="0" b="9525"/>
          <wp:wrapSquare wrapText="bothSides" distT="0" distB="0" distL="13335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F6A496" w14:textId="2467F3B6" w:rsidR="002C76D5" w:rsidRDefault="002C76D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514D526" w14:textId="1D323323" w:rsidR="002C76D5" w:rsidRDefault="002C76D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72BBE31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42C012B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7359E46" w14:textId="77777777" w:rsidR="0076228C" w:rsidRDefault="0076228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1345962" w14:textId="77777777" w:rsidR="006651C6" w:rsidRDefault="006651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EFCB" w14:textId="7A3C1981" w:rsidR="002C76D5" w:rsidRDefault="007717C8">
    <w:pPr>
      <w:ind w:left="0" w:hanging="2"/>
    </w:pPr>
    <w:r>
      <w:rPr>
        <w:noProof/>
        <w:lang w:val="es-PY" w:eastAsia="es-PY"/>
      </w:rPr>
      <w:drawing>
        <wp:anchor distT="0" distB="0" distL="133350" distR="114300" simplePos="0" relativeHeight="251659264" behindDoc="0" locked="0" layoutInCell="1" hidden="0" allowOverlap="1" wp14:anchorId="63C18F2E" wp14:editId="6EAB632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71600" cy="847725"/>
          <wp:effectExtent l="0" t="0" r="0" b="9525"/>
          <wp:wrapSquare wrapText="bothSides" distT="0" distB="0" distL="13335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9525" distL="114300" distR="114300" simplePos="0" relativeHeight="251661312" behindDoc="0" locked="0" layoutInCell="1" hidden="0" allowOverlap="1" wp14:anchorId="01D59795" wp14:editId="17E458CB">
          <wp:simplePos x="0" y="0"/>
          <wp:positionH relativeFrom="margin">
            <wp:align>right</wp:align>
          </wp:positionH>
          <wp:positionV relativeFrom="margin">
            <wp:posOffset>-909320</wp:posOffset>
          </wp:positionV>
          <wp:extent cx="1371600" cy="847725"/>
          <wp:effectExtent l="0" t="0" r="0" b="9525"/>
          <wp:wrapSquare wrapText="bothSides" distT="0" distB="9525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1C558A">
      <w:rPr>
        <w:noProof/>
        <w:lang w:val="es-PY" w:eastAsia="es-PY"/>
      </w:rPr>
      <w:drawing>
        <wp:anchor distT="0" distB="9525" distL="114300" distR="114300" simplePos="0" relativeHeight="251658240" behindDoc="0" locked="0" layoutInCell="1" hidden="0" allowOverlap="1" wp14:anchorId="6B4AFCAF" wp14:editId="05E60E4A">
          <wp:simplePos x="0" y="0"/>
          <wp:positionH relativeFrom="leftMargin">
            <wp:posOffset>4454525</wp:posOffset>
          </wp:positionH>
          <wp:positionV relativeFrom="topMargin">
            <wp:posOffset>-966467</wp:posOffset>
          </wp:positionV>
          <wp:extent cx="1371600" cy="847725"/>
          <wp:effectExtent l="0" t="0" r="0" b="0"/>
          <wp:wrapSquare wrapText="bothSides" distT="0" distB="9525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2BE8"/>
    <w:multiLevelType w:val="multilevel"/>
    <w:tmpl w:val="18980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1">
    <w:nsid w:val="390C43D2"/>
    <w:multiLevelType w:val="multilevel"/>
    <w:tmpl w:val="01C2C6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3B6631"/>
    <w:multiLevelType w:val="multilevel"/>
    <w:tmpl w:val="6FCC5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2E85459"/>
    <w:multiLevelType w:val="multilevel"/>
    <w:tmpl w:val="599AC2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nsid w:val="5DAD119B"/>
    <w:multiLevelType w:val="multilevel"/>
    <w:tmpl w:val="37DEB6F0"/>
    <w:lvl w:ilvl="0">
      <w:start w:val="3"/>
      <w:numFmt w:val="decimal"/>
      <w:pStyle w:val="Ttulo1"/>
      <w:lvlText w:val="%1."/>
      <w:lvlJc w:val="left"/>
      <w:pPr>
        <w:ind w:left="390" w:hanging="390"/>
      </w:pPr>
      <w:rPr>
        <w:b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vertAlign w:val="baseline"/>
      </w:rPr>
    </w:lvl>
  </w:abstractNum>
  <w:abstractNum w:abstractNumId="5">
    <w:nsid w:val="668430FC"/>
    <w:multiLevelType w:val="multilevel"/>
    <w:tmpl w:val="74B827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0B7101"/>
    <w:multiLevelType w:val="hybridMultilevel"/>
    <w:tmpl w:val="18027E34"/>
    <w:lvl w:ilvl="0" w:tplc="83F8593E">
      <w:start w:val="1"/>
      <w:numFmt w:val="bullet"/>
      <w:lvlText w:val="-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743D074A"/>
    <w:multiLevelType w:val="hybridMultilevel"/>
    <w:tmpl w:val="B9628F10"/>
    <w:lvl w:ilvl="0" w:tplc="076C2B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s-UY" w:vendorID="64" w:dllVersion="131078" w:nlCheck="1" w:checkStyle="1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5"/>
    <w:rsid w:val="00016972"/>
    <w:rsid w:val="00016C1A"/>
    <w:rsid w:val="00026A0B"/>
    <w:rsid w:val="000302CA"/>
    <w:rsid w:val="00033503"/>
    <w:rsid w:val="000440B4"/>
    <w:rsid w:val="000558F3"/>
    <w:rsid w:val="00070042"/>
    <w:rsid w:val="00083605"/>
    <w:rsid w:val="0008691C"/>
    <w:rsid w:val="00090BA6"/>
    <w:rsid w:val="00097DD4"/>
    <w:rsid w:val="000B0060"/>
    <w:rsid w:val="000C53C8"/>
    <w:rsid w:val="000C69F5"/>
    <w:rsid w:val="000D7864"/>
    <w:rsid w:val="000E42F1"/>
    <w:rsid w:val="000F6B93"/>
    <w:rsid w:val="00101ACF"/>
    <w:rsid w:val="00112C28"/>
    <w:rsid w:val="0012159F"/>
    <w:rsid w:val="00143EDB"/>
    <w:rsid w:val="00150648"/>
    <w:rsid w:val="00160B03"/>
    <w:rsid w:val="00174E97"/>
    <w:rsid w:val="00191E14"/>
    <w:rsid w:val="0019683E"/>
    <w:rsid w:val="001C49AC"/>
    <w:rsid w:val="001C558A"/>
    <w:rsid w:val="001C5B6D"/>
    <w:rsid w:val="001D1711"/>
    <w:rsid w:val="001E1D5A"/>
    <w:rsid w:val="001F30EF"/>
    <w:rsid w:val="002146CC"/>
    <w:rsid w:val="00222BC4"/>
    <w:rsid w:val="0023146F"/>
    <w:rsid w:val="0023209D"/>
    <w:rsid w:val="00240EA3"/>
    <w:rsid w:val="002410D2"/>
    <w:rsid w:val="00251CD1"/>
    <w:rsid w:val="002559B4"/>
    <w:rsid w:val="00256763"/>
    <w:rsid w:val="00257D6F"/>
    <w:rsid w:val="00271DC4"/>
    <w:rsid w:val="002760C0"/>
    <w:rsid w:val="00276D62"/>
    <w:rsid w:val="00284769"/>
    <w:rsid w:val="00290773"/>
    <w:rsid w:val="002939C2"/>
    <w:rsid w:val="00295056"/>
    <w:rsid w:val="002972FA"/>
    <w:rsid w:val="002A4F77"/>
    <w:rsid w:val="002A5594"/>
    <w:rsid w:val="002C76D5"/>
    <w:rsid w:val="002E3C78"/>
    <w:rsid w:val="00301670"/>
    <w:rsid w:val="00305508"/>
    <w:rsid w:val="003144F0"/>
    <w:rsid w:val="0031660B"/>
    <w:rsid w:val="0032598B"/>
    <w:rsid w:val="00357CC8"/>
    <w:rsid w:val="003657FA"/>
    <w:rsid w:val="00383219"/>
    <w:rsid w:val="00387D63"/>
    <w:rsid w:val="00396529"/>
    <w:rsid w:val="003A66AC"/>
    <w:rsid w:val="003E0DC7"/>
    <w:rsid w:val="004054C3"/>
    <w:rsid w:val="00413272"/>
    <w:rsid w:val="00416C6F"/>
    <w:rsid w:val="00420A8C"/>
    <w:rsid w:val="0042587F"/>
    <w:rsid w:val="00434B23"/>
    <w:rsid w:val="004413D1"/>
    <w:rsid w:val="004437BE"/>
    <w:rsid w:val="00454FD4"/>
    <w:rsid w:val="00456F1B"/>
    <w:rsid w:val="0046299D"/>
    <w:rsid w:val="0046472E"/>
    <w:rsid w:val="0047003D"/>
    <w:rsid w:val="00486B60"/>
    <w:rsid w:val="00490458"/>
    <w:rsid w:val="004927EC"/>
    <w:rsid w:val="00494933"/>
    <w:rsid w:val="004970A3"/>
    <w:rsid w:val="004A1DB8"/>
    <w:rsid w:val="004B0D89"/>
    <w:rsid w:val="004B6E6C"/>
    <w:rsid w:val="004F2F5D"/>
    <w:rsid w:val="00502CBF"/>
    <w:rsid w:val="00503972"/>
    <w:rsid w:val="00512A49"/>
    <w:rsid w:val="00513A21"/>
    <w:rsid w:val="005158D8"/>
    <w:rsid w:val="00542501"/>
    <w:rsid w:val="00546CE5"/>
    <w:rsid w:val="0055133F"/>
    <w:rsid w:val="005554DF"/>
    <w:rsid w:val="00556D41"/>
    <w:rsid w:val="00570D53"/>
    <w:rsid w:val="00577981"/>
    <w:rsid w:val="005800BD"/>
    <w:rsid w:val="00583EDF"/>
    <w:rsid w:val="0058509E"/>
    <w:rsid w:val="005A6A72"/>
    <w:rsid w:val="005B5FD2"/>
    <w:rsid w:val="005B6BDD"/>
    <w:rsid w:val="005D5FE0"/>
    <w:rsid w:val="005D6273"/>
    <w:rsid w:val="005E7C6D"/>
    <w:rsid w:val="005F124D"/>
    <w:rsid w:val="005F264F"/>
    <w:rsid w:val="005F551A"/>
    <w:rsid w:val="006010C7"/>
    <w:rsid w:val="00607EA5"/>
    <w:rsid w:val="006205A2"/>
    <w:rsid w:val="006329A2"/>
    <w:rsid w:val="00640877"/>
    <w:rsid w:val="00641FC5"/>
    <w:rsid w:val="006424C0"/>
    <w:rsid w:val="00651F62"/>
    <w:rsid w:val="00660797"/>
    <w:rsid w:val="00665002"/>
    <w:rsid w:val="006651C6"/>
    <w:rsid w:val="00670DBC"/>
    <w:rsid w:val="00682D24"/>
    <w:rsid w:val="00695FC8"/>
    <w:rsid w:val="006B184F"/>
    <w:rsid w:val="006D791C"/>
    <w:rsid w:val="006F0062"/>
    <w:rsid w:val="007105A3"/>
    <w:rsid w:val="00721A73"/>
    <w:rsid w:val="007464D0"/>
    <w:rsid w:val="00747B22"/>
    <w:rsid w:val="00754BCA"/>
    <w:rsid w:val="00761A86"/>
    <w:rsid w:val="0076228C"/>
    <w:rsid w:val="007717C8"/>
    <w:rsid w:val="00781B61"/>
    <w:rsid w:val="007921A4"/>
    <w:rsid w:val="00793E46"/>
    <w:rsid w:val="0079698E"/>
    <w:rsid w:val="007B0C13"/>
    <w:rsid w:val="007B52CC"/>
    <w:rsid w:val="007C1F31"/>
    <w:rsid w:val="007F1F05"/>
    <w:rsid w:val="007F638F"/>
    <w:rsid w:val="00801D53"/>
    <w:rsid w:val="00825F03"/>
    <w:rsid w:val="00834E1B"/>
    <w:rsid w:val="008549E6"/>
    <w:rsid w:val="00870CAD"/>
    <w:rsid w:val="008717D3"/>
    <w:rsid w:val="00874B04"/>
    <w:rsid w:val="0087764D"/>
    <w:rsid w:val="008839FB"/>
    <w:rsid w:val="0089158E"/>
    <w:rsid w:val="00891DE6"/>
    <w:rsid w:val="008B6E01"/>
    <w:rsid w:val="008C17FF"/>
    <w:rsid w:val="008C1B07"/>
    <w:rsid w:val="008E0037"/>
    <w:rsid w:val="008E5266"/>
    <w:rsid w:val="00906123"/>
    <w:rsid w:val="009204AE"/>
    <w:rsid w:val="009249C2"/>
    <w:rsid w:val="00934778"/>
    <w:rsid w:val="009353BE"/>
    <w:rsid w:val="0094229C"/>
    <w:rsid w:val="00946E74"/>
    <w:rsid w:val="00950B48"/>
    <w:rsid w:val="00957749"/>
    <w:rsid w:val="00972885"/>
    <w:rsid w:val="009A4159"/>
    <w:rsid w:val="009B2D64"/>
    <w:rsid w:val="009B6D46"/>
    <w:rsid w:val="009C05AF"/>
    <w:rsid w:val="009C35AA"/>
    <w:rsid w:val="009C6394"/>
    <w:rsid w:val="009C6829"/>
    <w:rsid w:val="009D5C41"/>
    <w:rsid w:val="009E66D2"/>
    <w:rsid w:val="009F27A1"/>
    <w:rsid w:val="009F3831"/>
    <w:rsid w:val="00A00B30"/>
    <w:rsid w:val="00A03D35"/>
    <w:rsid w:val="00A14BE2"/>
    <w:rsid w:val="00A31087"/>
    <w:rsid w:val="00A32AB1"/>
    <w:rsid w:val="00A47DA7"/>
    <w:rsid w:val="00A50666"/>
    <w:rsid w:val="00A65ABD"/>
    <w:rsid w:val="00A86692"/>
    <w:rsid w:val="00A977D3"/>
    <w:rsid w:val="00AA406B"/>
    <w:rsid w:val="00AB049A"/>
    <w:rsid w:val="00AC628A"/>
    <w:rsid w:val="00AC7DCE"/>
    <w:rsid w:val="00AD0FCE"/>
    <w:rsid w:val="00AD3961"/>
    <w:rsid w:val="00B00BFB"/>
    <w:rsid w:val="00B02CD9"/>
    <w:rsid w:val="00B36DCA"/>
    <w:rsid w:val="00B47697"/>
    <w:rsid w:val="00B61255"/>
    <w:rsid w:val="00B638A1"/>
    <w:rsid w:val="00B75C50"/>
    <w:rsid w:val="00B766DC"/>
    <w:rsid w:val="00B9222F"/>
    <w:rsid w:val="00BA4E44"/>
    <w:rsid w:val="00BB6606"/>
    <w:rsid w:val="00BD6BD7"/>
    <w:rsid w:val="00BE18F3"/>
    <w:rsid w:val="00BF15ED"/>
    <w:rsid w:val="00C02DCB"/>
    <w:rsid w:val="00C242BA"/>
    <w:rsid w:val="00C26BEC"/>
    <w:rsid w:val="00C36FA8"/>
    <w:rsid w:val="00C37EC1"/>
    <w:rsid w:val="00C42804"/>
    <w:rsid w:val="00C4316B"/>
    <w:rsid w:val="00C50520"/>
    <w:rsid w:val="00C70800"/>
    <w:rsid w:val="00C83931"/>
    <w:rsid w:val="00C91ECB"/>
    <w:rsid w:val="00C951BC"/>
    <w:rsid w:val="00CA01EB"/>
    <w:rsid w:val="00CA1C02"/>
    <w:rsid w:val="00CC242E"/>
    <w:rsid w:val="00CD1C56"/>
    <w:rsid w:val="00CE03E4"/>
    <w:rsid w:val="00CE12DF"/>
    <w:rsid w:val="00CE6870"/>
    <w:rsid w:val="00CF610E"/>
    <w:rsid w:val="00D02994"/>
    <w:rsid w:val="00D058DF"/>
    <w:rsid w:val="00D12A1A"/>
    <w:rsid w:val="00D146CC"/>
    <w:rsid w:val="00D15F3E"/>
    <w:rsid w:val="00D212F4"/>
    <w:rsid w:val="00D23832"/>
    <w:rsid w:val="00D2646F"/>
    <w:rsid w:val="00D51731"/>
    <w:rsid w:val="00D531DC"/>
    <w:rsid w:val="00D62F3E"/>
    <w:rsid w:val="00D6573D"/>
    <w:rsid w:val="00D9202C"/>
    <w:rsid w:val="00D95765"/>
    <w:rsid w:val="00DA20CE"/>
    <w:rsid w:val="00DA5AA0"/>
    <w:rsid w:val="00DB2734"/>
    <w:rsid w:val="00DD0268"/>
    <w:rsid w:val="00DF36E6"/>
    <w:rsid w:val="00E03CFA"/>
    <w:rsid w:val="00E10933"/>
    <w:rsid w:val="00E14A7A"/>
    <w:rsid w:val="00E3521D"/>
    <w:rsid w:val="00E35368"/>
    <w:rsid w:val="00E4299C"/>
    <w:rsid w:val="00E44429"/>
    <w:rsid w:val="00E46122"/>
    <w:rsid w:val="00E5283A"/>
    <w:rsid w:val="00E52B97"/>
    <w:rsid w:val="00E52E42"/>
    <w:rsid w:val="00E60F1A"/>
    <w:rsid w:val="00E70F05"/>
    <w:rsid w:val="00E82888"/>
    <w:rsid w:val="00E90081"/>
    <w:rsid w:val="00E95FC1"/>
    <w:rsid w:val="00EB0249"/>
    <w:rsid w:val="00EB69FE"/>
    <w:rsid w:val="00ED30E8"/>
    <w:rsid w:val="00ED429B"/>
    <w:rsid w:val="00EE39E6"/>
    <w:rsid w:val="00F22CE6"/>
    <w:rsid w:val="00F3689A"/>
    <w:rsid w:val="00F375C5"/>
    <w:rsid w:val="00F4273E"/>
    <w:rsid w:val="00F43620"/>
    <w:rsid w:val="00F56B65"/>
    <w:rsid w:val="00F76053"/>
    <w:rsid w:val="00F964D3"/>
    <w:rsid w:val="00FA2A81"/>
    <w:rsid w:val="00FA410B"/>
    <w:rsid w:val="00FA4BD7"/>
    <w:rsid w:val="00FB2256"/>
    <w:rsid w:val="00FD40D1"/>
    <w:rsid w:val="00FD6590"/>
    <w:rsid w:val="00FD7B45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BAE3"/>
  <w15:docId w15:val="{0DC896A1-BBC6-454F-9A91-3DF1D6D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ind w:left="-1" w:hanging="1"/>
    </w:pPr>
    <w:rPr>
      <w:rFonts w:ascii="Monotype Corsiva" w:hAnsi="Monotype Corsiva" w:cs="Monotype Corsiva"/>
      <w:b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0"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567" w:right="567" w:firstLine="0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">
    <w:name w:val="ListLabel 18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  <w:rPr>
      <w:rFonts w:ascii="Times New Roman" w:hAnsi="Times New Roman" w:cs="Times New Roman"/>
      <w:lang w:val="en-U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pPr>
      <w:spacing w:after="120"/>
      <w:ind w:left="283" w:firstLine="0"/>
    </w:pPr>
    <w:rPr>
      <w:rFonts w:ascii="Times New Roman" w:hAnsi="Times New Roman" w:cs="Times New Roman"/>
      <w:lang w:val="es-ES"/>
    </w:rPr>
  </w:style>
  <w:style w:type="paragraph" w:styleId="Prrafodelista">
    <w:name w:val="List Paragraph"/>
    <w:basedOn w:val="Normal"/>
    <w:pPr>
      <w:ind w:left="708"/>
    </w:p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lang w:val="es-MX" w:eastAsia="es-MX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zmsearchresult">
    <w:name w:val="zmsearchresult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1">
    <w:name w:val="Texto de globo Car1"/>
    <w:rPr>
      <w:rFonts w:ascii="Segoe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val="pt-BR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41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3209D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locked/>
    <w:rsid w:val="0023209D"/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nfasis">
    <w:name w:val="Emphasis"/>
    <w:basedOn w:val="Fuentedeprrafopredeter"/>
    <w:uiPriority w:val="20"/>
    <w:qFormat/>
    <w:rsid w:val="00E60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oiRd0M7Qww4ZNWmizeeIRnpyQ==">AMUW2mXUf4XcYzGxaqqZZIJvqS/9VHK14KN9Vv+HEqGuCBZedzmNObTwnWcApwnXKA9uTphEQ/MyY0y3Bo9mNyNB8jLWhH2nzNO2QRM6oES6GQpXYsKclKB910pp0yn6m7NkmZs+A0G52GRbVEzhZIwQN+ZQd+xZXHHq2NKG2Hx3/a5zzDw5tlfCzoFZPUzXds6KqJ9UaCp0a1oeBbCBO76HgHTjedE+Cxbzx0VeDXTm5bscSehCXeZ57H9rzOvJ8H/WEr4Fm9i8MzUC1y0ieFNoCusLsmzqdvaSYNF5ASE9WSpxaGtj5o23H3WlXO4jT/K3Iuf3DiuXSO+RAPZQn8ZN1EosITB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1323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HP</cp:lastModifiedBy>
  <cp:revision>65</cp:revision>
  <cp:lastPrinted>2022-06-03T15:16:00Z</cp:lastPrinted>
  <dcterms:created xsi:type="dcterms:W3CDTF">2022-06-03T15:09:00Z</dcterms:created>
  <dcterms:modified xsi:type="dcterms:W3CDTF">2022-06-03T16:25:00Z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