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58375" w14:textId="77777777" w:rsidR="00CF4689" w:rsidRPr="00F2260F" w:rsidRDefault="003D3F82" w:rsidP="00430305">
      <w:pPr>
        <w:suppressAutoHyphens/>
        <w:autoSpaceDN w:val="0"/>
        <w:jc w:val="both"/>
        <w:textAlignment w:val="baseline"/>
        <w:rPr>
          <w:rFonts w:eastAsia="Calibri" w:cs="Arial"/>
          <w:b/>
          <w:bCs/>
          <w:kern w:val="3"/>
          <w:szCs w:val="24"/>
          <w:lang w:val="es-ES" w:eastAsia="zh-CN"/>
        </w:rPr>
      </w:pPr>
      <w:r w:rsidRPr="00F2260F">
        <w:rPr>
          <w:rFonts w:cs="Arial"/>
          <w:noProof/>
          <w:szCs w:val="24"/>
          <w:lang w:eastAsia="pt-BR"/>
        </w:rPr>
        <w:drawing>
          <wp:anchor distT="0" distB="0" distL="114300" distR="114300" simplePos="0" relativeHeight="251659264" behindDoc="0" locked="0" layoutInCell="1" allowOverlap="1" wp14:anchorId="15B3C123" wp14:editId="2C050D05">
            <wp:simplePos x="0" y="0"/>
            <wp:positionH relativeFrom="rightMargin">
              <wp:posOffset>-1181100</wp:posOffset>
            </wp:positionH>
            <wp:positionV relativeFrom="page">
              <wp:posOffset>671195</wp:posOffset>
            </wp:positionV>
            <wp:extent cx="1199875" cy="761759"/>
            <wp:effectExtent l="0" t="0" r="635"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199875" cy="761759"/>
                    </a:xfrm>
                    <a:prstGeom prst="rect">
                      <a:avLst/>
                    </a:prstGeom>
                    <a:noFill/>
                    <a:ln>
                      <a:noFill/>
                      <a:prstDash/>
                    </a:ln>
                  </pic:spPr>
                </pic:pic>
              </a:graphicData>
            </a:graphic>
          </wp:anchor>
        </w:drawing>
      </w:r>
      <w:r w:rsidRPr="00F2260F">
        <w:rPr>
          <w:rFonts w:cs="Arial"/>
          <w:noProof/>
          <w:szCs w:val="24"/>
          <w:lang w:eastAsia="pt-BR"/>
        </w:rPr>
        <w:drawing>
          <wp:anchor distT="0" distB="0" distL="114300" distR="114300" simplePos="0" relativeHeight="251661312" behindDoc="0" locked="0" layoutInCell="1" allowOverlap="1" wp14:anchorId="58D14039" wp14:editId="6E99A884">
            <wp:simplePos x="0" y="0"/>
            <wp:positionH relativeFrom="margin">
              <wp:posOffset>-94615</wp:posOffset>
            </wp:positionH>
            <wp:positionV relativeFrom="paragraph">
              <wp:posOffset>46990</wp:posOffset>
            </wp:positionV>
            <wp:extent cx="1190155" cy="743754"/>
            <wp:effectExtent l="0" t="0" r="0" b="0"/>
            <wp:wrapTopAndBottom/>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190155" cy="743754"/>
                    </a:xfrm>
                    <a:prstGeom prst="rect">
                      <a:avLst/>
                    </a:prstGeom>
                    <a:noFill/>
                    <a:ln>
                      <a:noFill/>
                      <a:prstDash/>
                    </a:ln>
                  </pic:spPr>
                </pic:pic>
              </a:graphicData>
            </a:graphic>
          </wp:anchor>
        </w:drawing>
      </w:r>
    </w:p>
    <w:p w14:paraId="6DA024BB"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33AE029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MERCOSUR/GAP/ACTA Nº 01/22</w:t>
      </w:r>
    </w:p>
    <w:p w14:paraId="35A6EB1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5F94E78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6E842081"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center"/>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LX REUNIÓN ORDINARIA DEL GRUPO DE ASUNTOS </w:t>
      </w:r>
    </w:p>
    <w:p w14:paraId="5DDFE09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center"/>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PRESUPUESTARIOS (GAP)</w:t>
      </w:r>
    </w:p>
    <w:p w14:paraId="763757C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4430998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Se realizó el día 26 y 27 de mayo de 2022, en ejercicio de la Presidencia Pro Tempore de Paraguay (PPTP), la LX Reunión Ordinaria del Grupo de Asuntos Presupuestarios (GAP), </w:t>
      </w:r>
      <w:r w:rsidRPr="00904324">
        <w:rPr>
          <w:rFonts w:eastAsia="Arial" w:cs="Arial"/>
          <w:position w:val="-1"/>
          <w:szCs w:val="24"/>
          <w:lang w:val="es-ES_tradnl"/>
        </w:rPr>
        <w:t xml:space="preserve">por sistema de videoconferencia de conformidad con lo dispuesto en la Resolución GMC N° 19/12, con la presencia de las </w:t>
      </w:r>
      <w:r w:rsidRPr="00904324">
        <w:rPr>
          <w:rFonts w:eastAsia="Calibri" w:cs="Arial"/>
          <w:position w:val="-1"/>
          <w:szCs w:val="24"/>
          <w:lang w:val="es-ES" w:eastAsia="ar-SA"/>
        </w:rPr>
        <w:t>delegaciones de Argentina, Brasil, Paraguay y Uruguay</w:t>
      </w:r>
      <w:r w:rsidRPr="00904324">
        <w:rPr>
          <w:rFonts w:eastAsia="Arial Unicode MS" w:cs="Arial Unicode MS"/>
          <w:color w:val="000000"/>
          <w:szCs w:val="24"/>
          <w:u w:color="000000"/>
          <w:bdr w:val="nil"/>
          <w:lang w:val="es-ES_tradnl" w:eastAsia="es-UY"/>
        </w:rPr>
        <w:t>.</w:t>
      </w:r>
    </w:p>
    <w:p w14:paraId="177DED11"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color w:val="000000"/>
          <w:szCs w:val="24"/>
          <w:u w:color="000000"/>
          <w:bdr w:val="nil"/>
          <w:lang w:val="es-ES_tradnl" w:eastAsia="es-UY"/>
        </w:rPr>
      </w:pPr>
    </w:p>
    <w:p w14:paraId="54FC5AA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Participaron el Director de la Secretaría del MERCOSUR (SM), el Secretario                                                                                                                                                                                                                                                                                                                                    del Tribunal Permanente de Revisión (TPR), el Director Interino del Instituto Social del MERCOSUR (ISM) y el Secretario Ejecutivo del Instituto de Políticas Públicas de Derechos Humanos (IPPDDHH). </w:t>
      </w:r>
    </w:p>
    <w:p w14:paraId="702F6CD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color w:val="000000"/>
          <w:szCs w:val="24"/>
          <w:u w:color="000000"/>
          <w:bdr w:val="nil"/>
          <w:lang w:val="es-ES_tradnl" w:eastAsia="es-UY"/>
        </w:rPr>
      </w:pPr>
    </w:p>
    <w:p w14:paraId="666F9E0A"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dio la bienvenida al Secretario Ejecutivo del IPPDDHH, Dr. Remo </w:t>
      </w:r>
      <w:proofErr w:type="spellStart"/>
      <w:r w:rsidRPr="00904324">
        <w:rPr>
          <w:rFonts w:eastAsia="Arial Unicode MS" w:cs="Arial Unicode MS"/>
          <w:color w:val="000000"/>
          <w:szCs w:val="24"/>
          <w:u w:color="000000"/>
          <w:bdr w:val="nil"/>
          <w:lang w:val="es-ES_tradnl" w:eastAsia="es-UY"/>
        </w:rPr>
        <w:t>Carlotto</w:t>
      </w:r>
      <w:proofErr w:type="spellEnd"/>
      <w:r w:rsidRPr="00904324">
        <w:rPr>
          <w:rFonts w:eastAsia="Arial Unicode MS" w:cs="Arial Unicode MS"/>
          <w:color w:val="000000"/>
          <w:szCs w:val="24"/>
          <w:u w:color="000000"/>
          <w:bdr w:val="nil"/>
          <w:lang w:val="es-ES_tradnl" w:eastAsia="es-UY"/>
        </w:rPr>
        <w:t>, quien asumió sus funciones en el mes de febrero del presente año.</w:t>
      </w:r>
    </w:p>
    <w:p w14:paraId="630EE45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4D5A970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La Lista de Participantes consta en el </w:t>
      </w:r>
      <w:r w:rsidRPr="00904324">
        <w:rPr>
          <w:rFonts w:eastAsia="Arial Unicode MS" w:cs="Arial Unicode MS"/>
          <w:b/>
          <w:bCs/>
          <w:color w:val="000000"/>
          <w:szCs w:val="24"/>
          <w:u w:color="000000"/>
          <w:bdr w:val="nil"/>
          <w:lang w:val="es-ES_tradnl" w:eastAsia="es-UY"/>
        </w:rPr>
        <w:t>Anexo I</w:t>
      </w:r>
      <w:r w:rsidRPr="00904324">
        <w:rPr>
          <w:rFonts w:eastAsia="Arial Unicode MS" w:cs="Arial Unicode MS"/>
          <w:color w:val="000000"/>
          <w:szCs w:val="24"/>
          <w:u w:color="000000"/>
          <w:bdr w:val="nil"/>
          <w:lang w:val="es-ES_tradnl" w:eastAsia="es-UY"/>
        </w:rPr>
        <w:t xml:space="preserve">. </w:t>
      </w:r>
    </w:p>
    <w:p w14:paraId="275FBA1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color w:val="000000"/>
          <w:szCs w:val="24"/>
          <w:u w:color="000000"/>
          <w:bdr w:val="nil"/>
          <w:lang w:val="es-ES_tradnl" w:eastAsia="es-UY"/>
        </w:rPr>
      </w:pPr>
    </w:p>
    <w:p w14:paraId="1E72A4BA"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La Agenda consta en el </w:t>
      </w:r>
      <w:bookmarkStart w:id="0" w:name="_Hlk9347199"/>
      <w:r w:rsidRPr="00904324">
        <w:rPr>
          <w:rFonts w:eastAsia="Arial Unicode MS" w:cs="Arial Unicode MS"/>
          <w:b/>
          <w:bCs/>
          <w:color w:val="000000"/>
          <w:szCs w:val="24"/>
          <w:u w:color="000000"/>
          <w:bdr w:val="nil"/>
          <w:lang w:val="es-ES_tradnl" w:eastAsia="es-UY"/>
        </w:rPr>
        <w:t>Anexo II</w:t>
      </w:r>
      <w:bookmarkEnd w:id="0"/>
      <w:r w:rsidRPr="00904324">
        <w:rPr>
          <w:rFonts w:eastAsia="Arial Unicode MS" w:cs="Arial Unicode MS"/>
          <w:b/>
          <w:bCs/>
          <w:color w:val="000000"/>
          <w:szCs w:val="24"/>
          <w:u w:color="000000"/>
          <w:bdr w:val="nil"/>
          <w:lang w:val="es-ES_tradnl" w:eastAsia="es-UY"/>
        </w:rPr>
        <w:t>.</w:t>
      </w:r>
    </w:p>
    <w:p w14:paraId="2F26390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b/>
          <w:bCs/>
          <w:color w:val="000000"/>
          <w:szCs w:val="24"/>
          <w:u w:color="000000"/>
          <w:bdr w:val="nil"/>
          <w:lang w:val="es-ES_tradnl" w:eastAsia="es-UY"/>
        </w:rPr>
      </w:pPr>
    </w:p>
    <w:p w14:paraId="6866A9F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hanging="426"/>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Resumen del Acta consta en el </w:t>
      </w:r>
      <w:r w:rsidRPr="00904324">
        <w:rPr>
          <w:rFonts w:eastAsia="Arial Unicode MS" w:cs="Arial Unicode MS"/>
          <w:b/>
          <w:bCs/>
          <w:color w:val="000000"/>
          <w:szCs w:val="24"/>
          <w:u w:color="000000"/>
          <w:bdr w:val="nil"/>
          <w:lang w:val="es-ES_tradnl" w:eastAsia="es-UY"/>
        </w:rPr>
        <w:t>Anexo III.</w:t>
      </w:r>
    </w:p>
    <w:p w14:paraId="4594570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66DC8F7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Fueron tratados los siguientes temas:</w:t>
      </w:r>
    </w:p>
    <w:p w14:paraId="3679EC0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7E61A4A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2F6BD7E" w14:textId="77777777" w:rsidR="00904324" w:rsidRPr="00904324" w:rsidRDefault="00904324" w:rsidP="00904324">
      <w:pPr>
        <w:widowControl w:val="0"/>
        <w:numPr>
          <w:ilvl w:val="0"/>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SECRETARÍA DEL MERCOSUR (SM)</w:t>
      </w:r>
    </w:p>
    <w:p w14:paraId="4ED03302"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2441C253" w14:textId="77777777" w:rsidR="00904324" w:rsidRPr="00904324" w:rsidRDefault="00904324" w:rsidP="00904324">
      <w:pPr>
        <w:widowControl w:val="0"/>
        <w:numPr>
          <w:ilvl w:val="1"/>
          <w:numId w:val="13"/>
        </w:numPr>
        <w:pBdr>
          <w:top w:val="nil"/>
          <w:left w:val="nil"/>
          <w:bottom w:val="nil"/>
          <w:right w:val="nil"/>
          <w:between w:val="nil"/>
          <w:bar w:val="nil"/>
        </w:pBdr>
        <w:tabs>
          <w:tab w:val="left" w:pos="708"/>
        </w:tabs>
        <w:spacing w:after="160" w:line="259" w:lineRule="auto"/>
        <w:contextualSpacing/>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Informe de Auditoría de la SM al 31/12/2021</w:t>
      </w:r>
    </w:p>
    <w:p w14:paraId="09C8B888"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84" w:hanging="84"/>
        <w:jc w:val="both"/>
        <w:rPr>
          <w:rFonts w:eastAsia="Arial Unicode MS" w:cs="Arial Unicode MS"/>
          <w:b/>
          <w:bCs/>
          <w:color w:val="000000"/>
          <w:szCs w:val="24"/>
          <w:u w:color="000000"/>
          <w:bdr w:val="nil"/>
          <w:lang w:val="es-UY" w:eastAsia="es-UY"/>
        </w:rPr>
      </w:pPr>
    </w:p>
    <w:p w14:paraId="745BECBB"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El GAP tomó nota del informe sobre la auditoría de los estados financieros de la SM al 31 de diciembre de 2021, enviado por Nota SM/230/22 del 9 de mayo de 2022.</w:t>
      </w:r>
    </w:p>
    <w:p w14:paraId="0595AC0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 </w:t>
      </w:r>
    </w:p>
    <w:p w14:paraId="59F5908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Helvetica" w:eastAsia="Helvetica" w:hAnsi="Helvetica" w:cs="Helvetica"/>
          <w:color w:val="000000"/>
          <w:sz w:val="22"/>
          <w:szCs w:val="22"/>
          <w:u w:color="000000"/>
          <w:bdr w:val="nil"/>
          <w:lang w:val="es-ES_tradnl" w:eastAsia="es-UY"/>
        </w:rPr>
      </w:pPr>
      <w:r w:rsidRPr="00904324">
        <w:rPr>
          <w:rFonts w:eastAsia="Arial Unicode MS" w:cs="Arial Unicode MS"/>
          <w:color w:val="000000"/>
          <w:szCs w:val="24"/>
          <w:u w:color="000000"/>
          <w:bdr w:val="nil"/>
          <w:lang w:val="es-ES_tradnl" w:eastAsia="es-UY"/>
        </w:rPr>
        <w:t xml:space="preserve">Al respecto, las delegaciones acordaron elevarlo al GMC para su consideración </w:t>
      </w:r>
      <w:r w:rsidRPr="00904324">
        <w:rPr>
          <w:rFonts w:eastAsia="Arial Unicode MS" w:cs="Arial Unicode MS"/>
          <w:b/>
          <w:bCs/>
          <w:color w:val="000000"/>
          <w:szCs w:val="24"/>
          <w:u w:color="000000"/>
          <w:bdr w:val="nil"/>
          <w:lang w:val="es-ES_tradnl" w:eastAsia="es-UY"/>
        </w:rPr>
        <w:t>(Anexo IV).</w:t>
      </w:r>
    </w:p>
    <w:p w14:paraId="3CB6CB9C"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4BADF278"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Ejecución presupuestaria al 31/12/2021</w:t>
      </w:r>
    </w:p>
    <w:p w14:paraId="6B3BB46A"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6C854A01" w14:textId="78F397F9"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recibió el informe de ejecución presupuestaria al 31 de diciembre de 2021, enviado mediante nota </w:t>
      </w:r>
      <w:r w:rsidRPr="00304EF3">
        <w:rPr>
          <w:rFonts w:eastAsia="Arial Unicode MS" w:cs="Arial Unicode MS"/>
          <w:szCs w:val="24"/>
          <w:u w:color="000000"/>
          <w:bdr w:val="nil"/>
          <w:lang w:val="es-ES_tradnl" w:eastAsia="es-UY"/>
        </w:rPr>
        <w:t>SM/</w:t>
      </w:r>
      <w:r w:rsidR="00AB0BF7" w:rsidRPr="00304EF3">
        <w:rPr>
          <w:rFonts w:eastAsia="Arial Unicode MS" w:cs="Arial Unicode MS"/>
          <w:szCs w:val="24"/>
          <w:u w:color="000000"/>
          <w:bdr w:val="nil"/>
          <w:lang w:val="es-ES_tradnl" w:eastAsia="es-UY"/>
        </w:rPr>
        <w:t>095</w:t>
      </w:r>
      <w:r w:rsidRPr="00304EF3">
        <w:rPr>
          <w:rFonts w:eastAsia="Arial Unicode MS" w:cs="Arial Unicode MS"/>
          <w:szCs w:val="24"/>
          <w:u w:color="000000"/>
          <w:bdr w:val="nil"/>
          <w:lang w:val="es-ES_tradnl" w:eastAsia="es-UY"/>
        </w:rPr>
        <w:t>/22, del 2</w:t>
      </w:r>
      <w:r w:rsidR="00304EF3">
        <w:rPr>
          <w:rFonts w:eastAsia="Arial Unicode MS" w:cs="Arial Unicode MS"/>
          <w:szCs w:val="24"/>
          <w:u w:color="000000"/>
          <w:bdr w:val="nil"/>
          <w:lang w:val="es-ES_tradnl" w:eastAsia="es-UY"/>
        </w:rPr>
        <w:t xml:space="preserve">2 de febrero </w:t>
      </w:r>
      <w:r w:rsidRPr="00904324">
        <w:rPr>
          <w:rFonts w:eastAsia="Arial Unicode MS" w:cs="Arial Unicode MS"/>
          <w:color w:val="000000"/>
          <w:szCs w:val="24"/>
          <w:u w:color="000000"/>
          <w:bdr w:val="nil"/>
          <w:lang w:val="es-ES_tradnl" w:eastAsia="es-UY"/>
        </w:rPr>
        <w:t>de 2022, el cual</w:t>
      </w:r>
      <w:r w:rsidRPr="00904324">
        <w:rPr>
          <w:rFonts w:eastAsia="Arial Unicode MS" w:cs="Arial Unicode MS"/>
          <w:b/>
          <w:bCs/>
          <w:color w:val="000000"/>
          <w:szCs w:val="24"/>
          <w:u w:color="000000"/>
          <w:bdr w:val="nil"/>
          <w:lang w:val="es-ES_tradnl" w:eastAsia="es-UY"/>
        </w:rPr>
        <w:t xml:space="preserve"> </w:t>
      </w:r>
      <w:r w:rsidRPr="00904324">
        <w:rPr>
          <w:rFonts w:eastAsia="Arial Unicode MS" w:cs="Arial Unicode MS"/>
          <w:color w:val="000000"/>
          <w:szCs w:val="24"/>
          <w:u w:color="000000"/>
          <w:bdr w:val="nil"/>
          <w:lang w:val="es-ES_tradnl" w:eastAsia="es-UY"/>
        </w:rPr>
        <w:t xml:space="preserve">alcanzó el </w:t>
      </w:r>
      <w:r w:rsidR="00AC5DDF">
        <w:rPr>
          <w:rFonts w:eastAsia="Arial Unicode MS" w:cs="Arial Unicode MS"/>
          <w:color w:val="000000"/>
          <w:szCs w:val="24"/>
          <w:u w:color="000000"/>
          <w:bdr w:val="nil"/>
          <w:lang w:val="es-ES_tradnl" w:eastAsia="es-UY"/>
        </w:rPr>
        <w:t>95</w:t>
      </w:r>
      <w:r w:rsidRPr="00904324">
        <w:rPr>
          <w:rFonts w:eastAsia="Arial Unicode MS" w:cs="Arial Unicode MS"/>
          <w:color w:val="000000"/>
          <w:szCs w:val="24"/>
          <w:u w:color="000000"/>
          <w:bdr w:val="nil"/>
          <w:lang w:val="es-ES_tradnl" w:eastAsia="es-UY"/>
        </w:rPr>
        <w:t xml:space="preserve"> % del total aprobado para el año 2021 </w:t>
      </w:r>
      <w:r w:rsidR="00AC5DDF">
        <w:rPr>
          <w:rFonts w:eastAsia="Arial Unicode MS" w:cs="Arial Unicode MS"/>
          <w:b/>
          <w:bCs/>
          <w:color w:val="000000"/>
          <w:szCs w:val="24"/>
          <w:u w:color="000000"/>
          <w:bdr w:val="nil"/>
          <w:lang w:val="es-ES_tradnl" w:eastAsia="es-UY"/>
        </w:rPr>
        <w:t xml:space="preserve">(Anexo </w:t>
      </w:r>
      <w:r w:rsidRPr="00904324">
        <w:rPr>
          <w:rFonts w:eastAsia="Arial Unicode MS" w:cs="Arial Unicode MS"/>
          <w:b/>
          <w:bCs/>
          <w:color w:val="000000"/>
          <w:szCs w:val="24"/>
          <w:u w:color="000000"/>
          <w:bdr w:val="nil"/>
          <w:lang w:val="es-ES_tradnl" w:eastAsia="es-UY"/>
        </w:rPr>
        <w:t>V).</w:t>
      </w:r>
    </w:p>
    <w:p w14:paraId="5075002C"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339482E8"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636EDFD6"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Situación de las contribuciones de los Estados Partes y ejecución presupuestaria al 30/04/2022</w:t>
      </w:r>
    </w:p>
    <w:p w14:paraId="2F8E019D"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75E0BAF3" w14:textId="6E71B3AE"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 las Ejecuciones Presupuestarias correspondientes al periodo acumulado de enero a abril, de 2021, que fuera notificada mediante la Nota SM N° 272/2022, </w:t>
      </w:r>
      <w:r w:rsidRPr="00904324">
        <w:rPr>
          <w:rFonts w:eastAsia="Arial Unicode MS" w:cs="Arial Unicode MS"/>
          <w:b/>
          <w:bCs/>
          <w:color w:val="000000"/>
          <w:szCs w:val="24"/>
          <w:u w:color="000000"/>
          <w:bdr w:val="nil"/>
          <w:lang w:val="es-ES_tradnl" w:eastAsia="es-UY"/>
        </w:rPr>
        <w:t>(Anexo V</w:t>
      </w:r>
      <w:r w:rsidR="00222AA0">
        <w:rPr>
          <w:rFonts w:eastAsia="Arial Unicode MS" w:cs="Arial Unicode MS"/>
          <w:b/>
          <w:bCs/>
          <w:color w:val="000000"/>
          <w:szCs w:val="24"/>
          <w:u w:color="000000"/>
          <w:bdr w:val="nil"/>
          <w:lang w:val="es-ES_tradnl" w:eastAsia="es-UY"/>
        </w:rPr>
        <w:t>I</w:t>
      </w:r>
      <w:r w:rsidRPr="00904324">
        <w:rPr>
          <w:rFonts w:eastAsia="Arial Unicode MS" w:cs="Arial Unicode MS"/>
          <w:b/>
          <w:bCs/>
          <w:color w:val="000000"/>
          <w:szCs w:val="24"/>
          <w:u w:color="000000"/>
          <w:bdr w:val="nil"/>
          <w:lang w:val="es-ES_tradnl" w:eastAsia="es-UY"/>
        </w:rPr>
        <w:t>)</w:t>
      </w:r>
      <w:r w:rsidRPr="00904324">
        <w:rPr>
          <w:rFonts w:eastAsia="Arial Unicode MS" w:cs="Arial Unicode MS"/>
          <w:color w:val="000000"/>
          <w:szCs w:val="24"/>
          <w:u w:color="000000"/>
          <w:bdr w:val="nil"/>
          <w:lang w:val="es-ES_tradnl" w:eastAsia="es-UY"/>
        </w:rPr>
        <w:t>.</w:t>
      </w:r>
    </w:p>
    <w:p w14:paraId="4970F117"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CDDE01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La ejecución presupuestaria al 31 de abril de 2022 alcanzó, en términos relativos, al 31% respecto al presupuesto de US$ 2.879.926 aprobados para este año, lo que representa un monto total ejecutado de US$ 887.767.</w:t>
      </w:r>
    </w:p>
    <w:p w14:paraId="36EA98F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ES_tradnl" w:eastAsia="es-UY"/>
        </w:rPr>
      </w:pPr>
    </w:p>
    <w:p w14:paraId="60FA0D1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Asimismo, se tomó nota de las contribuciones efectuadas durante el período enero-abril del presente año. La delegación de Paraguay informó que hará el pago de su segunda cuota correspondiente al año 2022 en la próxima semana.</w:t>
      </w:r>
    </w:p>
    <w:p w14:paraId="73D45C3A"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ES_tradnl" w:eastAsia="es-UY"/>
        </w:rPr>
      </w:pPr>
    </w:p>
    <w:p w14:paraId="34E3247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La delegación de Uruguay informó que su país se encuentra haciendo las gestiones para el pago de la totalidad del 2022.</w:t>
      </w:r>
    </w:p>
    <w:p w14:paraId="08FACBC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shd w:val="clear" w:color="auto" w:fill="FFFF00"/>
          <w:lang w:val="es-ES_tradnl" w:eastAsia="es-UY"/>
        </w:rPr>
      </w:pPr>
    </w:p>
    <w:p w14:paraId="1867CC36"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Detalle de los excedentes anuales contables y su utilización al 30/04/2022 </w:t>
      </w:r>
    </w:p>
    <w:p w14:paraId="6111FB52"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09E3727A" w14:textId="6D15F6A8" w:rsidR="00904324" w:rsidRPr="00904324" w:rsidRDefault="00904324" w:rsidP="00904324">
      <w:pPr>
        <w:pBdr>
          <w:top w:val="nil"/>
          <w:left w:val="nil"/>
          <w:bottom w:val="nil"/>
          <w:right w:val="nil"/>
          <w:between w:val="nil"/>
          <w:bar w:val="nil"/>
        </w:pBdr>
        <w:tabs>
          <w:tab w:val="left" w:pos="1146"/>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El GAP tomó nota del informe del estado de los recursos excedentes anuales de la SM y su utilización ejecutada al 30 de abril de 2022, enviado por Nota SM Nº 27</w:t>
      </w:r>
      <w:r w:rsidR="00335C19">
        <w:rPr>
          <w:rFonts w:eastAsia="Arial Unicode MS" w:cs="Arial Unicode MS"/>
          <w:color w:val="000000"/>
          <w:szCs w:val="24"/>
          <w:u w:color="000000"/>
          <w:bdr w:val="nil"/>
          <w:lang w:val="es-ES_tradnl" w:eastAsia="es-UY"/>
        </w:rPr>
        <w:t>2</w:t>
      </w:r>
      <w:r w:rsidRPr="00904324">
        <w:rPr>
          <w:rFonts w:eastAsia="Arial Unicode MS" w:cs="Arial Unicode MS"/>
          <w:color w:val="000000"/>
          <w:szCs w:val="24"/>
          <w:u w:color="000000"/>
          <w:bdr w:val="nil"/>
          <w:lang w:val="es-ES_tradnl" w:eastAsia="es-UY"/>
        </w:rPr>
        <w:t>/202</w:t>
      </w:r>
      <w:r w:rsidR="008878DE">
        <w:rPr>
          <w:rFonts w:eastAsia="Arial Unicode MS" w:cs="Arial Unicode MS"/>
          <w:color w:val="000000"/>
          <w:szCs w:val="24"/>
          <w:u w:color="000000"/>
          <w:bdr w:val="nil"/>
          <w:lang w:val="es-ES_tradnl" w:eastAsia="es-UY"/>
        </w:rPr>
        <w:t>2</w:t>
      </w:r>
      <w:r w:rsidRPr="00904324">
        <w:rPr>
          <w:rFonts w:eastAsia="Arial Unicode MS" w:cs="Arial Unicode MS"/>
          <w:color w:val="000000"/>
          <w:szCs w:val="24"/>
          <w:u w:color="000000"/>
          <w:bdr w:val="nil"/>
          <w:lang w:val="es-ES_tradnl" w:eastAsia="es-UY"/>
        </w:rPr>
        <w:t xml:space="preserve"> del 24 de mayo del corriente año. (</w:t>
      </w:r>
      <w:r w:rsidRPr="00904324">
        <w:rPr>
          <w:rFonts w:eastAsia="Arial Unicode MS" w:cs="Arial Unicode MS"/>
          <w:b/>
          <w:bCs/>
          <w:color w:val="000000"/>
          <w:szCs w:val="24"/>
          <w:u w:color="000000"/>
          <w:bdr w:val="nil"/>
          <w:lang w:val="es-ES_tradnl" w:eastAsia="es-UY"/>
        </w:rPr>
        <w:t>Anexo V</w:t>
      </w:r>
      <w:r w:rsidR="008878DE">
        <w:rPr>
          <w:rFonts w:eastAsia="Arial Unicode MS" w:cs="Arial Unicode MS"/>
          <w:b/>
          <w:bCs/>
          <w:color w:val="000000"/>
          <w:szCs w:val="24"/>
          <w:u w:color="000000"/>
          <w:bdr w:val="nil"/>
          <w:lang w:val="es-ES_tradnl" w:eastAsia="es-UY"/>
        </w:rPr>
        <w:t>II</w:t>
      </w:r>
      <w:r w:rsidRPr="00904324">
        <w:rPr>
          <w:rFonts w:eastAsia="Arial Unicode MS" w:cs="Arial Unicode MS"/>
          <w:b/>
          <w:bCs/>
          <w:color w:val="000000"/>
          <w:szCs w:val="24"/>
          <w:u w:color="000000"/>
          <w:bdr w:val="nil"/>
          <w:lang w:val="es-ES_tradnl" w:eastAsia="es-UY"/>
        </w:rPr>
        <w:t>)</w:t>
      </w:r>
    </w:p>
    <w:p w14:paraId="75AB6532" w14:textId="77777777" w:rsidR="00904324" w:rsidRPr="00904324" w:rsidRDefault="00904324" w:rsidP="00904324">
      <w:pPr>
        <w:pBdr>
          <w:top w:val="nil"/>
          <w:left w:val="nil"/>
          <w:bottom w:val="nil"/>
          <w:right w:val="nil"/>
          <w:between w:val="nil"/>
          <w:bar w:val="nil"/>
        </w:pBdr>
        <w:tabs>
          <w:tab w:val="left" w:pos="1146"/>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Helvetica" w:eastAsia="Helvetica" w:hAnsi="Helvetica" w:cs="Helvetica"/>
          <w:color w:val="000000"/>
          <w:sz w:val="22"/>
          <w:szCs w:val="22"/>
          <w:u w:color="000000"/>
          <w:bdr w:val="nil"/>
          <w:lang w:val="es-UY" w:eastAsia="es-UY"/>
        </w:rPr>
      </w:pPr>
    </w:p>
    <w:p w14:paraId="4B5615D1"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408FC712" w14:textId="77777777" w:rsidR="00904324" w:rsidRPr="00904324" w:rsidRDefault="00904324" w:rsidP="00904324">
      <w:pPr>
        <w:numPr>
          <w:ilvl w:val="0"/>
          <w:numId w:val="13"/>
        </w:numPr>
        <w:pBdr>
          <w:top w:val="nil"/>
          <w:left w:val="nil"/>
          <w:bottom w:val="nil"/>
          <w:right w:val="nil"/>
          <w:between w:val="nil"/>
          <w:bar w:val="nil"/>
        </w:pBdr>
        <w:spacing w:after="160" w:line="259" w:lineRule="auto"/>
        <w:contextualSpacing/>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SECRETARÍA DEL TRIBUNAL PERMANENTE DE REVISIÓN (ST)</w:t>
      </w:r>
    </w:p>
    <w:p w14:paraId="66D4D6B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E3D971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418" w:hanging="709"/>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2.1.</w:t>
      </w:r>
      <w:r w:rsidRPr="00904324">
        <w:rPr>
          <w:rFonts w:eastAsia="Arial Unicode MS" w:cs="Arial Unicode MS"/>
          <w:b/>
          <w:bCs/>
          <w:color w:val="000000"/>
          <w:szCs w:val="24"/>
          <w:u w:color="000000"/>
          <w:bdr w:val="nil"/>
          <w:lang w:val="es-ES_tradnl" w:eastAsia="es-UY"/>
        </w:rPr>
        <w:tab/>
        <w:t>Informe de Auditoría de los Estados Financieros correspondientes al ejercicio anual finalizado el 31/12/2021.</w:t>
      </w:r>
    </w:p>
    <w:p w14:paraId="6BD98C0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13DD66AC" w14:textId="1DCEE1E2"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 la ST sobre auditoría externa contable de 2021 remitido por Nota </w:t>
      </w:r>
      <w:r w:rsidR="00B15688">
        <w:rPr>
          <w:rFonts w:eastAsia="Arial Unicode MS" w:cs="Arial Unicode MS"/>
          <w:color w:val="000000"/>
          <w:szCs w:val="24"/>
          <w:u w:color="000000"/>
          <w:bdr w:val="nil"/>
          <w:lang w:val="es-ES_tradnl" w:eastAsia="es-UY"/>
        </w:rPr>
        <w:t>TPR</w:t>
      </w:r>
      <w:r w:rsidR="00374587" w:rsidRPr="00B15688">
        <w:rPr>
          <w:rFonts w:eastAsia="Arial Unicode MS" w:cs="Arial Unicode MS"/>
          <w:color w:val="000000"/>
          <w:szCs w:val="24"/>
          <w:u w:color="000000"/>
          <w:bdr w:val="nil"/>
          <w:lang w:val="es-ES_tradnl" w:eastAsia="es-UY"/>
        </w:rPr>
        <w:t xml:space="preserve"> </w:t>
      </w:r>
      <w:r w:rsidRPr="00B15688">
        <w:rPr>
          <w:rFonts w:eastAsia="Arial Unicode MS" w:cs="Arial Unicode MS"/>
          <w:color w:val="000000"/>
          <w:szCs w:val="24"/>
          <w:u w:color="000000"/>
          <w:bdr w:val="nil"/>
          <w:lang w:val="es-ES_tradnl" w:eastAsia="es-UY"/>
        </w:rPr>
        <w:t xml:space="preserve">Nº </w:t>
      </w:r>
      <w:r w:rsidR="00374587" w:rsidRPr="00B15688">
        <w:rPr>
          <w:rFonts w:eastAsia="Arial Unicode MS" w:cs="Arial Unicode MS"/>
          <w:color w:val="000000"/>
          <w:szCs w:val="24"/>
          <w:u w:color="000000"/>
          <w:bdr w:val="nil"/>
          <w:lang w:val="es-ES_tradnl" w:eastAsia="es-UY"/>
        </w:rPr>
        <w:t>016/2022</w:t>
      </w:r>
      <w:r w:rsidRPr="00B15688">
        <w:rPr>
          <w:rFonts w:eastAsia="Arial Unicode MS" w:cs="Arial Unicode MS"/>
          <w:color w:val="000000"/>
          <w:szCs w:val="24"/>
          <w:u w:color="000000"/>
          <w:bdr w:val="nil"/>
          <w:lang w:val="es-ES_tradnl" w:eastAsia="es-UY"/>
        </w:rPr>
        <w:t xml:space="preserve"> del </w:t>
      </w:r>
      <w:r w:rsidR="00374587" w:rsidRPr="00B15688">
        <w:rPr>
          <w:rFonts w:eastAsia="Arial Unicode MS" w:cs="Arial Unicode MS"/>
          <w:color w:val="000000"/>
          <w:szCs w:val="24"/>
          <w:u w:color="000000"/>
          <w:bdr w:val="nil"/>
          <w:lang w:val="es-ES_tradnl" w:eastAsia="es-UY"/>
        </w:rPr>
        <w:t xml:space="preserve">18 de febrero de 2022. </w:t>
      </w:r>
      <w:r w:rsidRPr="00904324">
        <w:rPr>
          <w:rFonts w:eastAsia="Arial Unicode MS" w:cs="Arial Unicode MS"/>
          <w:b/>
          <w:bCs/>
          <w:color w:val="000000"/>
          <w:szCs w:val="24"/>
          <w:u w:color="000000"/>
          <w:bdr w:val="nil"/>
          <w:lang w:val="es-ES_tradnl" w:eastAsia="es-UY"/>
        </w:rPr>
        <w:t>(Anexo VI).</w:t>
      </w:r>
    </w:p>
    <w:p w14:paraId="2FB899A5"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57EB1B8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Times New Roman" w:hAnsi="Times New Roman"/>
          <w:color w:val="000000"/>
          <w:sz w:val="20"/>
          <w:u w:color="000000"/>
          <w:bdr w:val="nil"/>
          <w:lang w:val="es-ES_tradnl" w:eastAsia="es-UY"/>
        </w:rPr>
      </w:pPr>
      <w:r w:rsidRPr="00904324">
        <w:rPr>
          <w:rFonts w:ascii="Helvetica" w:eastAsia="Arial Unicode MS" w:hAnsi="Helvetica" w:cs="Arial Unicode MS"/>
          <w:color w:val="000000"/>
          <w:szCs w:val="24"/>
          <w:u w:color="000000"/>
          <w:bdr w:val="nil"/>
          <w:lang w:val="es-ES_tradnl" w:eastAsia="es-UY"/>
        </w:rPr>
        <w:t>Al respecto</w:t>
      </w:r>
      <w:r w:rsidRPr="00904324">
        <w:rPr>
          <w:rFonts w:eastAsia="Arial Unicode MS" w:cs="Arial Unicode MS"/>
          <w:color w:val="000000"/>
          <w:szCs w:val="24"/>
          <w:u w:color="000000"/>
          <w:bdr w:val="nil"/>
          <w:lang w:val="es-ES_tradnl" w:eastAsia="es-UY"/>
        </w:rPr>
        <w:t>, las delegaciones acordaron elevar el informe de auditoría externa contable al GMC para su consideración.</w:t>
      </w:r>
    </w:p>
    <w:p w14:paraId="718B893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111C034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709"/>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2.2.</w:t>
      </w:r>
      <w:r w:rsidRPr="00904324">
        <w:rPr>
          <w:rFonts w:eastAsia="Arial Unicode MS" w:cs="Arial Unicode MS"/>
          <w:b/>
          <w:bCs/>
          <w:color w:val="000000"/>
          <w:szCs w:val="24"/>
          <w:u w:color="000000"/>
          <w:bdr w:val="nil"/>
          <w:lang w:val="es-ES_tradnl" w:eastAsia="es-UY"/>
        </w:rPr>
        <w:tab/>
        <w:t>Ejecución presupuestaria al 31/12/2021</w:t>
      </w:r>
    </w:p>
    <w:p w14:paraId="7AB5D39D"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2C8429AB" w14:textId="03AD05DB"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 la ST sobre la ejecución presupuestaria al 31 de diciembre de 2021, remitido por Nota TPR N° </w:t>
      </w:r>
      <w:r w:rsidR="006253E1">
        <w:rPr>
          <w:rFonts w:eastAsia="Arial Unicode MS" w:cs="Arial Unicode MS"/>
          <w:color w:val="000000"/>
          <w:szCs w:val="24"/>
          <w:u w:color="000000"/>
          <w:bdr w:val="nil"/>
          <w:lang w:val="es-ES_tradnl" w:eastAsia="es-UY"/>
        </w:rPr>
        <w:t>014/2022 del 08 de febrero de 2022,</w:t>
      </w:r>
      <w:r w:rsidRPr="00904324">
        <w:rPr>
          <w:rFonts w:eastAsia="Arial Unicode MS" w:cs="Arial Unicode MS"/>
          <w:color w:val="000000"/>
          <w:szCs w:val="24"/>
          <w:u w:color="000000"/>
          <w:bdr w:val="nil"/>
          <w:lang w:val="es-ES_tradnl" w:eastAsia="es-UY"/>
        </w:rPr>
        <w:t xml:space="preserve"> el cual alcanzó el 93 % del total aprobado para el año 2021 </w:t>
      </w:r>
      <w:r w:rsidRPr="00904324">
        <w:rPr>
          <w:rFonts w:eastAsia="Arial Unicode MS" w:cs="Arial Unicode MS"/>
          <w:b/>
          <w:bCs/>
          <w:color w:val="000000"/>
          <w:szCs w:val="24"/>
          <w:u w:color="000000"/>
          <w:bdr w:val="nil"/>
          <w:lang w:val="es-ES_tradnl" w:eastAsia="es-UY"/>
        </w:rPr>
        <w:t>(Anexo VI).</w:t>
      </w:r>
    </w:p>
    <w:p w14:paraId="48D8D89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41FA176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418" w:hanging="709"/>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2.3.</w:t>
      </w:r>
      <w:r w:rsidRPr="00904324">
        <w:rPr>
          <w:rFonts w:eastAsia="Arial Unicode MS" w:cs="Arial Unicode MS"/>
          <w:b/>
          <w:bCs/>
          <w:color w:val="000000"/>
          <w:szCs w:val="24"/>
          <w:u w:color="000000"/>
          <w:bdr w:val="nil"/>
          <w:lang w:val="es-ES_tradnl" w:eastAsia="es-UY"/>
        </w:rPr>
        <w:tab/>
        <w:t>Situación de las contribuciones de los Estados Partes y ejecución presupuestaria al 30/04/2022.</w:t>
      </w:r>
    </w:p>
    <w:p w14:paraId="3260E8F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4AD6330E" w14:textId="08E3C45D"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 la ST sobre las contribuciones de los Estados Partes y la ejecución presupuestaria al 30 de abril de 2022, remitido por </w:t>
      </w:r>
      <w:r w:rsidRPr="00B15688">
        <w:rPr>
          <w:rFonts w:eastAsia="Arial Unicode MS" w:cs="Arial Unicode MS"/>
          <w:color w:val="000000"/>
          <w:szCs w:val="24"/>
          <w:u w:color="000000"/>
          <w:bdr w:val="nil"/>
          <w:lang w:val="es-ES_tradnl" w:eastAsia="es-UY"/>
        </w:rPr>
        <w:t xml:space="preserve">Nota TPR N° </w:t>
      </w:r>
      <w:r w:rsidR="00ED7FCF" w:rsidRPr="00B15688">
        <w:rPr>
          <w:rFonts w:eastAsia="Arial Unicode MS" w:cs="Arial Unicode MS"/>
          <w:color w:val="000000"/>
          <w:szCs w:val="24"/>
          <w:u w:color="000000"/>
          <w:bdr w:val="nil"/>
          <w:lang w:val="es-ES_tradnl" w:eastAsia="es-UY"/>
        </w:rPr>
        <w:t>036</w:t>
      </w:r>
      <w:r w:rsidRPr="00B15688">
        <w:rPr>
          <w:rFonts w:eastAsia="Arial Unicode MS" w:cs="Arial Unicode MS"/>
          <w:color w:val="000000"/>
          <w:szCs w:val="24"/>
          <w:u w:color="000000"/>
          <w:bdr w:val="nil"/>
          <w:lang w:val="es-ES_tradnl" w:eastAsia="es-UY"/>
        </w:rPr>
        <w:t>/2022</w:t>
      </w:r>
      <w:r w:rsidR="00ED7FCF" w:rsidRPr="00B15688">
        <w:rPr>
          <w:rFonts w:eastAsia="Arial Unicode MS" w:cs="Arial Unicode MS"/>
          <w:color w:val="000000"/>
          <w:szCs w:val="24"/>
          <w:u w:color="000000"/>
          <w:bdr w:val="nil"/>
          <w:lang w:val="es-ES_tradnl" w:eastAsia="es-UY"/>
        </w:rPr>
        <w:t>, del 09 de mayo de 2022.</w:t>
      </w:r>
      <w:r w:rsidRPr="00B15688">
        <w:rPr>
          <w:rFonts w:eastAsia="Arial Unicode MS" w:cs="Arial Unicode MS"/>
          <w:color w:val="000000"/>
          <w:szCs w:val="24"/>
          <w:u w:color="000000"/>
          <w:bdr w:val="nil"/>
          <w:lang w:val="es-ES_tradnl" w:eastAsia="es-UY"/>
        </w:rPr>
        <w:t xml:space="preserve"> (</w:t>
      </w:r>
      <w:r w:rsidRPr="00B15688">
        <w:rPr>
          <w:rFonts w:eastAsia="Arial Unicode MS" w:cs="Arial Unicode MS"/>
          <w:b/>
          <w:bCs/>
          <w:color w:val="000000"/>
          <w:szCs w:val="24"/>
          <w:u w:color="000000"/>
          <w:bdr w:val="nil"/>
          <w:lang w:val="es-ES_tradnl" w:eastAsia="es-UY"/>
        </w:rPr>
        <w:t>Anexo VII</w:t>
      </w:r>
      <w:r w:rsidRPr="00B15688">
        <w:rPr>
          <w:rFonts w:eastAsia="Arial Unicode MS" w:cs="Arial Unicode MS"/>
          <w:color w:val="000000"/>
          <w:szCs w:val="24"/>
          <w:u w:color="000000"/>
          <w:bdr w:val="nil"/>
          <w:lang w:val="es-ES_tradnl" w:eastAsia="es-UY"/>
        </w:rPr>
        <w:t>).</w:t>
      </w:r>
      <w:r w:rsidRPr="00904324">
        <w:rPr>
          <w:rFonts w:eastAsia="Arial Unicode MS" w:cs="Arial Unicode MS"/>
          <w:color w:val="000000"/>
          <w:szCs w:val="24"/>
          <w:u w:color="000000"/>
          <w:bdr w:val="nil"/>
          <w:lang w:val="es-ES_tradnl" w:eastAsia="es-UY"/>
        </w:rPr>
        <w:t xml:space="preserve"> </w:t>
      </w:r>
    </w:p>
    <w:p w14:paraId="16718C6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1D254AD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lastRenderedPageBreak/>
        <w:t xml:space="preserve">La ejecución presupuestaria al 30 de abril de 2022 alcanzó, en términos relativos, al 28% </w:t>
      </w:r>
      <w:bookmarkStart w:id="1" w:name="_Hlk104538752"/>
      <w:r w:rsidRPr="00904324">
        <w:rPr>
          <w:rFonts w:eastAsia="Arial Unicode MS" w:cs="Arial Unicode MS"/>
          <w:color w:val="000000"/>
          <w:szCs w:val="24"/>
          <w:u w:color="000000"/>
          <w:bdr w:val="nil"/>
          <w:lang w:val="es-ES_tradnl" w:eastAsia="es-UY"/>
        </w:rPr>
        <w:t xml:space="preserve">respecto al presupuesto de US$ </w:t>
      </w:r>
      <w:bookmarkEnd w:id="1"/>
      <w:r w:rsidRPr="00904324">
        <w:rPr>
          <w:rFonts w:eastAsia="Arial Unicode MS" w:cs="Arial Unicode MS"/>
          <w:color w:val="000000"/>
          <w:szCs w:val="24"/>
          <w:u w:color="000000"/>
          <w:bdr w:val="nil"/>
          <w:lang w:val="es-ES_tradnl" w:eastAsia="es-UY"/>
        </w:rPr>
        <w:t>468.976 aprobados para este año, lo que representa un monto total ejecutado de US$ 133.626.</w:t>
      </w:r>
    </w:p>
    <w:p w14:paraId="3AB46BF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369E2750" w14:textId="690ADF52"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B15688">
        <w:rPr>
          <w:rFonts w:eastAsia="Arial Unicode MS" w:cs="Arial Unicode MS"/>
          <w:color w:val="000000"/>
          <w:szCs w:val="24"/>
          <w:u w:color="000000"/>
          <w:bdr w:val="nil"/>
          <w:lang w:val="es-ES_tradnl" w:eastAsia="es-UY"/>
        </w:rPr>
        <w:t>La delegación de Paraguay informó que en la próxima semana realizará el aporte corr</w:t>
      </w:r>
      <w:r w:rsidR="00B15688" w:rsidRPr="00B15688">
        <w:rPr>
          <w:rFonts w:eastAsia="Arial Unicode MS" w:cs="Arial Unicode MS"/>
          <w:color w:val="000000"/>
          <w:szCs w:val="24"/>
          <w:u w:color="000000"/>
          <w:bdr w:val="nil"/>
          <w:lang w:val="es-ES_tradnl" w:eastAsia="es-UY"/>
        </w:rPr>
        <w:t xml:space="preserve">espondiente al pago de la segunda cuota del año </w:t>
      </w:r>
      <w:r w:rsidRPr="00B15688">
        <w:rPr>
          <w:rFonts w:eastAsia="Arial Unicode MS" w:cs="Arial Unicode MS"/>
          <w:color w:val="000000"/>
          <w:szCs w:val="24"/>
          <w:u w:color="000000"/>
          <w:bdr w:val="nil"/>
          <w:lang w:val="es-ES_tradnl" w:eastAsia="es-UY"/>
        </w:rPr>
        <w:t>2022. Asimismo</w:t>
      </w:r>
      <w:r w:rsidRPr="00904324">
        <w:rPr>
          <w:rFonts w:eastAsia="Arial Unicode MS" w:cs="Arial Unicode MS"/>
          <w:color w:val="000000"/>
          <w:szCs w:val="24"/>
          <w:u w:color="000000"/>
          <w:bdr w:val="nil"/>
          <w:lang w:val="es-ES_tradnl" w:eastAsia="es-UY"/>
        </w:rPr>
        <w:t>, la delegación de Uruguay informó que se han iniciado los trámites para el pago en su totalidad de los aportes correspondientes.</w:t>
      </w:r>
    </w:p>
    <w:p w14:paraId="6C57005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60B46F4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418" w:hanging="709"/>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2.4.</w:t>
      </w:r>
      <w:r w:rsidRPr="00904324">
        <w:rPr>
          <w:rFonts w:eastAsia="Arial Unicode MS" w:cs="Arial Unicode MS"/>
          <w:b/>
          <w:bCs/>
          <w:color w:val="000000"/>
          <w:szCs w:val="24"/>
          <w:u w:color="000000"/>
          <w:bdr w:val="nil"/>
          <w:lang w:val="es-ES_tradnl" w:eastAsia="es-UY"/>
        </w:rPr>
        <w:tab/>
        <w:t xml:space="preserve">Detalle de los excedentes anuales contables y su utilización </w:t>
      </w:r>
    </w:p>
    <w:p w14:paraId="051EE69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D8208BA" w14:textId="07CBAE2C"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sobre los excedentes anuales contables y su utilización, remitido por la Nota </w:t>
      </w:r>
      <w:r w:rsidRPr="00B15688">
        <w:rPr>
          <w:rFonts w:eastAsia="Arial Unicode MS" w:cs="Arial Unicode MS"/>
          <w:color w:val="000000"/>
          <w:szCs w:val="24"/>
          <w:u w:color="000000"/>
          <w:bdr w:val="nil"/>
          <w:lang w:val="es-ES_tradnl" w:eastAsia="es-UY"/>
        </w:rPr>
        <w:t xml:space="preserve">TPR N° </w:t>
      </w:r>
      <w:r w:rsidR="006B7DEB" w:rsidRPr="00B15688">
        <w:rPr>
          <w:rFonts w:eastAsia="Arial Unicode MS" w:cs="Arial Unicode MS"/>
          <w:color w:val="000000"/>
          <w:szCs w:val="24"/>
          <w:u w:color="000000"/>
          <w:bdr w:val="nil"/>
          <w:lang w:val="es-ES_tradnl" w:eastAsia="es-UY"/>
        </w:rPr>
        <w:t>036/2002</w:t>
      </w:r>
      <w:r w:rsidRPr="00904324">
        <w:rPr>
          <w:rFonts w:eastAsia="Arial Unicode MS" w:cs="Arial Unicode MS"/>
          <w:color w:val="000000"/>
          <w:szCs w:val="24"/>
          <w:u w:color="000000"/>
          <w:bdr w:val="nil"/>
          <w:lang w:val="es-ES_tradnl" w:eastAsia="es-UY"/>
        </w:rPr>
        <w:t xml:space="preserve"> </w:t>
      </w:r>
      <w:r w:rsidRPr="00904324">
        <w:rPr>
          <w:rFonts w:eastAsia="Arial Unicode MS" w:cs="Arial Unicode MS"/>
          <w:b/>
          <w:bCs/>
          <w:color w:val="000000"/>
          <w:szCs w:val="24"/>
          <w:u w:color="000000"/>
          <w:bdr w:val="nil"/>
          <w:lang w:val="es-ES_tradnl" w:eastAsia="es-UY"/>
        </w:rPr>
        <w:t>(Anexo VII)</w:t>
      </w:r>
      <w:r w:rsidRPr="00904324">
        <w:rPr>
          <w:rFonts w:eastAsia="Arial Unicode MS" w:cs="Arial Unicode MS"/>
          <w:color w:val="000000"/>
          <w:szCs w:val="24"/>
          <w:u w:color="000000"/>
          <w:bdr w:val="nil"/>
          <w:lang w:val="es-ES_tradnl" w:eastAsia="es-UY"/>
        </w:rPr>
        <w:t xml:space="preserve">. </w:t>
      </w:r>
    </w:p>
    <w:p w14:paraId="7717AB08" w14:textId="77777777" w:rsidR="00AB408A" w:rsidRDefault="00AB408A"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50958C6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Asimismo, al 30 de abril de 2022, el TPR cuenta con excedentes líquidos disponibles por un total de US$ 124.276.</w:t>
      </w:r>
    </w:p>
    <w:p w14:paraId="14392F08"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70CDFBED"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2946B1E1" w14:textId="77777777" w:rsidR="00904324" w:rsidRPr="00904324" w:rsidRDefault="00904324" w:rsidP="00904324">
      <w:pPr>
        <w:widowControl w:val="0"/>
        <w:numPr>
          <w:ilvl w:val="0"/>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INSTITUTO SOCIAL DEL MERCOSUR (ISM)</w:t>
      </w:r>
    </w:p>
    <w:p w14:paraId="1822C51B"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08F0516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418" w:hanging="709"/>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3.1.</w:t>
      </w:r>
      <w:r w:rsidRPr="00904324">
        <w:rPr>
          <w:rFonts w:eastAsia="Arial Unicode MS" w:cs="Arial Unicode MS"/>
          <w:b/>
          <w:bCs/>
          <w:color w:val="000000"/>
          <w:szCs w:val="24"/>
          <w:u w:color="000000"/>
          <w:bdr w:val="nil"/>
          <w:lang w:val="es-ES_tradnl" w:eastAsia="es-UY"/>
        </w:rPr>
        <w:tab/>
        <w:t>Informe de Auditoría de los Estados Financieros correspondientes al ejercicio anual finalizado el 31/12/2021</w:t>
      </w:r>
    </w:p>
    <w:p w14:paraId="066FF041"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0F60AF8E" w14:textId="1FBDD678"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sobre la auditoría externa contable del ISM al 31 de diciembre de 2021 con las recomendaciones pertinentes, enviado por Nota </w:t>
      </w:r>
      <w:r w:rsidRPr="00B15688">
        <w:rPr>
          <w:rFonts w:eastAsia="Arial Unicode MS" w:cs="Arial Unicode MS"/>
          <w:color w:val="000000"/>
          <w:szCs w:val="24"/>
          <w:u w:color="000000"/>
          <w:bdr w:val="nil"/>
          <w:lang w:val="es-ES_tradnl" w:eastAsia="es-UY"/>
        </w:rPr>
        <w:t xml:space="preserve">ISM-DAF </w:t>
      </w:r>
      <w:r w:rsidR="007E693A" w:rsidRPr="00B15688">
        <w:rPr>
          <w:rFonts w:eastAsia="Arial Unicode MS" w:cs="Arial Unicode MS"/>
          <w:color w:val="000000"/>
          <w:szCs w:val="24"/>
          <w:u w:color="000000"/>
          <w:bdr w:val="nil"/>
          <w:lang w:val="es-ES_tradnl" w:eastAsia="es-UY"/>
        </w:rPr>
        <w:t>03</w:t>
      </w:r>
      <w:r w:rsidRPr="00B15688">
        <w:rPr>
          <w:rFonts w:eastAsia="Arial Unicode MS" w:cs="Arial Unicode MS"/>
          <w:color w:val="000000"/>
          <w:szCs w:val="24"/>
          <w:u w:color="000000"/>
          <w:bdr w:val="nil"/>
          <w:lang w:val="es-ES_tradnl" w:eastAsia="es-UY"/>
        </w:rPr>
        <w:t>/202</w:t>
      </w:r>
      <w:r w:rsidR="007E693A" w:rsidRPr="00B15688">
        <w:rPr>
          <w:rFonts w:eastAsia="Arial Unicode MS" w:cs="Arial Unicode MS"/>
          <w:color w:val="000000"/>
          <w:szCs w:val="24"/>
          <w:u w:color="000000"/>
          <w:bdr w:val="nil"/>
          <w:lang w:val="es-ES_tradnl" w:eastAsia="es-UY"/>
        </w:rPr>
        <w:t>2</w:t>
      </w:r>
      <w:r w:rsidRPr="00B15688">
        <w:rPr>
          <w:rFonts w:eastAsia="Arial Unicode MS" w:cs="Arial Unicode MS"/>
          <w:color w:val="000000"/>
          <w:szCs w:val="24"/>
          <w:u w:color="000000"/>
          <w:bdr w:val="nil"/>
          <w:lang w:val="es-ES_tradnl" w:eastAsia="es-UY"/>
        </w:rPr>
        <w:t xml:space="preserve"> del </w:t>
      </w:r>
      <w:r w:rsidR="007E693A" w:rsidRPr="00B15688">
        <w:rPr>
          <w:rFonts w:eastAsia="Arial Unicode MS" w:cs="Arial Unicode MS"/>
          <w:color w:val="000000"/>
          <w:szCs w:val="24"/>
          <w:u w:color="000000"/>
          <w:bdr w:val="nil"/>
          <w:lang w:val="es-ES_tradnl" w:eastAsia="es-UY"/>
        </w:rPr>
        <w:t xml:space="preserve">18 de marzo de 2022. </w:t>
      </w:r>
    </w:p>
    <w:p w14:paraId="0B3B881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5DFD7D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Al respecto, las delegaciones acordaron elevarlo al GMC para su consideración </w:t>
      </w:r>
      <w:r w:rsidRPr="00904324">
        <w:rPr>
          <w:rFonts w:eastAsia="Arial Unicode MS" w:cs="Arial Unicode MS"/>
          <w:b/>
          <w:bCs/>
          <w:color w:val="000000"/>
          <w:szCs w:val="24"/>
          <w:u w:color="000000"/>
          <w:bdr w:val="nil"/>
          <w:lang w:val="es-ES_tradnl" w:eastAsia="es-UY"/>
        </w:rPr>
        <w:t>(Anexo VIII).</w:t>
      </w:r>
    </w:p>
    <w:p w14:paraId="7767D02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709"/>
        <w:jc w:val="both"/>
        <w:rPr>
          <w:rFonts w:eastAsia="Arial Unicode MS" w:cs="Arial Unicode MS"/>
          <w:b/>
          <w:bCs/>
          <w:color w:val="000000"/>
          <w:szCs w:val="24"/>
          <w:u w:color="000000"/>
          <w:bdr w:val="nil"/>
          <w:lang w:val="es-ES_tradnl" w:eastAsia="es-UY"/>
        </w:rPr>
      </w:pPr>
    </w:p>
    <w:p w14:paraId="64AA71B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709"/>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3.2.</w:t>
      </w:r>
      <w:r w:rsidRPr="00904324">
        <w:rPr>
          <w:rFonts w:eastAsia="Arial Unicode MS" w:cs="Arial Unicode MS"/>
          <w:b/>
          <w:bCs/>
          <w:color w:val="000000"/>
          <w:szCs w:val="24"/>
          <w:u w:color="000000"/>
          <w:bdr w:val="nil"/>
          <w:lang w:val="es-ES_tradnl" w:eastAsia="es-UY"/>
        </w:rPr>
        <w:tab/>
        <w:t>Ejecución presupuestaria al 31/12/2021</w:t>
      </w:r>
    </w:p>
    <w:p w14:paraId="79D86C3D"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7EBD514C" w14:textId="4B9DDDA0"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El GAP tomó nota del informe del ISM sobre la ejecución presupuestaria al 31 de diciembr</w:t>
      </w:r>
      <w:r w:rsidR="00B15688">
        <w:rPr>
          <w:rFonts w:eastAsia="Arial Unicode MS" w:cs="Arial Unicode MS"/>
          <w:color w:val="000000"/>
          <w:szCs w:val="24"/>
          <w:u w:color="000000"/>
          <w:bdr w:val="nil"/>
          <w:lang w:val="es-ES_tradnl" w:eastAsia="es-UY"/>
        </w:rPr>
        <w:t xml:space="preserve">e de 2021, remitido </w:t>
      </w:r>
      <w:r w:rsidR="008B54E9">
        <w:rPr>
          <w:rFonts w:eastAsia="Arial Unicode MS" w:cs="Arial Unicode MS"/>
          <w:color w:val="000000"/>
          <w:szCs w:val="24"/>
          <w:u w:color="000000"/>
          <w:bdr w:val="nil"/>
          <w:lang w:val="es-ES_tradnl" w:eastAsia="es-UY"/>
        </w:rPr>
        <w:t>el 04 de marzo de 2022</w:t>
      </w:r>
      <w:r w:rsidRPr="00904324">
        <w:rPr>
          <w:rFonts w:eastAsia="Arial Unicode MS" w:cs="Arial Unicode MS"/>
          <w:color w:val="000000"/>
          <w:szCs w:val="24"/>
          <w:u w:color="000000"/>
          <w:bdr w:val="nil"/>
          <w:lang w:val="es-ES_tradnl" w:eastAsia="es-UY"/>
        </w:rPr>
        <w:t xml:space="preserve">, el cual alcanzó el 92,76% del total aprobado para el año 2021, respecto al presupuesto de US$ </w:t>
      </w:r>
      <w:r w:rsidR="00590CEB">
        <w:rPr>
          <w:rFonts w:eastAsia="Arial Unicode MS" w:cs="Arial Unicode MS"/>
          <w:color w:val="000000"/>
          <w:szCs w:val="24"/>
          <w:u w:color="000000"/>
          <w:bdr w:val="nil"/>
          <w:lang w:val="es-ES_tradnl" w:eastAsia="es-UY"/>
        </w:rPr>
        <w:t>449.484</w:t>
      </w:r>
      <w:r w:rsidRPr="00904324">
        <w:rPr>
          <w:rFonts w:eastAsia="Arial Unicode MS" w:cs="Arial Unicode MS"/>
          <w:color w:val="000000"/>
          <w:szCs w:val="24"/>
          <w:u w:color="000000"/>
          <w:bdr w:val="nil"/>
          <w:lang w:val="es-ES_tradnl" w:eastAsia="es-UY"/>
        </w:rPr>
        <w:t xml:space="preserve"> </w:t>
      </w:r>
      <w:r w:rsidRPr="00904324">
        <w:rPr>
          <w:rFonts w:eastAsia="Arial Unicode MS" w:cs="Arial Unicode MS"/>
          <w:b/>
          <w:bCs/>
          <w:color w:val="000000"/>
          <w:szCs w:val="24"/>
          <w:u w:color="000000"/>
          <w:bdr w:val="nil"/>
          <w:lang w:val="es-ES_tradnl" w:eastAsia="es-UY"/>
        </w:rPr>
        <w:t>(Anexo VIII)</w:t>
      </w:r>
      <w:r w:rsidRPr="00904324">
        <w:rPr>
          <w:rFonts w:eastAsia="Arial Unicode MS" w:cs="Arial Unicode MS"/>
          <w:color w:val="000000"/>
          <w:szCs w:val="24"/>
          <w:u w:color="000000"/>
          <w:bdr w:val="nil"/>
          <w:lang w:val="es-ES_tradnl" w:eastAsia="es-UY"/>
        </w:rPr>
        <w:t>.</w:t>
      </w:r>
    </w:p>
    <w:p w14:paraId="19EBEDDA"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B107F7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     </w:t>
      </w:r>
      <w:r w:rsidRPr="00904324">
        <w:rPr>
          <w:rFonts w:eastAsia="Arial Unicode MS" w:cs="Arial Unicode MS"/>
          <w:b/>
          <w:bCs/>
          <w:color w:val="000000"/>
          <w:szCs w:val="24"/>
          <w:u w:color="000000"/>
          <w:bdr w:val="nil"/>
          <w:lang w:val="es-ES_tradnl" w:eastAsia="es-UY"/>
        </w:rPr>
        <w:tab/>
        <w:t>3.3. Situación de las contribuciones de los Estados Partes y ejecución presupuestaria al 30/04/2022</w:t>
      </w:r>
    </w:p>
    <w:p w14:paraId="12F6C5B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 </w:t>
      </w:r>
    </w:p>
    <w:p w14:paraId="200B838D" w14:textId="6CE19FE3"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recibió el informe de las contribuciones de los Estados Partes al ISM al 30 de abril de 2022, remitido </w:t>
      </w:r>
      <w:r w:rsidRPr="00B15688">
        <w:rPr>
          <w:rFonts w:eastAsia="Arial Unicode MS" w:cs="Arial Unicode MS"/>
          <w:color w:val="000000"/>
          <w:szCs w:val="24"/>
          <w:u w:color="000000"/>
          <w:bdr w:val="nil"/>
          <w:lang w:val="es-ES_tradnl" w:eastAsia="es-UY"/>
        </w:rPr>
        <w:t>por las Notas ISM-DAF N°</w:t>
      </w:r>
      <w:r w:rsidR="008B54E9" w:rsidRPr="00B15688">
        <w:rPr>
          <w:rFonts w:eastAsia="Arial Unicode MS" w:cs="Arial Unicode MS"/>
          <w:color w:val="000000"/>
          <w:szCs w:val="24"/>
          <w:u w:color="000000"/>
          <w:bdr w:val="nil"/>
          <w:lang w:val="es-ES_tradnl" w:eastAsia="es-UY"/>
        </w:rPr>
        <w:t>05</w:t>
      </w:r>
      <w:r w:rsidRPr="00B15688">
        <w:rPr>
          <w:rFonts w:eastAsia="Arial Unicode MS" w:cs="Arial Unicode MS"/>
          <w:color w:val="000000"/>
          <w:szCs w:val="24"/>
          <w:u w:color="000000"/>
          <w:bdr w:val="nil"/>
          <w:lang w:val="es-ES_tradnl" w:eastAsia="es-UY"/>
        </w:rPr>
        <w:t xml:space="preserve">/2022, </w:t>
      </w:r>
      <w:r w:rsidR="008B54E9" w:rsidRPr="00B15688">
        <w:rPr>
          <w:rFonts w:eastAsia="Arial Unicode MS" w:cs="Arial Unicode MS"/>
          <w:color w:val="000000"/>
          <w:szCs w:val="24"/>
          <w:u w:color="000000"/>
          <w:bdr w:val="nil"/>
          <w:lang w:val="es-ES_tradnl" w:eastAsia="es-UY"/>
        </w:rPr>
        <w:t xml:space="preserve">de fecha 18 de mayo </w:t>
      </w:r>
      <w:r w:rsidRPr="00B15688">
        <w:rPr>
          <w:rFonts w:eastAsia="Arial Unicode MS" w:cs="Arial Unicode MS"/>
          <w:color w:val="000000"/>
          <w:szCs w:val="24"/>
          <w:u w:color="000000"/>
          <w:bdr w:val="nil"/>
          <w:lang w:val="es-ES_tradnl" w:eastAsia="es-UY"/>
        </w:rPr>
        <w:t xml:space="preserve">de 2022 </w:t>
      </w:r>
      <w:r w:rsidRPr="00B15688">
        <w:rPr>
          <w:rFonts w:eastAsia="Arial Unicode MS" w:cs="Arial Unicode MS"/>
          <w:b/>
          <w:bCs/>
          <w:color w:val="000000"/>
          <w:szCs w:val="24"/>
          <w:u w:color="000000"/>
          <w:bdr w:val="nil"/>
          <w:lang w:val="es-ES_tradnl" w:eastAsia="es-UY"/>
        </w:rPr>
        <w:t>(Anexo IX)</w:t>
      </w:r>
      <w:r w:rsidRPr="00B15688">
        <w:rPr>
          <w:rFonts w:eastAsia="Arial Unicode MS" w:cs="Arial Unicode MS"/>
          <w:color w:val="000000"/>
          <w:szCs w:val="24"/>
          <w:u w:color="000000"/>
          <w:bdr w:val="nil"/>
          <w:lang w:val="es-ES_tradnl" w:eastAsia="es-UY"/>
        </w:rPr>
        <w:t>.</w:t>
      </w:r>
    </w:p>
    <w:p w14:paraId="74C2870B"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65C3B47E" w14:textId="52D60B5B"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tLeast"/>
        <w:jc w:val="both"/>
        <w:rPr>
          <w:rFonts w:eastAsia="Arial Unicode MS" w:cs="Arial Unicode MS"/>
          <w:color w:val="000000"/>
          <w:szCs w:val="24"/>
          <w:u w:color="000000"/>
          <w:bdr w:val="nil"/>
          <w:lang w:val="es-UY" w:eastAsia="es-UY"/>
        </w:rPr>
      </w:pPr>
      <w:r w:rsidRPr="00904324">
        <w:rPr>
          <w:rFonts w:eastAsia="Arial Unicode MS" w:cs="Arial Unicode MS"/>
          <w:color w:val="000000"/>
          <w:szCs w:val="24"/>
          <w:u w:color="000000"/>
          <w:bdr w:val="nil"/>
          <w:lang w:val="es-ES_tradnl" w:eastAsia="es-UY"/>
        </w:rPr>
        <w:t xml:space="preserve">La ejecución presupuestaria al 30 de abril de 2022 alcanzó, en términos relativos, el </w:t>
      </w:r>
      <w:r w:rsidR="002471B7" w:rsidRPr="00B15688">
        <w:rPr>
          <w:rFonts w:eastAsia="Arial Unicode MS" w:cs="Arial Unicode MS"/>
          <w:color w:val="000000"/>
          <w:szCs w:val="24"/>
          <w:u w:color="000000"/>
          <w:bdr w:val="nil"/>
          <w:lang w:val="es-ES_tradnl" w:eastAsia="es-UY"/>
        </w:rPr>
        <w:t xml:space="preserve">22,02 </w:t>
      </w:r>
      <w:r w:rsidRPr="00B15688">
        <w:rPr>
          <w:rFonts w:eastAsia="Arial Unicode MS" w:cs="Arial Unicode MS"/>
          <w:color w:val="000000"/>
          <w:szCs w:val="24"/>
          <w:u w:color="000000"/>
          <w:bdr w:val="nil"/>
          <w:lang w:val="es-ES_tradnl" w:eastAsia="es-UY"/>
        </w:rPr>
        <w:t>%</w:t>
      </w:r>
      <w:r w:rsidRPr="00904324">
        <w:rPr>
          <w:rFonts w:eastAsia="Arial Unicode MS" w:cs="Arial Unicode MS"/>
          <w:color w:val="000000"/>
          <w:szCs w:val="24"/>
          <w:u w:color="000000"/>
          <w:bdr w:val="nil"/>
          <w:lang w:val="es-ES_tradnl" w:eastAsia="es-UY"/>
        </w:rPr>
        <w:t xml:space="preserve"> respecto del presupuesto aprobado para este año. </w:t>
      </w:r>
      <w:r w:rsidRPr="00904324">
        <w:rPr>
          <w:rFonts w:eastAsia="Arial Unicode MS" w:cs="Arial Unicode MS"/>
          <w:color w:val="000000"/>
          <w:szCs w:val="24"/>
          <w:u w:color="000000"/>
          <w:bdr w:val="nil"/>
          <w:lang w:val="es-UY" w:eastAsia="es-UY"/>
        </w:rPr>
        <w:t>Con los aportes recibidos el ISM tiene liquidez de funcionamiento y con los pagos de salario hasta el mes de junio.</w:t>
      </w:r>
    </w:p>
    <w:p w14:paraId="1FF03D9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5E7767FA"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709"/>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3.4. Detalle de los excedentes anuales contables y su utilización </w:t>
      </w:r>
    </w:p>
    <w:p w14:paraId="25DCBC6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 </w:t>
      </w:r>
    </w:p>
    <w:p w14:paraId="2034D2C6" w14:textId="14F8F63A" w:rsidR="00904324" w:rsidRPr="00B15688"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del estado de los recursos excedentes anuales contables del ISM y su utilización al 30 de abril de 2022, de acuerdo a la </w:t>
      </w:r>
      <w:r w:rsidRPr="00B15688">
        <w:rPr>
          <w:rFonts w:eastAsia="Arial Unicode MS" w:cs="Arial Unicode MS"/>
          <w:color w:val="000000"/>
          <w:szCs w:val="24"/>
          <w:u w:color="000000"/>
          <w:bdr w:val="nil"/>
          <w:lang w:val="es-ES_tradnl" w:eastAsia="es-UY"/>
        </w:rPr>
        <w:t>Nota ISM-DAF Nº 0</w:t>
      </w:r>
      <w:r w:rsidR="002471B7" w:rsidRPr="00B15688">
        <w:rPr>
          <w:rFonts w:eastAsia="Arial Unicode MS" w:cs="Arial Unicode MS"/>
          <w:color w:val="000000"/>
          <w:szCs w:val="24"/>
          <w:u w:color="000000"/>
          <w:bdr w:val="nil"/>
          <w:lang w:val="es-ES_tradnl" w:eastAsia="es-UY"/>
        </w:rPr>
        <w:t>5</w:t>
      </w:r>
      <w:r w:rsidRPr="00B15688">
        <w:rPr>
          <w:rFonts w:eastAsia="Arial Unicode MS" w:cs="Arial Unicode MS"/>
          <w:color w:val="000000"/>
          <w:szCs w:val="24"/>
          <w:u w:color="000000"/>
          <w:bdr w:val="nil"/>
          <w:lang w:val="es-ES_tradnl" w:eastAsia="es-UY"/>
        </w:rPr>
        <w:t xml:space="preserve">/21, de fecha </w:t>
      </w:r>
      <w:r w:rsidR="002471B7" w:rsidRPr="00B15688">
        <w:rPr>
          <w:rFonts w:eastAsia="Arial Unicode MS" w:cs="Arial Unicode MS"/>
          <w:color w:val="000000"/>
          <w:szCs w:val="24"/>
          <w:u w:color="000000"/>
          <w:bdr w:val="nil"/>
          <w:lang w:val="es-ES_tradnl" w:eastAsia="es-UY"/>
        </w:rPr>
        <w:t xml:space="preserve">18 de mayo </w:t>
      </w:r>
      <w:r w:rsidRPr="00B15688">
        <w:rPr>
          <w:rFonts w:eastAsia="Arial Unicode MS" w:cs="Arial Unicode MS"/>
          <w:color w:val="000000"/>
          <w:szCs w:val="24"/>
          <w:u w:color="000000"/>
          <w:bdr w:val="nil"/>
          <w:lang w:val="es-ES_tradnl" w:eastAsia="es-UY"/>
        </w:rPr>
        <w:t xml:space="preserve">de 2022 </w:t>
      </w:r>
      <w:r w:rsidRPr="00B15688">
        <w:rPr>
          <w:rFonts w:eastAsia="Arial Unicode MS" w:cs="Arial Unicode MS"/>
          <w:b/>
          <w:bCs/>
          <w:color w:val="000000"/>
          <w:szCs w:val="24"/>
          <w:u w:color="000000"/>
          <w:bdr w:val="nil"/>
          <w:lang w:val="es-ES_tradnl" w:eastAsia="es-UY"/>
        </w:rPr>
        <w:t xml:space="preserve">(Anexo IX). </w:t>
      </w:r>
    </w:p>
    <w:p w14:paraId="2586CC7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highlight w:val="yellow"/>
          <w:u w:color="000000"/>
          <w:bdr w:val="nil"/>
          <w:lang w:val="es-ES_tradnl" w:eastAsia="es-UY"/>
        </w:rPr>
      </w:pPr>
      <w:bookmarkStart w:id="2" w:name="_Hlk104457585"/>
    </w:p>
    <w:p w14:paraId="3F5F0FE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B15688">
        <w:rPr>
          <w:rFonts w:eastAsia="Arial Unicode MS" w:cs="Arial Unicode MS"/>
          <w:color w:val="000000"/>
          <w:szCs w:val="24"/>
          <w:u w:color="000000"/>
          <w:bdr w:val="nil"/>
          <w:lang w:val="es-ES_tradnl" w:eastAsia="es-UY"/>
        </w:rPr>
        <w:t>Asimismo, tomó nota de los aportes realizado por Argentina, Paraguay, correspondiente al 20</w:t>
      </w:r>
      <w:bookmarkEnd w:id="2"/>
      <w:r w:rsidRPr="00B15688">
        <w:rPr>
          <w:rFonts w:eastAsia="Arial Unicode MS" w:cs="Arial Unicode MS"/>
          <w:color w:val="000000"/>
          <w:szCs w:val="24"/>
          <w:u w:color="000000"/>
          <w:bdr w:val="nil"/>
          <w:lang w:val="es-ES_tradnl" w:eastAsia="es-UY"/>
        </w:rPr>
        <w:t>20 y Uruguay lo correspondiente al total de 2021. Al 30 de abril de 2022, el ISM no cuenta con excedentes líquidos disponibles.</w:t>
      </w:r>
    </w:p>
    <w:p w14:paraId="3CF2EC5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4E62698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30772D4C" w14:textId="77777777" w:rsidR="00904324" w:rsidRPr="00904324" w:rsidRDefault="00904324" w:rsidP="00904324">
      <w:pPr>
        <w:widowControl w:val="0"/>
        <w:numPr>
          <w:ilvl w:val="0"/>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INSTITUTO DE POLÍTICAS PÚBLICAS DE DERECHOS HUMANOS (IPPDDHH)</w:t>
      </w:r>
    </w:p>
    <w:p w14:paraId="67117A8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360"/>
        <w:jc w:val="both"/>
        <w:rPr>
          <w:rFonts w:eastAsia="Arial Unicode MS" w:cs="Arial Unicode MS"/>
          <w:b/>
          <w:bCs/>
          <w:color w:val="000000"/>
          <w:szCs w:val="24"/>
          <w:u w:color="000000"/>
          <w:bdr w:val="nil"/>
          <w:lang w:val="es-ES_tradnl" w:eastAsia="es-UY"/>
        </w:rPr>
      </w:pPr>
    </w:p>
    <w:p w14:paraId="24955BB1" w14:textId="77777777" w:rsidR="00904324" w:rsidRPr="00904324" w:rsidRDefault="00904324" w:rsidP="00904324">
      <w:pPr>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Informe de Auditoría de los Estados Financieros correspondientes a los ejercicios anuales finalizados al 31/12/2021</w:t>
      </w:r>
    </w:p>
    <w:p w14:paraId="10EB4AF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84" w:hanging="84"/>
        <w:jc w:val="both"/>
        <w:rPr>
          <w:rFonts w:eastAsia="Arial Unicode MS" w:cs="Arial Unicode MS"/>
          <w:b/>
          <w:bCs/>
          <w:color w:val="000000"/>
          <w:szCs w:val="24"/>
          <w:u w:color="000000"/>
          <w:bdr w:val="nil"/>
          <w:lang w:val="es-ES_tradnl" w:eastAsia="es-UY"/>
        </w:rPr>
      </w:pPr>
    </w:p>
    <w:p w14:paraId="2DA72837" w14:textId="0A23AD6D"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sobre la auditoría externa contable del IPPDDHH al 31 de diciembre de 2021, enviado por Nota </w:t>
      </w:r>
      <w:r w:rsidR="001E3E71">
        <w:rPr>
          <w:rFonts w:eastAsia="Arial Unicode MS" w:cs="Arial Unicode MS"/>
          <w:color w:val="000000"/>
          <w:szCs w:val="24"/>
          <w:u w:color="000000"/>
          <w:bdr w:val="nil"/>
          <w:lang w:val="es-ES_tradnl" w:eastAsia="es-UY"/>
        </w:rPr>
        <w:t>MERCOSUR/</w:t>
      </w:r>
      <w:r w:rsidRPr="00904324">
        <w:rPr>
          <w:rFonts w:eastAsia="Arial Unicode MS" w:cs="Arial Unicode MS"/>
          <w:color w:val="000000"/>
          <w:szCs w:val="24"/>
          <w:u w:color="000000"/>
          <w:bdr w:val="nil"/>
          <w:lang w:val="es-ES_tradnl" w:eastAsia="es-UY"/>
        </w:rPr>
        <w:t>IPPDDHH</w:t>
      </w:r>
      <w:r w:rsidR="001E3E71">
        <w:rPr>
          <w:rFonts w:eastAsia="Arial Unicode MS" w:cs="Arial Unicode MS"/>
          <w:color w:val="000000"/>
          <w:szCs w:val="24"/>
          <w:u w:color="000000"/>
          <w:bdr w:val="nil"/>
          <w:lang w:val="es-ES_tradnl" w:eastAsia="es-UY"/>
        </w:rPr>
        <w:t>/NOTA-S</w:t>
      </w:r>
      <w:r w:rsidRPr="00904324">
        <w:rPr>
          <w:rFonts w:eastAsia="Arial Unicode MS" w:cs="Arial Unicode MS"/>
          <w:color w:val="000000"/>
          <w:szCs w:val="24"/>
          <w:u w:color="000000"/>
          <w:bdr w:val="nil"/>
          <w:lang w:val="es-ES_tradnl" w:eastAsia="es-UY"/>
        </w:rPr>
        <w:t xml:space="preserve"> Nº </w:t>
      </w:r>
      <w:r w:rsidR="001E3E71">
        <w:rPr>
          <w:rFonts w:eastAsia="Arial Unicode MS" w:cs="Arial Unicode MS"/>
          <w:color w:val="000000"/>
          <w:szCs w:val="24"/>
          <w:u w:color="000000"/>
          <w:bdr w:val="nil"/>
          <w:lang w:val="es-ES_tradnl" w:eastAsia="es-UY"/>
        </w:rPr>
        <w:t>130</w:t>
      </w:r>
      <w:r w:rsidRPr="00904324">
        <w:rPr>
          <w:rFonts w:eastAsia="Arial Unicode MS" w:cs="Arial Unicode MS"/>
          <w:color w:val="000000"/>
          <w:szCs w:val="24"/>
          <w:u w:color="000000"/>
          <w:bdr w:val="nil"/>
          <w:lang w:val="es-ES_tradnl" w:eastAsia="es-UY"/>
        </w:rPr>
        <w:t>/2022, de</w:t>
      </w:r>
      <w:r w:rsidR="00610571">
        <w:rPr>
          <w:rFonts w:eastAsia="Arial Unicode MS" w:cs="Arial Unicode MS"/>
          <w:color w:val="000000"/>
          <w:szCs w:val="24"/>
          <w:u w:color="000000"/>
          <w:bdr w:val="nil"/>
          <w:lang w:val="es-ES_tradnl" w:eastAsia="es-UY"/>
        </w:rPr>
        <w:t xml:space="preserve"> fecha </w:t>
      </w:r>
      <w:r w:rsidR="001E3E71">
        <w:rPr>
          <w:rFonts w:eastAsia="Arial Unicode MS" w:cs="Arial Unicode MS"/>
          <w:color w:val="000000"/>
          <w:szCs w:val="24"/>
          <w:u w:color="000000"/>
          <w:bdr w:val="nil"/>
          <w:lang w:val="es-ES_tradnl" w:eastAsia="es-UY"/>
        </w:rPr>
        <w:t xml:space="preserve">11 de febrero de 2022. </w:t>
      </w:r>
    </w:p>
    <w:p w14:paraId="00BE9AF4"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 </w:t>
      </w:r>
    </w:p>
    <w:p w14:paraId="2B4B355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Al respecto, las delegaciones acordaron elevarlos al GMC para su consideración </w:t>
      </w:r>
      <w:r w:rsidRPr="00904324">
        <w:rPr>
          <w:rFonts w:eastAsia="Arial Unicode MS" w:cs="Arial Unicode MS"/>
          <w:b/>
          <w:bCs/>
          <w:color w:val="000000"/>
          <w:szCs w:val="24"/>
          <w:u w:color="000000"/>
          <w:bdr w:val="nil"/>
          <w:lang w:val="es-ES_tradnl" w:eastAsia="es-UY"/>
        </w:rPr>
        <w:t>(Anexo X)</w:t>
      </w:r>
      <w:r w:rsidRPr="00904324">
        <w:rPr>
          <w:rFonts w:eastAsia="Arial Unicode MS" w:cs="Arial Unicode MS"/>
          <w:color w:val="000000"/>
          <w:szCs w:val="24"/>
          <w:u w:color="000000"/>
          <w:bdr w:val="nil"/>
          <w:lang w:val="es-ES_tradnl" w:eastAsia="es-UY"/>
        </w:rPr>
        <w:t>.</w:t>
      </w:r>
    </w:p>
    <w:p w14:paraId="7F4B2FD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2781907"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Ejecución presupuestaria al 31/12/2021</w:t>
      </w:r>
    </w:p>
    <w:p w14:paraId="5464D46B"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84" w:hanging="84"/>
        <w:jc w:val="both"/>
        <w:rPr>
          <w:rFonts w:eastAsia="Arial Unicode MS" w:cs="Arial Unicode MS"/>
          <w:b/>
          <w:bCs/>
          <w:color w:val="000000"/>
          <w:szCs w:val="24"/>
          <w:u w:color="000000"/>
          <w:bdr w:val="nil"/>
          <w:lang w:val="es-ES_tradnl" w:eastAsia="es-UY"/>
        </w:rPr>
      </w:pPr>
    </w:p>
    <w:p w14:paraId="3B35F387" w14:textId="646D1982"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del IPPDDHH sobre la ejecución presupuestaria al 31 de diciembre de 2021, remitido por la nota </w:t>
      </w:r>
      <w:r w:rsidR="00610571">
        <w:rPr>
          <w:rFonts w:eastAsia="Arial Unicode MS" w:cs="Arial Unicode MS"/>
          <w:color w:val="000000"/>
          <w:szCs w:val="24"/>
          <w:u w:color="000000"/>
          <w:bdr w:val="nil"/>
          <w:lang w:val="es-ES_tradnl" w:eastAsia="es-UY"/>
        </w:rPr>
        <w:t>MERCOSUR/</w:t>
      </w:r>
      <w:r w:rsidRPr="00904324">
        <w:rPr>
          <w:rFonts w:eastAsia="Arial Unicode MS" w:cs="Arial Unicode MS"/>
          <w:color w:val="000000"/>
          <w:szCs w:val="24"/>
          <w:u w:color="000000"/>
          <w:bdr w:val="nil"/>
          <w:lang w:val="es-ES_tradnl" w:eastAsia="es-UY"/>
        </w:rPr>
        <w:t>IPPDDHH</w:t>
      </w:r>
      <w:r w:rsidR="00610571">
        <w:rPr>
          <w:rFonts w:eastAsia="Arial Unicode MS" w:cs="Arial Unicode MS"/>
          <w:color w:val="000000"/>
          <w:szCs w:val="24"/>
          <w:u w:color="000000"/>
          <w:bdr w:val="nil"/>
          <w:lang w:val="es-ES_tradnl" w:eastAsia="es-UY"/>
        </w:rPr>
        <w:t>/NOTA-S</w:t>
      </w:r>
      <w:r w:rsidRPr="00904324">
        <w:rPr>
          <w:rFonts w:eastAsia="Arial Unicode MS" w:cs="Arial Unicode MS"/>
          <w:color w:val="000000"/>
          <w:szCs w:val="24"/>
          <w:u w:color="000000"/>
          <w:bdr w:val="nil"/>
          <w:lang w:val="es-ES_tradnl" w:eastAsia="es-UY"/>
        </w:rPr>
        <w:t xml:space="preserve"> Nº </w:t>
      </w:r>
      <w:r w:rsidR="00610571">
        <w:rPr>
          <w:rFonts w:eastAsia="Arial Unicode MS" w:cs="Arial Unicode MS"/>
          <w:color w:val="000000"/>
          <w:szCs w:val="24"/>
          <w:u w:color="000000"/>
          <w:bdr w:val="nil"/>
          <w:lang w:val="es-ES_tradnl" w:eastAsia="es-UY"/>
        </w:rPr>
        <w:t>130</w:t>
      </w:r>
      <w:r w:rsidRPr="00904324">
        <w:rPr>
          <w:rFonts w:eastAsia="Arial Unicode MS" w:cs="Arial Unicode MS"/>
          <w:color w:val="000000"/>
          <w:szCs w:val="24"/>
          <w:u w:color="000000"/>
          <w:bdr w:val="nil"/>
          <w:lang w:val="es-ES_tradnl" w:eastAsia="es-UY"/>
        </w:rPr>
        <w:t xml:space="preserve">/2022, de fecha </w:t>
      </w:r>
      <w:r w:rsidR="00610571">
        <w:rPr>
          <w:rFonts w:eastAsia="Arial Unicode MS" w:cs="Arial Unicode MS"/>
          <w:color w:val="000000"/>
          <w:szCs w:val="24"/>
          <w:u w:color="000000"/>
          <w:bdr w:val="nil"/>
          <w:lang w:val="es-ES_tradnl" w:eastAsia="es-UY"/>
        </w:rPr>
        <w:t xml:space="preserve">11 de febrero de </w:t>
      </w:r>
      <w:r w:rsidRPr="00B15688">
        <w:rPr>
          <w:rFonts w:eastAsia="Arial Unicode MS" w:cs="Arial Unicode MS"/>
          <w:color w:val="000000"/>
          <w:szCs w:val="24"/>
          <w:u w:color="000000"/>
          <w:bdr w:val="nil"/>
          <w:lang w:val="es-ES_tradnl" w:eastAsia="es-UY"/>
        </w:rPr>
        <w:t>2022, el cual alcanzó a US$</w:t>
      </w:r>
      <w:r w:rsidR="00610571" w:rsidRPr="00B15688">
        <w:rPr>
          <w:rFonts w:eastAsia="Arial Unicode MS" w:cs="Arial Unicode MS"/>
          <w:color w:val="000000"/>
          <w:szCs w:val="24"/>
          <w:u w:color="000000"/>
          <w:bdr w:val="nil"/>
          <w:lang w:val="es-ES_tradnl" w:eastAsia="es-UY"/>
        </w:rPr>
        <w:t xml:space="preserve"> 411.931,72</w:t>
      </w:r>
      <w:r w:rsidRPr="00B15688">
        <w:rPr>
          <w:rFonts w:eastAsia="Arial Unicode MS" w:cs="Arial Unicode MS"/>
          <w:color w:val="000000"/>
          <w:szCs w:val="24"/>
          <w:u w:color="000000"/>
          <w:bdr w:val="nil"/>
          <w:lang w:val="es-ES_tradnl" w:eastAsia="es-UY"/>
        </w:rPr>
        <w:t xml:space="preserve">, representando el </w:t>
      </w:r>
      <w:r w:rsidR="00610571" w:rsidRPr="00B15688">
        <w:rPr>
          <w:rFonts w:eastAsia="Arial Unicode MS" w:cs="Arial Unicode MS"/>
          <w:color w:val="000000"/>
          <w:szCs w:val="24"/>
          <w:u w:color="000000"/>
          <w:bdr w:val="nil"/>
          <w:lang w:val="es-ES_tradnl" w:eastAsia="es-UY"/>
        </w:rPr>
        <w:t>89</w:t>
      </w:r>
      <w:r w:rsidRPr="00B15688">
        <w:rPr>
          <w:rFonts w:eastAsia="Arial Unicode MS" w:cs="Arial Unicode MS"/>
          <w:color w:val="000000"/>
          <w:szCs w:val="24"/>
          <w:u w:color="000000"/>
          <w:bdr w:val="nil"/>
          <w:lang w:val="es-ES_tradnl" w:eastAsia="es-UY"/>
        </w:rPr>
        <w:t xml:space="preserve"> % del total aprobado para el año 2021 </w:t>
      </w:r>
      <w:r w:rsidRPr="00B15688">
        <w:rPr>
          <w:rFonts w:eastAsia="Arial Unicode MS" w:cs="Arial Unicode MS"/>
          <w:b/>
          <w:bCs/>
          <w:color w:val="000000"/>
          <w:szCs w:val="24"/>
          <w:u w:color="000000"/>
          <w:bdr w:val="nil"/>
          <w:lang w:val="es-ES_tradnl" w:eastAsia="es-UY"/>
        </w:rPr>
        <w:t>(Anexo X)</w:t>
      </w:r>
      <w:r w:rsidRPr="00B15688">
        <w:rPr>
          <w:rFonts w:eastAsia="Arial Unicode MS" w:cs="Arial Unicode MS"/>
          <w:color w:val="000000"/>
          <w:szCs w:val="24"/>
          <w:u w:color="000000"/>
          <w:bdr w:val="nil"/>
          <w:lang w:val="es-ES_tradnl" w:eastAsia="es-UY"/>
        </w:rPr>
        <w:t>.</w:t>
      </w:r>
    </w:p>
    <w:p w14:paraId="1FCC46AE"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7AC0435F"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Situación de las contribuciones de los Estados Partes y ejecución presupuestaria al 30/04/2022</w:t>
      </w:r>
    </w:p>
    <w:p w14:paraId="3CE57C4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4ADCEDC8" w14:textId="53734806"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del IPPDDHH sobre las contribuciones de los Estados Partes y la ejecución presupuestaria al 30 de abril de 2022, remitido por medio de la Nota </w:t>
      </w:r>
      <w:r w:rsidR="00A83204">
        <w:rPr>
          <w:rFonts w:eastAsia="Arial Unicode MS" w:cs="Arial Unicode MS"/>
          <w:color w:val="000000"/>
          <w:szCs w:val="24"/>
          <w:u w:color="000000"/>
          <w:bdr w:val="nil"/>
          <w:lang w:val="es-ES_tradnl" w:eastAsia="es-UY"/>
        </w:rPr>
        <w:t>MERCOSUR/</w:t>
      </w:r>
      <w:r w:rsidRPr="00904324">
        <w:rPr>
          <w:rFonts w:eastAsia="Arial Unicode MS" w:cs="Arial Unicode MS"/>
          <w:color w:val="000000"/>
          <w:szCs w:val="24"/>
          <w:u w:color="000000"/>
          <w:bdr w:val="nil"/>
          <w:lang w:val="es-ES_tradnl" w:eastAsia="es-UY"/>
        </w:rPr>
        <w:t>IPPDDHH</w:t>
      </w:r>
      <w:r w:rsidR="00A83204">
        <w:rPr>
          <w:rFonts w:eastAsia="Arial Unicode MS" w:cs="Arial Unicode MS"/>
          <w:color w:val="000000"/>
          <w:szCs w:val="24"/>
          <w:u w:color="000000"/>
          <w:bdr w:val="nil"/>
          <w:lang w:val="es-ES_tradnl" w:eastAsia="es-UY"/>
        </w:rPr>
        <w:t>-S</w:t>
      </w:r>
      <w:r w:rsidRPr="00904324">
        <w:rPr>
          <w:rFonts w:eastAsia="Arial Unicode MS" w:cs="Arial Unicode MS"/>
          <w:color w:val="000000"/>
          <w:szCs w:val="24"/>
          <w:u w:color="000000"/>
          <w:bdr w:val="nil"/>
          <w:lang w:val="es-ES_tradnl" w:eastAsia="es-UY"/>
        </w:rPr>
        <w:t xml:space="preserve"> N° </w:t>
      </w:r>
      <w:r w:rsidR="00A83204">
        <w:rPr>
          <w:rFonts w:eastAsia="Arial Unicode MS" w:cs="Arial Unicode MS"/>
          <w:color w:val="000000"/>
          <w:szCs w:val="24"/>
          <w:u w:color="000000"/>
          <w:bdr w:val="nil"/>
          <w:lang w:val="es-ES_tradnl" w:eastAsia="es-UY"/>
        </w:rPr>
        <w:t>189</w:t>
      </w:r>
      <w:r w:rsidRPr="00904324">
        <w:rPr>
          <w:rFonts w:eastAsia="Arial Unicode MS" w:cs="Arial Unicode MS"/>
          <w:color w:val="000000"/>
          <w:szCs w:val="24"/>
          <w:u w:color="000000"/>
          <w:bdr w:val="nil"/>
          <w:lang w:val="es-ES_tradnl" w:eastAsia="es-UY"/>
        </w:rPr>
        <w:t xml:space="preserve">/2022 </w:t>
      </w:r>
      <w:r w:rsidRPr="00904324">
        <w:rPr>
          <w:rFonts w:eastAsia="Arial Unicode MS" w:cs="Arial Unicode MS"/>
          <w:b/>
          <w:bCs/>
          <w:color w:val="000000"/>
          <w:szCs w:val="24"/>
          <w:u w:color="000000"/>
          <w:bdr w:val="nil"/>
          <w:lang w:val="es-ES_tradnl" w:eastAsia="es-UY"/>
        </w:rPr>
        <w:t>(Anexo XI)</w:t>
      </w:r>
      <w:r w:rsidRPr="00904324">
        <w:rPr>
          <w:rFonts w:eastAsia="Arial Unicode MS" w:cs="Arial Unicode MS"/>
          <w:color w:val="000000"/>
          <w:szCs w:val="24"/>
          <w:u w:color="000000"/>
          <w:bdr w:val="nil"/>
          <w:lang w:val="es-ES_tradnl" w:eastAsia="es-UY"/>
        </w:rPr>
        <w:t>.</w:t>
      </w:r>
    </w:p>
    <w:p w14:paraId="189AEA8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A23DA7E" w14:textId="1B1ACD6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La ejecución presupuestaria al 30 de abril de 2022 alcanzó, en términos relativos, al </w:t>
      </w:r>
      <w:r w:rsidR="00A83204" w:rsidRPr="00B15688">
        <w:rPr>
          <w:rFonts w:eastAsia="Arial Unicode MS" w:cs="Arial Unicode MS"/>
          <w:color w:val="000000"/>
          <w:szCs w:val="24"/>
          <w:u w:color="000000"/>
          <w:bdr w:val="nil"/>
          <w:lang w:val="es-ES_tradnl" w:eastAsia="es-UY"/>
        </w:rPr>
        <w:t>23</w:t>
      </w:r>
      <w:r w:rsidRPr="00B15688">
        <w:rPr>
          <w:rFonts w:eastAsia="Arial Unicode MS" w:cs="Arial Unicode MS"/>
          <w:color w:val="000000"/>
          <w:szCs w:val="24"/>
          <w:u w:color="000000"/>
          <w:bdr w:val="nil"/>
          <w:lang w:val="es-ES_tradnl" w:eastAsia="es-UY"/>
        </w:rPr>
        <w:t xml:space="preserve">% respecto al presupuesto de </w:t>
      </w:r>
      <w:bookmarkStart w:id="3" w:name="_Hlk104543406"/>
      <w:r w:rsidRPr="00B15688">
        <w:rPr>
          <w:rFonts w:eastAsia="Arial Unicode MS" w:cs="Arial Unicode MS"/>
          <w:color w:val="000000"/>
          <w:szCs w:val="24"/>
          <w:u w:color="000000"/>
          <w:bdr w:val="nil"/>
          <w:lang w:val="es-ES_tradnl" w:eastAsia="es-UY"/>
        </w:rPr>
        <w:t xml:space="preserve">US$ </w:t>
      </w:r>
      <w:bookmarkEnd w:id="3"/>
      <w:r w:rsidR="00A83204" w:rsidRPr="00B15688">
        <w:rPr>
          <w:rFonts w:eastAsia="Arial Unicode MS" w:cs="Arial Unicode MS"/>
          <w:color w:val="000000"/>
          <w:szCs w:val="24"/>
          <w:u w:color="000000"/>
          <w:bdr w:val="nil"/>
          <w:lang w:val="es-ES_tradnl" w:eastAsia="es-UY"/>
        </w:rPr>
        <w:t>498.122</w:t>
      </w:r>
      <w:r w:rsidR="00B15688" w:rsidRPr="00B15688">
        <w:rPr>
          <w:rFonts w:eastAsia="Arial Unicode MS" w:cs="Arial Unicode MS"/>
          <w:color w:val="000000"/>
          <w:szCs w:val="24"/>
          <w:u w:color="000000"/>
          <w:bdr w:val="nil"/>
          <w:lang w:val="es-ES_tradnl" w:eastAsia="es-UY"/>
        </w:rPr>
        <w:t xml:space="preserve"> aprobados para este año.</w:t>
      </w:r>
    </w:p>
    <w:p w14:paraId="1C81D60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3BFBFA7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B15688">
        <w:rPr>
          <w:rFonts w:eastAsia="Arial Unicode MS" w:cs="Arial Unicode MS"/>
          <w:color w:val="000000"/>
          <w:szCs w:val="24"/>
          <w:u w:color="000000"/>
          <w:bdr w:val="nil"/>
          <w:lang w:val="es-ES_tradnl" w:eastAsia="es-UY"/>
        </w:rPr>
        <w:t>Asimismo, tomó nota del aporte realizado por Argentina y Paraguay correspondiente al pago parcial de 2022.</w:t>
      </w:r>
      <w:r w:rsidRPr="00904324">
        <w:rPr>
          <w:rFonts w:eastAsia="Arial Unicode MS" w:cs="Arial Unicode MS"/>
          <w:color w:val="000000"/>
          <w:szCs w:val="24"/>
          <w:u w:color="000000"/>
          <w:bdr w:val="nil"/>
          <w:lang w:val="es-ES_tradnl" w:eastAsia="es-UY"/>
        </w:rPr>
        <w:t xml:space="preserve"> </w:t>
      </w:r>
    </w:p>
    <w:p w14:paraId="4CC3BA9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0BD9D7CC"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La delegación de Uruguay informó que se encuentra al día con los aportes para el año 2022. </w:t>
      </w:r>
    </w:p>
    <w:p w14:paraId="59C7C41C" w14:textId="5FBB5883" w:rsid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313F7A79"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7405E7D2" w14:textId="77777777" w:rsidR="00904324" w:rsidRPr="00904324" w:rsidRDefault="00904324" w:rsidP="00904324">
      <w:pPr>
        <w:widowControl w:val="0"/>
        <w:numPr>
          <w:ilvl w:val="1"/>
          <w:numId w:val="13"/>
        </w:numPr>
        <w:pBdr>
          <w:top w:val="nil"/>
          <w:left w:val="nil"/>
          <w:bottom w:val="nil"/>
          <w:right w:val="nil"/>
          <w:between w:val="nil"/>
          <w:bar w:val="nil"/>
        </w:pBdr>
        <w:spacing w:after="160" w:line="259" w:lineRule="auto"/>
        <w:ind w:left="426" w:hanging="84"/>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Detalle de los excedentes anuales contables y su utilización </w:t>
      </w:r>
    </w:p>
    <w:p w14:paraId="219B5BED"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602257A8" w14:textId="0AECD9F1" w:rsidR="00904324" w:rsidRPr="00B15688"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 xml:space="preserve">El GAP tomó nota del informe del estado de los recursos excedentes anuales contables del IPPDDHH y su utilización al 30 de abril de 2022, de acuerdo a la </w:t>
      </w:r>
      <w:r w:rsidRPr="00B15688">
        <w:rPr>
          <w:rFonts w:eastAsia="Arial Unicode MS" w:cs="Arial Unicode MS"/>
          <w:color w:val="000000"/>
          <w:szCs w:val="24"/>
          <w:u w:color="000000"/>
          <w:bdr w:val="nil"/>
          <w:lang w:val="es-ES_tradnl" w:eastAsia="es-UY"/>
        </w:rPr>
        <w:t xml:space="preserve">Nota </w:t>
      </w:r>
      <w:r w:rsidR="00A83204" w:rsidRPr="00B15688">
        <w:rPr>
          <w:rFonts w:eastAsia="Arial Unicode MS" w:cs="Arial Unicode MS"/>
          <w:color w:val="000000"/>
          <w:szCs w:val="24"/>
          <w:u w:color="000000"/>
          <w:bdr w:val="nil"/>
          <w:lang w:val="es-ES_tradnl" w:eastAsia="es-UY"/>
        </w:rPr>
        <w:t xml:space="preserve">MERCOSUR/IPPDH/NOTA-S </w:t>
      </w:r>
      <w:r w:rsidRPr="00B15688">
        <w:rPr>
          <w:rFonts w:eastAsia="Arial Unicode MS" w:cs="Arial Unicode MS"/>
          <w:color w:val="000000"/>
          <w:szCs w:val="24"/>
          <w:u w:color="000000"/>
          <w:bdr w:val="nil"/>
          <w:lang w:val="es-ES_tradnl" w:eastAsia="es-UY"/>
        </w:rPr>
        <w:t xml:space="preserve">Nº </w:t>
      </w:r>
      <w:r w:rsidR="00A83204" w:rsidRPr="00B15688">
        <w:rPr>
          <w:rFonts w:eastAsia="Arial Unicode MS" w:cs="Arial Unicode MS"/>
          <w:color w:val="000000"/>
          <w:szCs w:val="24"/>
          <w:u w:color="000000"/>
          <w:bdr w:val="nil"/>
          <w:lang w:val="es-ES_tradnl" w:eastAsia="es-UY"/>
        </w:rPr>
        <w:t>189</w:t>
      </w:r>
      <w:r w:rsidRPr="00B15688">
        <w:rPr>
          <w:rFonts w:eastAsia="Arial Unicode MS" w:cs="Arial Unicode MS"/>
          <w:color w:val="000000"/>
          <w:szCs w:val="24"/>
          <w:u w:color="000000"/>
          <w:bdr w:val="nil"/>
          <w:lang w:val="es-ES_tradnl" w:eastAsia="es-UY"/>
        </w:rPr>
        <w:t xml:space="preserve">/2022 de fecha </w:t>
      </w:r>
      <w:r w:rsidR="00A83204" w:rsidRPr="00B15688">
        <w:rPr>
          <w:rFonts w:eastAsia="Arial Unicode MS" w:cs="Arial Unicode MS"/>
          <w:color w:val="000000"/>
          <w:szCs w:val="24"/>
          <w:u w:color="000000"/>
          <w:bdr w:val="nil"/>
          <w:lang w:val="es-ES_tradnl" w:eastAsia="es-UY"/>
        </w:rPr>
        <w:t xml:space="preserve">16 de mayo </w:t>
      </w:r>
      <w:r w:rsidRPr="00B15688">
        <w:rPr>
          <w:rFonts w:eastAsia="Arial Unicode MS" w:cs="Arial Unicode MS"/>
          <w:color w:val="000000"/>
          <w:szCs w:val="24"/>
          <w:u w:color="000000"/>
          <w:bdr w:val="nil"/>
          <w:lang w:val="es-ES_tradnl" w:eastAsia="es-UY"/>
        </w:rPr>
        <w:t>de 202</w:t>
      </w:r>
      <w:r w:rsidR="00A83204" w:rsidRPr="00B15688">
        <w:rPr>
          <w:rFonts w:eastAsia="Arial Unicode MS" w:cs="Arial Unicode MS"/>
          <w:color w:val="000000"/>
          <w:szCs w:val="24"/>
          <w:u w:color="000000"/>
          <w:bdr w:val="nil"/>
          <w:lang w:val="es-ES_tradnl" w:eastAsia="es-UY"/>
        </w:rPr>
        <w:t>2</w:t>
      </w:r>
      <w:r w:rsidRPr="00B15688">
        <w:rPr>
          <w:rFonts w:eastAsia="Arial Unicode MS" w:cs="Arial Unicode MS"/>
          <w:color w:val="000000"/>
          <w:szCs w:val="24"/>
          <w:u w:color="000000"/>
          <w:bdr w:val="nil"/>
          <w:lang w:val="es-ES_tradnl" w:eastAsia="es-UY"/>
        </w:rPr>
        <w:t xml:space="preserve"> </w:t>
      </w:r>
      <w:r w:rsidRPr="00B15688">
        <w:rPr>
          <w:rFonts w:eastAsia="Arial Unicode MS" w:cs="Arial Unicode MS"/>
          <w:b/>
          <w:bCs/>
          <w:color w:val="000000"/>
          <w:szCs w:val="24"/>
          <w:u w:color="000000"/>
          <w:bdr w:val="nil"/>
          <w:lang w:val="es-ES_tradnl" w:eastAsia="es-UY"/>
        </w:rPr>
        <w:t xml:space="preserve">(Anexo XI). </w:t>
      </w:r>
    </w:p>
    <w:p w14:paraId="2089A997" w14:textId="77777777" w:rsidR="00904324" w:rsidRPr="00B15688"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5C3BCC5D"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r w:rsidRPr="00B15688">
        <w:rPr>
          <w:rFonts w:eastAsia="Arial Unicode MS" w:cs="Arial Unicode MS"/>
          <w:color w:val="000000"/>
          <w:szCs w:val="24"/>
          <w:u w:color="000000"/>
          <w:bdr w:val="nil"/>
          <w:lang w:val="es-ES_tradnl" w:eastAsia="es-UY"/>
        </w:rPr>
        <w:t>Asimismo, el excedente disponible es de US$ 156.371.</w:t>
      </w:r>
    </w:p>
    <w:p w14:paraId="7D1BE2B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31D4E1D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4EE8D5D6"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5. Otros</w:t>
      </w:r>
    </w:p>
    <w:p w14:paraId="55605FB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6D43C0D2"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26"/>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5.1. </w:t>
      </w:r>
      <w:r w:rsidRPr="00904324">
        <w:rPr>
          <w:rFonts w:eastAsia="Arial Unicode MS" w:cs="Arial Unicode MS"/>
          <w:b/>
          <w:bCs/>
          <w:color w:val="000000"/>
          <w:szCs w:val="24"/>
          <w:u w:color="000000"/>
          <w:bdr w:val="nil"/>
          <w:lang w:val="es-ES_tradnl" w:eastAsia="es-UY"/>
        </w:rPr>
        <w:tab/>
        <w:t>Presupuesto para el Sistema de Intercambio de Información del MERCOSUR (SISME)</w:t>
      </w:r>
    </w:p>
    <w:p w14:paraId="5B4928FB"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20B60638" w14:textId="77777777" w:rsidR="00904324" w:rsidRPr="00904324" w:rsidRDefault="00904324" w:rsidP="00904324">
      <w:pPr>
        <w:jc w:val="both"/>
        <w:rPr>
          <w:rFonts w:cs="Arial"/>
          <w:szCs w:val="24"/>
          <w:lang w:val="es-AR"/>
        </w:rPr>
      </w:pPr>
      <w:r w:rsidRPr="00904324">
        <w:rPr>
          <w:rFonts w:cs="Arial"/>
          <w:szCs w:val="24"/>
          <w:lang w:val="es-AR"/>
        </w:rPr>
        <w:t>El GAP acordó aguardar a la próxima reunión de la Comisión Técnica de la reunión preparatoria de la Reunión de Ministros de Interior y Seguridad (RMIS), a los efectos de tomar conocimiento de los resultados que de allí surjan para continuar con el análisis del tema.</w:t>
      </w:r>
    </w:p>
    <w:p w14:paraId="02194E71" w14:textId="77777777" w:rsidR="00904324" w:rsidRPr="00904324" w:rsidRDefault="00904324" w:rsidP="00904324">
      <w:pPr>
        <w:jc w:val="both"/>
        <w:rPr>
          <w:rFonts w:cs="Arial"/>
          <w:szCs w:val="24"/>
          <w:lang w:val="es-AR"/>
        </w:rPr>
      </w:pPr>
    </w:p>
    <w:p w14:paraId="1FE2EC17" w14:textId="77777777" w:rsidR="00904324" w:rsidRPr="00904324" w:rsidRDefault="00904324" w:rsidP="00904324">
      <w:pPr>
        <w:widowControl w:val="0"/>
        <w:jc w:val="both"/>
        <w:rPr>
          <w:rFonts w:cs="Arial"/>
          <w:szCs w:val="24"/>
          <w:lang w:val="es-UY"/>
        </w:rPr>
      </w:pPr>
      <w:r w:rsidRPr="00904324">
        <w:rPr>
          <w:rFonts w:cs="Arial"/>
          <w:szCs w:val="24"/>
          <w:lang w:val="es-UY"/>
        </w:rPr>
        <w:t>El tema continúa en agenda.</w:t>
      </w:r>
    </w:p>
    <w:p w14:paraId="5F87FA2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426"/>
        <w:jc w:val="both"/>
        <w:rPr>
          <w:rFonts w:eastAsia="Arial Unicode MS" w:cs="Arial Unicode MS"/>
          <w:b/>
          <w:bCs/>
          <w:color w:val="000000"/>
          <w:szCs w:val="24"/>
          <w:u w:color="000000"/>
          <w:bdr w:val="nil"/>
          <w:lang w:val="es-ES_tradnl" w:eastAsia="es-UY"/>
        </w:rPr>
      </w:pPr>
    </w:p>
    <w:p w14:paraId="7E95C705"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ind w:left="567" w:hanging="141"/>
        <w:jc w:val="both"/>
        <w:rPr>
          <w:rFonts w:eastAsia="Calibri" w:cs="Arial Unicode MS"/>
          <w:b/>
          <w:bCs/>
          <w:color w:val="000000"/>
          <w:szCs w:val="24"/>
          <w:u w:color="000000"/>
          <w:lang w:val="es-ES_tradnl" w:eastAsia="en-US"/>
        </w:rPr>
      </w:pPr>
      <w:r w:rsidRPr="00904324">
        <w:rPr>
          <w:rFonts w:eastAsia="Arial Unicode MS" w:cs="Arial Unicode MS"/>
          <w:b/>
          <w:bCs/>
          <w:color w:val="000000"/>
          <w:szCs w:val="24"/>
          <w:u w:color="000000"/>
          <w:bdr w:val="nil"/>
          <w:lang w:val="es-ES_tradnl" w:eastAsia="es-UY"/>
        </w:rPr>
        <w:t xml:space="preserve">5.2. </w:t>
      </w:r>
      <w:r w:rsidRPr="00904324">
        <w:rPr>
          <w:rFonts w:eastAsia="Arial Unicode MS" w:cs="Arial Unicode MS"/>
          <w:b/>
          <w:bCs/>
          <w:color w:val="000000"/>
          <w:szCs w:val="24"/>
          <w:u w:color="000000"/>
          <w:bdr w:val="nil"/>
          <w:lang w:val="es-ES_tradnl" w:eastAsia="es-UY"/>
        </w:rPr>
        <w:tab/>
      </w:r>
      <w:r w:rsidRPr="00904324">
        <w:rPr>
          <w:rFonts w:eastAsia="Calibri" w:cs="Arial Unicode MS"/>
          <w:b/>
          <w:bCs/>
          <w:color w:val="000000"/>
          <w:szCs w:val="24"/>
          <w:u w:color="000000"/>
          <w:lang w:val="es-ES_tradnl" w:eastAsia="en-US"/>
        </w:rPr>
        <w:t>Destino del saldo remanente del proyecto de Cooperación “Derecho a la libre Movilidad en el MERCOSUR” (Cooperación MERCOSUR-OIM).</w:t>
      </w:r>
    </w:p>
    <w:p w14:paraId="530104E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426"/>
        <w:jc w:val="both"/>
        <w:rPr>
          <w:rFonts w:eastAsia="Arial Unicode MS" w:cs="Arial Unicode MS"/>
          <w:b/>
          <w:bCs/>
          <w:color w:val="000000"/>
          <w:szCs w:val="24"/>
          <w:u w:color="000000"/>
          <w:bdr w:val="nil"/>
          <w:lang w:val="es-ES_tradnl" w:eastAsia="es-UY"/>
        </w:rPr>
      </w:pPr>
    </w:p>
    <w:p w14:paraId="6924DB2A"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eastAsia="Arial Unicode MS" w:cs="Arial Unicode MS"/>
          <w:color w:val="000000"/>
          <w:szCs w:val="24"/>
          <w:u w:color="000000"/>
          <w:lang w:val="es-ES_tradnl" w:eastAsia="es-UY"/>
        </w:rPr>
      </w:pPr>
      <w:r w:rsidRPr="00904324">
        <w:rPr>
          <w:rFonts w:eastAsia="Arial Unicode MS" w:cs="Arial Unicode MS"/>
          <w:color w:val="000000"/>
          <w:szCs w:val="24"/>
          <w:u w:color="000000"/>
          <w:lang w:val="es-ES_tradnl" w:eastAsia="es-UY"/>
        </w:rPr>
        <w:t xml:space="preserve">Al respecto, el GAP, a la luz del artículo 5 de la Resolución GMC Nº 48/17, consideró que corresponde distribuir dicho excedente de acuerdo a las proporciones oportunamente consensuadas en el GAP, en su XLVIII reunión ordinaria, de marzo de 2018 y aprobadas por el GMC en su L Reunión Extraordinaria. </w:t>
      </w:r>
    </w:p>
    <w:p w14:paraId="45F8D9A3"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eastAsia="Arial Unicode MS" w:cs="Arial Unicode MS"/>
          <w:color w:val="000000"/>
          <w:szCs w:val="24"/>
          <w:u w:color="000000"/>
          <w:lang w:val="es-UY" w:eastAsia="es-UY"/>
        </w:rPr>
      </w:pPr>
    </w:p>
    <w:p w14:paraId="76C213F5"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eastAsia="Arial Unicode MS" w:cs="Arial Unicode MS"/>
          <w:color w:val="000000"/>
          <w:szCs w:val="24"/>
          <w:u w:color="000000"/>
          <w:lang w:val="es-UY" w:eastAsia="es-UY"/>
        </w:rPr>
      </w:pPr>
      <w:r w:rsidRPr="00904324">
        <w:rPr>
          <w:rFonts w:eastAsia="Arial Unicode MS" w:cs="Arial Unicode MS"/>
          <w:color w:val="000000"/>
          <w:szCs w:val="24"/>
          <w:u w:color="000000"/>
          <w:lang w:val="es-ES_tradnl" w:eastAsia="es-UY"/>
        </w:rPr>
        <w:t>En tal sentido, corresponderían las siguientes proporciones del citado monto: Argentina, 30,29% (U$S 2.361,10); Brasil, 39,42% (U$S 3.072,79); Paraguay, 12,11% (U$S 943,98) y Uruguay, 18,18% (U$S 1.417,13), para la distribución de los excedentes del Alto Representante General del MERCOSUR (ARGM).</w:t>
      </w:r>
    </w:p>
    <w:p w14:paraId="0E84A4BA"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eastAsia="Arial Unicode MS" w:cs="Arial Unicode MS"/>
          <w:color w:val="000000"/>
          <w:szCs w:val="24"/>
          <w:u w:color="000000"/>
          <w:lang w:val="es-UY" w:eastAsia="es-UY"/>
        </w:rPr>
      </w:pPr>
    </w:p>
    <w:p w14:paraId="11B03DD4" w14:textId="0E13720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jc w:val="both"/>
        <w:rPr>
          <w:rFonts w:eastAsia="Arial Unicode MS" w:cs="Arial Unicode MS"/>
          <w:color w:val="000000"/>
          <w:szCs w:val="24"/>
          <w:u w:color="000000"/>
          <w:lang w:val="es-UY" w:eastAsia="es-UY"/>
        </w:rPr>
      </w:pPr>
      <w:r w:rsidRPr="00904324">
        <w:rPr>
          <w:rFonts w:eastAsia="Arial Unicode MS" w:cs="Arial Unicode MS"/>
          <w:color w:val="000000"/>
          <w:szCs w:val="24"/>
          <w:u w:color="000000"/>
          <w:lang w:val="es-ES_tradnl" w:eastAsia="es-UY"/>
        </w:rPr>
        <w:t>En ese sentido, el GAP solicita a las delegaciones que informen por nota a cuál o cuáles órganos</w:t>
      </w:r>
      <w:r w:rsidR="00B15688">
        <w:rPr>
          <w:rFonts w:eastAsia="Arial Unicode MS" w:cs="Arial Unicode MS"/>
          <w:color w:val="000000"/>
          <w:szCs w:val="24"/>
          <w:u w:color="000000"/>
          <w:lang w:val="es-ES_tradnl" w:eastAsia="es-UY"/>
        </w:rPr>
        <w:t xml:space="preserve"> o instituto serán imputados eso</w:t>
      </w:r>
      <w:r w:rsidRPr="00904324">
        <w:rPr>
          <w:rFonts w:eastAsia="Arial Unicode MS" w:cs="Arial Unicode MS"/>
          <w:color w:val="000000"/>
          <w:szCs w:val="24"/>
          <w:u w:color="000000"/>
          <w:lang w:val="es-ES_tradnl" w:eastAsia="es-UY"/>
        </w:rPr>
        <w:t>s excedentes.</w:t>
      </w:r>
    </w:p>
    <w:p w14:paraId="29B45EC0"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p>
    <w:p w14:paraId="07A3A73F" w14:textId="77777777" w:rsidR="00904324" w:rsidRPr="00904324" w:rsidRDefault="00904324" w:rsidP="00904324">
      <w:pPr>
        <w:pBdr>
          <w:top w:val="nil"/>
          <w:left w:val="nil"/>
          <w:bottom w:val="nil"/>
          <w:right w:val="nil"/>
          <w:between w:val="nil"/>
          <w:bar w:val="nil"/>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134" w:hanging="567"/>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 xml:space="preserve">5.3. </w:t>
      </w:r>
      <w:r w:rsidRPr="00904324">
        <w:rPr>
          <w:rFonts w:eastAsia="Arial Unicode MS" w:cs="Arial Unicode MS"/>
          <w:b/>
          <w:bCs/>
          <w:color w:val="000000"/>
          <w:szCs w:val="24"/>
          <w:u w:color="000000"/>
          <w:bdr w:val="nil"/>
          <w:lang w:val="es-ES_tradnl" w:eastAsia="es-UY"/>
        </w:rPr>
        <w:tab/>
        <w:t xml:space="preserve">Sistema de Administración y Contabilidad </w:t>
      </w:r>
    </w:p>
    <w:p w14:paraId="1BCB45F7"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 w:eastAsia="es-UY"/>
        </w:rPr>
      </w:pPr>
    </w:p>
    <w:p w14:paraId="26782D6E"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 w:eastAsia="es-UY"/>
        </w:rPr>
      </w:pPr>
      <w:r w:rsidRPr="00904324">
        <w:rPr>
          <w:rFonts w:eastAsia="Arial Unicode MS" w:cs="Arial Unicode MS"/>
          <w:color w:val="000000"/>
          <w:szCs w:val="24"/>
          <w:u w:color="000000"/>
          <w:bdr w:val="nil"/>
          <w:lang w:val="es-ES" w:eastAsia="es-UY"/>
        </w:rPr>
        <w:t xml:space="preserve">La PPTP presentó la propuesta de proyecto del Sistema de Procedimientos Administrativos, Contable - Financiero para los Órganos con Presupuesto Propio, </w:t>
      </w:r>
      <w:r w:rsidRPr="00904324">
        <w:rPr>
          <w:rFonts w:eastAsia="Arial Unicode MS" w:cs="Arial Unicode MS"/>
          <w:b/>
          <w:bCs/>
          <w:color w:val="000000"/>
          <w:szCs w:val="24"/>
          <w:u w:color="000000"/>
          <w:bdr w:val="nil"/>
          <w:lang w:val="es-ES" w:eastAsia="es-UY"/>
        </w:rPr>
        <w:t>Anexo XII</w:t>
      </w:r>
      <w:r w:rsidRPr="00904324">
        <w:rPr>
          <w:rFonts w:eastAsia="Arial Unicode MS" w:cs="Arial Unicode MS"/>
          <w:color w:val="000000"/>
          <w:szCs w:val="24"/>
          <w:u w:color="000000"/>
          <w:bdr w:val="nil"/>
          <w:lang w:val="es-ES" w:eastAsia="es-UY"/>
        </w:rPr>
        <w:t>.</w:t>
      </w:r>
    </w:p>
    <w:p w14:paraId="6B73A78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 w:eastAsia="es-UY"/>
        </w:rPr>
      </w:pPr>
    </w:p>
    <w:p w14:paraId="4EEEECB0" w14:textId="28AC45CC"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 w:eastAsia="es-UY"/>
        </w:rPr>
      </w:pPr>
      <w:r w:rsidRPr="00904324">
        <w:rPr>
          <w:rFonts w:eastAsia="Arial Unicode MS" w:cs="Arial Unicode MS"/>
          <w:color w:val="000000"/>
          <w:szCs w:val="24"/>
          <w:u w:color="000000"/>
          <w:bdr w:val="nil"/>
          <w:lang w:val="es-ES" w:eastAsia="es-UY"/>
        </w:rPr>
        <w:t xml:space="preserve">Las delegaciones agradecieron e informaron que analizarán el borrador del proyecto presentado teniendo como base la adecuación de todos los órganos al sistema administrativo contable de acuerdo con lo instruido por el GMC Extraordinario de diciembre del 2021 y harán los comentarios pertinentes en la próxima reunión. </w:t>
      </w:r>
    </w:p>
    <w:p w14:paraId="3EFB0583"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 w:eastAsia="es-UY"/>
        </w:rPr>
      </w:pPr>
    </w:p>
    <w:p w14:paraId="3F0F49CF"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firstLine="426"/>
        <w:jc w:val="both"/>
        <w:rPr>
          <w:rFonts w:eastAsia="Arial Unicode MS" w:cs="Arial Unicode MS"/>
          <w:b/>
          <w:bCs/>
          <w:color w:val="000000"/>
          <w:szCs w:val="24"/>
          <w:u w:color="000000"/>
          <w:bdr w:val="nil"/>
          <w:lang w:val="es-ES_tradnl" w:eastAsia="es-UY"/>
        </w:rPr>
      </w:pPr>
    </w:p>
    <w:p w14:paraId="488F4E29" w14:textId="77777777" w:rsidR="00904324" w:rsidRPr="00904324" w:rsidRDefault="00904324" w:rsidP="00904324">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PRÓXIMA REUNIÓN</w:t>
      </w:r>
    </w:p>
    <w:p w14:paraId="3CB64B11"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p>
    <w:p w14:paraId="386AB2A7"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La próxima Reunión Ordinaria del GAP será convocada oportunamente por la PPT.</w:t>
      </w:r>
    </w:p>
    <w:p w14:paraId="70548496"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p>
    <w:p w14:paraId="756F591D"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p>
    <w:p w14:paraId="4BBA99A8"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r w:rsidRPr="00904324">
        <w:rPr>
          <w:rFonts w:eastAsia="Arial Unicode MS" w:cs="Arial Unicode MS"/>
          <w:b/>
          <w:bCs/>
          <w:color w:val="000000"/>
          <w:szCs w:val="24"/>
          <w:u w:color="000000"/>
          <w:bdr w:val="nil"/>
          <w:lang w:val="es-ES_tradnl" w:eastAsia="es-UY"/>
        </w:rPr>
        <w:t>ANEXOS:</w:t>
      </w:r>
    </w:p>
    <w:p w14:paraId="50A5A011"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b/>
          <w:bCs/>
          <w:color w:val="000000"/>
          <w:szCs w:val="24"/>
          <w:u w:color="000000"/>
          <w:bdr w:val="nil"/>
          <w:lang w:val="es-ES_tradnl" w:eastAsia="es-UY"/>
        </w:rPr>
      </w:pPr>
    </w:p>
    <w:p w14:paraId="7CFA8470" w14:textId="77777777" w:rsidR="00904324" w:rsidRPr="00904324" w:rsidRDefault="00904324" w:rsidP="00904324">
      <w:pPr>
        <w:pBdr>
          <w:top w:val="nil"/>
          <w:left w:val="nil"/>
          <w:bottom w:val="nil"/>
          <w:right w:val="nil"/>
          <w:between w:val="nil"/>
          <w:bar w:val="nil"/>
        </w:pBdr>
        <w:tabs>
          <w:tab w:val="center" w:pos="4252"/>
          <w:tab w:val="right" w:pos="8478"/>
          <w:tab w:val="left" w:pos="8496"/>
          <w:tab w:val="left" w:pos="8520"/>
        </w:tabs>
        <w:jc w:val="both"/>
        <w:rPr>
          <w:rFonts w:eastAsia="Arial Unicode MS" w:cs="Arial Unicode MS"/>
          <w:color w:val="000000"/>
          <w:szCs w:val="24"/>
          <w:u w:color="000000"/>
          <w:bdr w:val="nil"/>
          <w:lang w:val="es-ES_tradnl" w:eastAsia="es-UY"/>
        </w:rPr>
      </w:pPr>
      <w:r w:rsidRPr="00904324">
        <w:rPr>
          <w:rFonts w:eastAsia="Arial Unicode MS" w:cs="Arial Unicode MS"/>
          <w:color w:val="000000"/>
          <w:szCs w:val="24"/>
          <w:u w:color="000000"/>
          <w:bdr w:val="nil"/>
          <w:lang w:val="es-ES_tradnl" w:eastAsia="es-UY"/>
        </w:rPr>
        <w:t>Los Anexos que forman parte de la presente Acta son los siguientes:</w:t>
      </w:r>
    </w:p>
    <w:p w14:paraId="31B7BBD8" w14:textId="77777777" w:rsidR="00904324" w:rsidRPr="00904324" w:rsidRDefault="00904324" w:rsidP="00904324">
      <w:pPr>
        <w:pBdr>
          <w:top w:val="nil"/>
          <w:left w:val="nil"/>
          <w:bottom w:val="nil"/>
          <w:right w:val="nil"/>
          <w:between w:val="nil"/>
          <w:bar w:val="nil"/>
        </w:pBdr>
        <w:tabs>
          <w:tab w:val="center" w:pos="4819"/>
          <w:tab w:val="right" w:pos="8478"/>
          <w:tab w:val="left" w:pos="8496"/>
          <w:tab w:val="left" w:pos="8520"/>
        </w:tabs>
        <w:jc w:val="both"/>
        <w:rPr>
          <w:rFonts w:eastAsia="Arial Unicode MS" w:cs="Arial Unicode MS"/>
          <w:color w:val="FF0000"/>
          <w:szCs w:val="24"/>
          <w:u w:color="FF0000"/>
          <w:bdr w:val="nil"/>
          <w:lang w:val="es-ES_tradnl" w:eastAsia="es-UY"/>
        </w:rPr>
      </w:pPr>
    </w:p>
    <w:tbl>
      <w:tblPr>
        <w:tblStyle w:val="TableNormal"/>
        <w:tblW w:w="929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0"/>
        <w:gridCol w:w="7689"/>
      </w:tblGrid>
      <w:tr w:rsidR="00904324" w:rsidRPr="00904324" w14:paraId="7A5C131A"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E0A62"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val="pt-PT" w:eastAsia="es-UY"/>
              </w:rPr>
              <w:t>Anexo 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1454A"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val="pt-PT" w:eastAsia="es-UY"/>
              </w:rPr>
            </w:pPr>
            <w:r w:rsidRPr="00904324">
              <w:rPr>
                <w:rFonts w:cs="Arial Unicode MS"/>
                <w:color w:val="000000"/>
                <w:szCs w:val="24"/>
                <w:u w:color="000000"/>
                <w:lang w:eastAsia="es-UY"/>
              </w:rPr>
              <w:t>Lista de Participantes</w:t>
            </w:r>
          </w:p>
        </w:tc>
      </w:tr>
      <w:tr w:rsidR="00904324" w:rsidRPr="00904324" w14:paraId="2FFB3AFF"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5C9E0"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lastRenderedPageBreak/>
              <w:t>Anexo II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E72EA"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val="pt-PT" w:eastAsia="es-UY"/>
              </w:rPr>
            </w:pPr>
            <w:r w:rsidRPr="00904324">
              <w:rPr>
                <w:rFonts w:cs="Arial Unicode MS"/>
                <w:color w:val="000000"/>
                <w:szCs w:val="24"/>
                <w:u w:color="000000"/>
                <w:lang w:eastAsia="es-UY"/>
              </w:rPr>
              <w:t>Agenda</w:t>
            </w:r>
          </w:p>
        </w:tc>
      </w:tr>
      <w:tr w:rsidR="00904324" w:rsidRPr="00904324" w14:paraId="496255E2"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3271F"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III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0ABF8"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val="pt-PT" w:eastAsia="es-UY"/>
              </w:rPr>
            </w:pPr>
            <w:r w:rsidRPr="00904324">
              <w:rPr>
                <w:rFonts w:cs="Arial Unicode MS"/>
                <w:color w:val="000000"/>
                <w:szCs w:val="24"/>
                <w:u w:color="000000"/>
                <w:lang w:eastAsia="es-UY"/>
              </w:rPr>
              <w:t>Resumen del Acta</w:t>
            </w:r>
          </w:p>
        </w:tc>
      </w:tr>
      <w:tr w:rsidR="00904324" w:rsidRPr="00AB408A" w14:paraId="205B160B"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5A4A1" w14:textId="77777777" w:rsidR="00904324" w:rsidRPr="00A42A1E" w:rsidRDefault="00904324" w:rsidP="00904324">
            <w:pPr>
              <w:tabs>
                <w:tab w:val="left" w:pos="708"/>
                <w:tab w:val="left" w:pos="1416"/>
                <w:tab w:val="left" w:pos="1440"/>
              </w:tabs>
              <w:spacing w:line="276" w:lineRule="auto"/>
              <w:jc w:val="both"/>
              <w:rPr>
                <w:rFonts w:ascii="Times New Roman" w:hAnsi="Times New Roman" w:cs="Arial Unicode MS"/>
                <w:color w:val="000000"/>
                <w:szCs w:val="24"/>
                <w:u w:color="000000"/>
                <w:lang w:val="es-MX" w:eastAsia="es-UY"/>
              </w:rPr>
            </w:pPr>
            <w:r w:rsidRPr="00A42A1E">
              <w:rPr>
                <w:rFonts w:cs="Arial Unicode MS"/>
                <w:b/>
                <w:bCs/>
                <w:color w:val="000000"/>
                <w:szCs w:val="24"/>
                <w:u w:color="000000"/>
                <w:lang w:val="es-MX" w:eastAsia="es-UY"/>
              </w:rPr>
              <w:t>Anexo IV</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930D" w14:textId="77777777" w:rsidR="00904324" w:rsidRPr="00A42A1E"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ascii="Times New Roman" w:hAnsi="Times New Roman" w:cs="Arial Unicode MS"/>
                <w:color w:val="000000"/>
                <w:szCs w:val="24"/>
                <w:u w:color="000000"/>
                <w:lang w:val="es-MX" w:eastAsia="es-UY"/>
              </w:rPr>
            </w:pPr>
            <w:r w:rsidRPr="00A42A1E">
              <w:rPr>
                <w:rFonts w:cs="Arial Unicode MS"/>
                <w:color w:val="000000"/>
                <w:szCs w:val="24"/>
                <w:u w:color="000000"/>
                <w:lang w:val="es-MX" w:eastAsia="es-UY"/>
              </w:rPr>
              <w:t>Informe de Auditoría de la SM</w:t>
            </w:r>
          </w:p>
        </w:tc>
      </w:tr>
      <w:tr w:rsidR="00904324" w:rsidRPr="00AB408A" w14:paraId="647A4D85"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95FF0"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V</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26004"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904324">
              <w:rPr>
                <w:rFonts w:cs="Arial Unicode MS"/>
                <w:color w:val="000000"/>
                <w:szCs w:val="24"/>
                <w:u w:color="000000"/>
                <w:lang w:eastAsia="es-UY"/>
              </w:rPr>
              <w:t xml:space="preserve">Informe y ejecuciones presupuestarias de la SM </w:t>
            </w:r>
          </w:p>
        </w:tc>
      </w:tr>
      <w:tr w:rsidR="00904324" w:rsidRPr="00AB408A" w14:paraId="0A805475"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DFE0"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VI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782D"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904324">
              <w:rPr>
                <w:rFonts w:cs="Arial Unicode MS"/>
                <w:color w:val="000000"/>
                <w:szCs w:val="24"/>
                <w:u w:color="000000"/>
                <w:lang w:eastAsia="es-UY"/>
              </w:rPr>
              <w:t>Informe de Auditoría de la ST</w:t>
            </w:r>
          </w:p>
        </w:tc>
      </w:tr>
      <w:tr w:rsidR="00904324" w:rsidRPr="00AB408A" w14:paraId="5271B8B7"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B496"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VII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0E584"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904324">
              <w:rPr>
                <w:rFonts w:cs="Arial Unicode MS"/>
                <w:color w:val="000000"/>
                <w:szCs w:val="24"/>
                <w:u w:color="000000"/>
                <w:lang w:eastAsia="es-UY"/>
              </w:rPr>
              <w:t>Ejecuciones presupuestarias de la ST</w:t>
            </w:r>
          </w:p>
        </w:tc>
      </w:tr>
      <w:tr w:rsidR="00904324" w:rsidRPr="00AB408A" w14:paraId="24A8EB14"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8346C"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VIII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FFB4F"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904324">
              <w:rPr>
                <w:rFonts w:cs="Arial Unicode MS"/>
                <w:color w:val="000000"/>
                <w:szCs w:val="24"/>
                <w:u w:color="000000"/>
                <w:lang w:eastAsia="es-UY"/>
              </w:rPr>
              <w:t>Informe de Auditoría del ISM</w:t>
            </w:r>
          </w:p>
        </w:tc>
      </w:tr>
      <w:tr w:rsidR="00904324" w:rsidRPr="00904324" w14:paraId="1D0A126A"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2EF6"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IX</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98543"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val="pt-PT" w:eastAsia="es-UY"/>
              </w:rPr>
            </w:pPr>
            <w:r w:rsidRPr="00904324">
              <w:rPr>
                <w:rFonts w:cs="Arial Unicode MS"/>
                <w:color w:val="000000"/>
                <w:szCs w:val="24"/>
                <w:u w:color="000000"/>
                <w:lang w:eastAsia="es-UY"/>
              </w:rPr>
              <w:t>Ejecuciones presupuestarias del ISM</w:t>
            </w:r>
          </w:p>
        </w:tc>
      </w:tr>
      <w:tr w:rsidR="00904324" w:rsidRPr="00AB408A" w14:paraId="6384D76A"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3364" w14:textId="77777777" w:rsidR="00904324" w:rsidRPr="00904324" w:rsidRDefault="00904324" w:rsidP="00904324">
            <w:pPr>
              <w:tabs>
                <w:tab w:val="left" w:pos="708"/>
                <w:tab w:val="left" w:pos="1416"/>
                <w:tab w:val="left" w:pos="1440"/>
              </w:tabs>
              <w:spacing w:line="276" w:lineRule="auto"/>
              <w:jc w:val="both"/>
              <w:rPr>
                <w:rFonts w:ascii="Times New Roman" w:hAnsi="Times New Roman" w:cs="Arial Unicode MS"/>
                <w:color w:val="000000"/>
                <w:szCs w:val="24"/>
                <w:u w:color="000000"/>
                <w:lang w:val="en-US" w:eastAsia="es-UY"/>
              </w:rPr>
            </w:pPr>
            <w:proofErr w:type="spellStart"/>
            <w:r w:rsidRPr="00904324">
              <w:rPr>
                <w:rFonts w:cs="Arial Unicode MS"/>
                <w:b/>
                <w:bCs/>
                <w:color w:val="000000"/>
                <w:szCs w:val="24"/>
                <w:u w:color="000000"/>
                <w:lang w:val="en-US" w:eastAsia="es-UY"/>
              </w:rPr>
              <w:t>Anexo</w:t>
            </w:r>
            <w:proofErr w:type="spellEnd"/>
            <w:r w:rsidRPr="00904324">
              <w:rPr>
                <w:rFonts w:cs="Arial Unicode MS"/>
                <w:b/>
                <w:bCs/>
                <w:color w:val="000000"/>
                <w:szCs w:val="24"/>
                <w:u w:color="000000"/>
                <w:lang w:val="en-US" w:eastAsia="es-UY"/>
              </w:rPr>
              <w:t xml:space="preserve"> X</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56B9" w14:textId="77777777" w:rsidR="00904324" w:rsidRPr="00AB408A"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ascii="Times New Roman" w:hAnsi="Times New Roman" w:cs="Arial Unicode MS"/>
                <w:color w:val="000000"/>
                <w:szCs w:val="24"/>
                <w:u w:color="000000"/>
                <w:lang w:val="es-AR" w:eastAsia="es-UY"/>
              </w:rPr>
            </w:pPr>
            <w:r w:rsidRPr="00904324">
              <w:rPr>
                <w:rFonts w:cs="Arial Unicode MS"/>
                <w:color w:val="000000"/>
                <w:szCs w:val="24"/>
                <w:u w:color="000000"/>
                <w:lang w:eastAsia="es-UY"/>
              </w:rPr>
              <w:t>Informes de Auditoría del IPPDDHH</w:t>
            </w:r>
          </w:p>
        </w:tc>
      </w:tr>
      <w:tr w:rsidR="00904324" w:rsidRPr="00AB408A" w14:paraId="00515239"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8E009" w14:textId="77777777" w:rsidR="00904324" w:rsidRPr="00904324" w:rsidRDefault="00904324" w:rsidP="00904324">
            <w:pPr>
              <w:tabs>
                <w:tab w:val="left" w:pos="708"/>
                <w:tab w:val="left" w:pos="1416"/>
                <w:tab w:val="left" w:pos="1440"/>
              </w:tabs>
              <w:spacing w:line="276" w:lineRule="auto"/>
              <w:jc w:val="both"/>
              <w:rPr>
                <w:rFonts w:cs="Arial Unicode MS"/>
                <w:color w:val="000000"/>
                <w:szCs w:val="24"/>
                <w:u w:color="000000"/>
                <w:lang w:val="pt-PT" w:eastAsia="es-UY"/>
              </w:rPr>
            </w:pPr>
            <w:r w:rsidRPr="00904324">
              <w:rPr>
                <w:rFonts w:cs="Arial Unicode MS"/>
                <w:b/>
                <w:bCs/>
                <w:color w:val="000000"/>
                <w:szCs w:val="24"/>
                <w:u w:color="000000"/>
                <w:lang w:eastAsia="es-UY"/>
              </w:rPr>
              <w:t>Anexo XI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7B400" w14:textId="77777777" w:rsidR="00904324" w:rsidRPr="00904324" w:rsidRDefault="00904324" w:rsidP="00904324">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904324">
              <w:rPr>
                <w:rFonts w:cs="Arial Unicode MS"/>
                <w:color w:val="000000"/>
                <w:szCs w:val="24"/>
                <w:u w:color="000000"/>
                <w:lang w:eastAsia="es-UY"/>
              </w:rPr>
              <w:t xml:space="preserve">Informe y ejecuciones presupuestarias del IPPDDHH </w:t>
            </w:r>
          </w:p>
        </w:tc>
      </w:tr>
      <w:tr w:rsidR="00904324" w:rsidRPr="00AB408A" w14:paraId="1A6B762B" w14:textId="77777777" w:rsidTr="00AB408A">
        <w:trPr>
          <w:trHeight w:val="362"/>
        </w:trPr>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4BD4B" w14:textId="77777777" w:rsidR="00904324" w:rsidRPr="00904324" w:rsidRDefault="00904324" w:rsidP="00F312F2">
            <w:pPr>
              <w:tabs>
                <w:tab w:val="left" w:pos="708"/>
                <w:tab w:val="left" w:pos="1416"/>
                <w:tab w:val="left" w:pos="1440"/>
              </w:tabs>
              <w:spacing w:line="276" w:lineRule="auto"/>
              <w:jc w:val="both"/>
              <w:rPr>
                <w:rFonts w:cs="Arial Unicode MS"/>
                <w:b/>
                <w:bCs/>
                <w:color w:val="000000"/>
                <w:szCs w:val="24"/>
                <w:u w:color="000000"/>
                <w:lang w:eastAsia="es-UY"/>
              </w:rPr>
            </w:pPr>
            <w:bookmarkStart w:id="4" w:name="_GoBack"/>
            <w:bookmarkEnd w:id="4"/>
            <w:r w:rsidRPr="00904324">
              <w:rPr>
                <w:rFonts w:cs="Arial Unicode MS"/>
                <w:b/>
                <w:bCs/>
                <w:color w:val="000000"/>
                <w:szCs w:val="24"/>
                <w:u w:color="000000"/>
                <w:lang w:eastAsia="es-UY"/>
              </w:rPr>
              <w:t>Anexo XII</w:t>
            </w:r>
          </w:p>
        </w:tc>
        <w:tc>
          <w:tcPr>
            <w:tcW w:w="7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ED703" w14:textId="77777777" w:rsidR="00904324" w:rsidRPr="00AB408A" w:rsidRDefault="00904324" w:rsidP="00F312F2">
            <w:pPr>
              <w:tabs>
                <w:tab w:val="left" w:pos="708"/>
                <w:tab w:val="left" w:pos="1416"/>
                <w:tab w:val="left" w:pos="2124"/>
                <w:tab w:val="left" w:pos="2832"/>
                <w:tab w:val="left" w:pos="3540"/>
                <w:tab w:val="left" w:pos="4248"/>
                <w:tab w:val="left" w:pos="4956"/>
                <w:tab w:val="left" w:pos="5664"/>
                <w:tab w:val="left" w:pos="6372"/>
                <w:tab w:val="left" w:pos="7080"/>
                <w:tab w:val="left" w:pos="7200"/>
              </w:tabs>
              <w:spacing w:line="276" w:lineRule="auto"/>
              <w:jc w:val="both"/>
              <w:rPr>
                <w:rFonts w:cs="Arial Unicode MS"/>
                <w:color w:val="000000"/>
                <w:szCs w:val="24"/>
                <w:u w:color="000000"/>
                <w:lang w:eastAsia="es-UY"/>
              </w:rPr>
            </w:pPr>
            <w:r w:rsidRPr="00AB408A">
              <w:rPr>
                <w:rFonts w:cs="Arial Unicode MS"/>
                <w:color w:val="000000"/>
                <w:szCs w:val="24"/>
                <w:u w:color="000000"/>
                <w:lang w:eastAsia="es-UY"/>
              </w:rPr>
              <w:t xml:space="preserve">Borrador del documento sobre el </w:t>
            </w:r>
            <w:r w:rsidRPr="00AB408A">
              <w:rPr>
                <w:rFonts w:cs="Arial Unicode MS"/>
                <w:color w:val="000000"/>
                <w:szCs w:val="24"/>
                <w:u w:color="000000"/>
                <w:lang w:val="es-ES" w:eastAsia="es-UY"/>
              </w:rPr>
              <w:t>Sistema de Procedimientos Administrativos, Contable - Financiero para los Órganos con Presupuesto Propio</w:t>
            </w:r>
          </w:p>
        </w:tc>
      </w:tr>
    </w:tbl>
    <w:p w14:paraId="3EC37779" w14:textId="6BCB3CF0"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UY" w:eastAsia="es-UY"/>
        </w:rPr>
      </w:pPr>
    </w:p>
    <w:p w14:paraId="6EEDB72D" w14:textId="30991A15" w:rsid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p w14:paraId="7C8A5E48" w14:textId="77777777" w:rsidR="00904324" w:rsidRPr="00904324" w:rsidRDefault="00904324" w:rsidP="0090432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eastAsia="Arial Unicode MS" w:cs="Arial Unicode MS"/>
          <w:color w:val="000000"/>
          <w:szCs w:val="24"/>
          <w:u w:color="000000"/>
          <w:bdr w:val="nil"/>
          <w:lang w:val="es-ES_tradnl" w:eastAsia="es-UY"/>
        </w:rPr>
      </w:pPr>
    </w:p>
    <w:tbl>
      <w:tblPr>
        <w:tblStyle w:val="TableNormal"/>
        <w:tblW w:w="10067"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5387"/>
      </w:tblGrid>
      <w:tr w:rsidR="00904324" w:rsidRPr="00904324" w14:paraId="2DF4BA48" w14:textId="77777777" w:rsidTr="00904324">
        <w:trPr>
          <w:trHeight w:val="3072"/>
        </w:trPr>
        <w:tc>
          <w:tcPr>
            <w:tcW w:w="4680" w:type="dxa"/>
            <w:tcBorders>
              <w:top w:val="nil"/>
              <w:left w:val="nil"/>
              <w:bottom w:val="nil"/>
              <w:right w:val="nil"/>
            </w:tcBorders>
            <w:shd w:val="clear" w:color="auto" w:fill="auto"/>
            <w:tcMar>
              <w:top w:w="80" w:type="dxa"/>
              <w:left w:w="80" w:type="dxa"/>
              <w:bottom w:w="80" w:type="dxa"/>
              <w:right w:w="80" w:type="dxa"/>
            </w:tcMar>
          </w:tcPr>
          <w:p w14:paraId="42023B77" w14:textId="77777777" w:rsidR="00904324" w:rsidRPr="00904324" w:rsidRDefault="00904324" w:rsidP="00904324">
            <w:pPr>
              <w:tabs>
                <w:tab w:val="left" w:pos="1418"/>
                <w:tab w:val="right" w:pos="8478"/>
              </w:tabs>
              <w:rPr>
                <w:rFonts w:cs="Arial Unicode MS"/>
                <w:b/>
                <w:bCs/>
                <w:color w:val="000000"/>
                <w:szCs w:val="24"/>
                <w:u w:color="000000"/>
                <w:lang w:eastAsia="es-UY"/>
              </w:rPr>
            </w:pPr>
          </w:p>
          <w:p w14:paraId="2A538DB8"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15494AFE"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37CEAEBE"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0F1278E8"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r w:rsidRPr="00904324">
              <w:rPr>
                <w:rFonts w:cs="Arial Unicode MS"/>
                <w:b/>
                <w:bCs/>
                <w:color w:val="000000"/>
                <w:szCs w:val="24"/>
                <w:u w:color="000000"/>
                <w:lang w:eastAsia="es-UY"/>
              </w:rPr>
              <w:t>______________________________</w:t>
            </w:r>
          </w:p>
          <w:p w14:paraId="52B51381" w14:textId="77777777" w:rsidR="00904324" w:rsidRPr="00904324" w:rsidRDefault="00904324" w:rsidP="00904324">
            <w:pPr>
              <w:keepNext/>
              <w:tabs>
                <w:tab w:val="left" w:pos="708"/>
                <w:tab w:val="left" w:pos="1416"/>
                <w:tab w:val="left" w:pos="2124"/>
                <w:tab w:val="left" w:pos="2832"/>
                <w:tab w:val="left" w:pos="3540"/>
                <w:tab w:val="left" w:pos="4248"/>
                <w:tab w:val="left" w:pos="4320"/>
              </w:tabs>
              <w:jc w:val="center"/>
              <w:outlineLvl w:val="0"/>
              <w:rPr>
                <w:rFonts w:cs="Arial Unicode MS"/>
                <w:color w:val="000000"/>
                <w:szCs w:val="24"/>
                <w:u w:color="000000"/>
                <w:lang w:eastAsia="es-UY"/>
              </w:rPr>
            </w:pPr>
            <w:r w:rsidRPr="00904324">
              <w:rPr>
                <w:rFonts w:cs="Arial Unicode MS"/>
                <w:color w:val="000000"/>
                <w:szCs w:val="24"/>
                <w:u w:color="000000"/>
                <w:lang w:eastAsia="es-UY"/>
              </w:rPr>
              <w:t>Por la Delegación de Argentina</w:t>
            </w:r>
          </w:p>
          <w:p w14:paraId="07BA10B0" w14:textId="77777777" w:rsidR="00904324" w:rsidRPr="00904324" w:rsidRDefault="00904324" w:rsidP="00904324">
            <w:pPr>
              <w:tabs>
                <w:tab w:val="left" w:pos="3015"/>
                <w:tab w:val="left" w:pos="3540"/>
                <w:tab w:val="left" w:pos="4248"/>
                <w:tab w:val="left" w:pos="4320"/>
              </w:tabs>
              <w:jc w:val="center"/>
              <w:rPr>
                <w:rFonts w:cs="Arial Unicode MS"/>
                <w:color w:val="000000"/>
                <w:szCs w:val="24"/>
                <w:u w:color="000000"/>
                <w:lang w:eastAsia="es-UY"/>
              </w:rPr>
            </w:pPr>
            <w:r w:rsidRPr="00904324">
              <w:rPr>
                <w:rFonts w:cs="Arial Unicode MS"/>
                <w:b/>
                <w:bCs/>
                <w:color w:val="000000"/>
                <w:szCs w:val="24"/>
                <w:u w:color="000000"/>
                <w:lang w:eastAsia="es-UY"/>
              </w:rPr>
              <w:t xml:space="preserve">Gustavo </w:t>
            </w:r>
            <w:proofErr w:type="spellStart"/>
            <w:r w:rsidRPr="00904324">
              <w:rPr>
                <w:rFonts w:cs="Arial Unicode MS"/>
                <w:b/>
                <w:bCs/>
                <w:color w:val="000000"/>
                <w:szCs w:val="24"/>
                <w:u w:color="000000"/>
                <w:lang w:eastAsia="es-UY"/>
              </w:rPr>
              <w:t>Adise</w:t>
            </w:r>
            <w:proofErr w:type="spellEnd"/>
          </w:p>
        </w:tc>
        <w:tc>
          <w:tcPr>
            <w:tcW w:w="5387" w:type="dxa"/>
            <w:tcBorders>
              <w:top w:val="nil"/>
              <w:left w:val="nil"/>
              <w:bottom w:val="nil"/>
              <w:right w:val="nil"/>
            </w:tcBorders>
            <w:shd w:val="clear" w:color="auto" w:fill="auto"/>
            <w:tcMar>
              <w:top w:w="80" w:type="dxa"/>
              <w:left w:w="80" w:type="dxa"/>
              <w:bottom w:w="80" w:type="dxa"/>
              <w:right w:w="80" w:type="dxa"/>
            </w:tcMar>
          </w:tcPr>
          <w:p w14:paraId="081ED4BB"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21D3C488"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1EB71C7B"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71CC5653"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47189E78"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r w:rsidRPr="00904324">
              <w:rPr>
                <w:rFonts w:cs="Arial Unicode MS"/>
                <w:b/>
                <w:bCs/>
                <w:color w:val="000000"/>
                <w:szCs w:val="24"/>
                <w:u w:color="000000"/>
                <w:lang w:eastAsia="es-UY"/>
              </w:rPr>
              <w:t>____________________________</w:t>
            </w:r>
          </w:p>
          <w:p w14:paraId="1684463A" w14:textId="77777777" w:rsidR="00904324" w:rsidRPr="00904324" w:rsidRDefault="00904324" w:rsidP="00904324">
            <w:pPr>
              <w:tabs>
                <w:tab w:val="left" w:pos="708"/>
                <w:tab w:val="left" w:pos="1416"/>
                <w:tab w:val="left" w:pos="2124"/>
                <w:tab w:val="left" w:pos="2832"/>
                <w:tab w:val="left" w:pos="3540"/>
                <w:tab w:val="left" w:pos="4248"/>
                <w:tab w:val="left" w:pos="4320"/>
              </w:tabs>
              <w:jc w:val="center"/>
              <w:rPr>
                <w:rFonts w:cs="Arial Unicode MS"/>
                <w:color w:val="000000"/>
                <w:szCs w:val="24"/>
                <w:u w:color="000000"/>
                <w:lang w:eastAsia="es-UY"/>
              </w:rPr>
            </w:pPr>
            <w:r w:rsidRPr="00904324">
              <w:rPr>
                <w:rFonts w:cs="Arial Unicode MS"/>
                <w:color w:val="000000"/>
                <w:szCs w:val="24"/>
                <w:u w:color="000000"/>
                <w:lang w:eastAsia="es-UY"/>
              </w:rPr>
              <w:t>Por la Delegación de Brasil</w:t>
            </w:r>
          </w:p>
          <w:p w14:paraId="6B86D05F" w14:textId="77777777" w:rsidR="00904324" w:rsidRPr="00904324" w:rsidRDefault="00904324" w:rsidP="00904324">
            <w:pPr>
              <w:tabs>
                <w:tab w:val="left" w:pos="1418"/>
                <w:tab w:val="right" w:pos="8478"/>
              </w:tabs>
              <w:jc w:val="center"/>
              <w:rPr>
                <w:rFonts w:cs="Arial Unicode MS"/>
                <w:color w:val="000000"/>
                <w:szCs w:val="24"/>
                <w:u w:color="000000"/>
                <w:lang w:val="pt-BR" w:eastAsia="es-UY"/>
              </w:rPr>
            </w:pPr>
            <w:proofErr w:type="gramStart"/>
            <w:r w:rsidRPr="00904324">
              <w:rPr>
                <w:rFonts w:cs="Arial Unicode MS"/>
                <w:b/>
                <w:bCs/>
                <w:color w:val="000000"/>
                <w:szCs w:val="24"/>
                <w:u w:color="000000"/>
                <w:lang w:val="pt-BR" w:eastAsia="es-UY"/>
              </w:rPr>
              <w:t>Francisco Luiz Pinto da Rocha Santos</w:t>
            </w:r>
            <w:proofErr w:type="gramEnd"/>
            <w:r w:rsidRPr="00904324">
              <w:rPr>
                <w:rFonts w:cs="Arial Unicode MS"/>
                <w:b/>
                <w:bCs/>
                <w:color w:val="000000"/>
                <w:szCs w:val="24"/>
                <w:u w:color="000000"/>
                <w:lang w:val="pt-BR" w:eastAsia="es-UY"/>
              </w:rPr>
              <w:t xml:space="preserve"> </w:t>
            </w:r>
          </w:p>
        </w:tc>
      </w:tr>
      <w:tr w:rsidR="00904324" w:rsidRPr="00AB408A" w14:paraId="38CA287A" w14:textId="77777777" w:rsidTr="00904324">
        <w:trPr>
          <w:trHeight w:val="2512"/>
        </w:trPr>
        <w:tc>
          <w:tcPr>
            <w:tcW w:w="4680" w:type="dxa"/>
            <w:tcBorders>
              <w:top w:val="nil"/>
              <w:left w:val="nil"/>
              <w:bottom w:val="nil"/>
              <w:right w:val="nil"/>
            </w:tcBorders>
            <w:shd w:val="clear" w:color="auto" w:fill="auto"/>
            <w:tcMar>
              <w:top w:w="80" w:type="dxa"/>
              <w:left w:w="80" w:type="dxa"/>
              <w:bottom w:w="80" w:type="dxa"/>
              <w:right w:w="80" w:type="dxa"/>
            </w:tcMar>
          </w:tcPr>
          <w:p w14:paraId="209B3A0B" w14:textId="77777777" w:rsidR="00904324" w:rsidRPr="00AB408A" w:rsidRDefault="00904324" w:rsidP="00904324">
            <w:pPr>
              <w:tabs>
                <w:tab w:val="left" w:pos="1418"/>
                <w:tab w:val="right" w:pos="8478"/>
              </w:tabs>
              <w:jc w:val="center"/>
              <w:rPr>
                <w:rFonts w:cs="Arial Unicode MS"/>
                <w:b/>
                <w:bCs/>
                <w:color w:val="000000"/>
                <w:szCs w:val="24"/>
                <w:u w:color="000000"/>
                <w:lang w:val="pt-BR" w:eastAsia="es-UY"/>
              </w:rPr>
            </w:pPr>
          </w:p>
          <w:p w14:paraId="7E0E8252" w14:textId="77777777" w:rsidR="00904324" w:rsidRPr="00AB408A" w:rsidRDefault="00904324" w:rsidP="00904324">
            <w:pPr>
              <w:tabs>
                <w:tab w:val="left" w:pos="1418"/>
                <w:tab w:val="right" w:pos="8478"/>
              </w:tabs>
              <w:jc w:val="center"/>
              <w:rPr>
                <w:rFonts w:cs="Arial Unicode MS"/>
                <w:b/>
                <w:bCs/>
                <w:color w:val="000000"/>
                <w:szCs w:val="24"/>
                <w:u w:color="000000"/>
                <w:lang w:val="pt-BR" w:eastAsia="es-UY"/>
              </w:rPr>
            </w:pPr>
          </w:p>
          <w:p w14:paraId="0DAA8B30" w14:textId="77777777" w:rsidR="00904324" w:rsidRPr="00AB408A" w:rsidRDefault="00904324" w:rsidP="00904324">
            <w:pPr>
              <w:tabs>
                <w:tab w:val="left" w:pos="1418"/>
                <w:tab w:val="right" w:pos="8478"/>
              </w:tabs>
              <w:jc w:val="center"/>
              <w:rPr>
                <w:rFonts w:cs="Arial Unicode MS"/>
                <w:b/>
                <w:bCs/>
                <w:color w:val="000000"/>
                <w:szCs w:val="24"/>
                <w:u w:color="000000"/>
                <w:lang w:val="pt-BR" w:eastAsia="es-UY"/>
              </w:rPr>
            </w:pPr>
          </w:p>
          <w:p w14:paraId="62AA6C9A" w14:textId="77777777" w:rsidR="00904324" w:rsidRPr="00AB408A" w:rsidRDefault="00904324" w:rsidP="00904324">
            <w:pPr>
              <w:tabs>
                <w:tab w:val="left" w:pos="1418"/>
                <w:tab w:val="right" w:pos="8478"/>
              </w:tabs>
              <w:jc w:val="center"/>
              <w:rPr>
                <w:rFonts w:cs="Arial Unicode MS"/>
                <w:b/>
                <w:bCs/>
                <w:color w:val="000000"/>
                <w:szCs w:val="24"/>
                <w:u w:color="000000"/>
                <w:lang w:val="pt-BR" w:eastAsia="es-UY"/>
              </w:rPr>
            </w:pPr>
          </w:p>
          <w:p w14:paraId="3F154AAE" w14:textId="77777777" w:rsidR="00904324" w:rsidRPr="00AB408A" w:rsidRDefault="00904324" w:rsidP="00904324">
            <w:pPr>
              <w:tabs>
                <w:tab w:val="left" w:pos="1418"/>
                <w:tab w:val="right" w:pos="8478"/>
              </w:tabs>
              <w:jc w:val="center"/>
              <w:rPr>
                <w:rFonts w:cs="Arial Unicode MS"/>
                <w:b/>
                <w:bCs/>
                <w:color w:val="000000"/>
                <w:szCs w:val="24"/>
                <w:u w:color="000000"/>
                <w:lang w:val="pt-BR" w:eastAsia="es-UY"/>
              </w:rPr>
            </w:pPr>
          </w:p>
          <w:p w14:paraId="2EDEBCEB"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r w:rsidRPr="00904324">
              <w:rPr>
                <w:rFonts w:cs="Arial Unicode MS"/>
                <w:b/>
                <w:bCs/>
                <w:color w:val="000000"/>
                <w:szCs w:val="24"/>
                <w:u w:color="000000"/>
                <w:lang w:eastAsia="es-UY"/>
              </w:rPr>
              <w:t>______________________________</w:t>
            </w:r>
          </w:p>
          <w:p w14:paraId="320256B1" w14:textId="77777777" w:rsidR="00904324" w:rsidRPr="00904324" w:rsidRDefault="00904324" w:rsidP="00904324">
            <w:pPr>
              <w:tabs>
                <w:tab w:val="left" w:pos="708"/>
                <w:tab w:val="left" w:pos="1416"/>
                <w:tab w:val="left" w:pos="2124"/>
                <w:tab w:val="left" w:pos="2832"/>
                <w:tab w:val="left" w:pos="3540"/>
                <w:tab w:val="left" w:pos="4248"/>
                <w:tab w:val="left" w:pos="4320"/>
              </w:tabs>
              <w:jc w:val="center"/>
              <w:rPr>
                <w:rFonts w:cs="Arial Unicode MS"/>
                <w:color w:val="000000"/>
                <w:szCs w:val="24"/>
                <w:u w:color="000000"/>
                <w:lang w:eastAsia="es-UY"/>
              </w:rPr>
            </w:pPr>
            <w:r w:rsidRPr="00904324">
              <w:rPr>
                <w:rFonts w:cs="Arial Unicode MS"/>
                <w:color w:val="000000"/>
                <w:szCs w:val="24"/>
                <w:u w:color="000000"/>
                <w:lang w:eastAsia="es-UY"/>
              </w:rPr>
              <w:t>Por la Delegación de Paraguay</w:t>
            </w:r>
          </w:p>
          <w:p w14:paraId="1EC49D8B" w14:textId="77777777" w:rsidR="00904324" w:rsidRPr="00904324" w:rsidRDefault="00904324" w:rsidP="00904324">
            <w:pPr>
              <w:tabs>
                <w:tab w:val="left" w:pos="1418"/>
                <w:tab w:val="right" w:pos="8478"/>
              </w:tabs>
              <w:jc w:val="center"/>
              <w:rPr>
                <w:rFonts w:cs="Arial Unicode MS"/>
                <w:color w:val="000000"/>
                <w:szCs w:val="24"/>
                <w:u w:color="000000"/>
                <w:lang w:eastAsia="es-UY"/>
              </w:rPr>
            </w:pPr>
            <w:r w:rsidRPr="00904324">
              <w:rPr>
                <w:rFonts w:cs="Arial Unicode MS"/>
                <w:b/>
                <w:bCs/>
                <w:color w:val="000000"/>
                <w:szCs w:val="24"/>
                <w:u w:color="000000"/>
                <w:lang w:eastAsia="es-UY"/>
              </w:rPr>
              <w:t>José Giret</w:t>
            </w:r>
          </w:p>
        </w:tc>
        <w:tc>
          <w:tcPr>
            <w:tcW w:w="5387" w:type="dxa"/>
            <w:tcBorders>
              <w:top w:val="nil"/>
              <w:left w:val="nil"/>
              <w:bottom w:val="nil"/>
              <w:right w:val="nil"/>
            </w:tcBorders>
            <w:shd w:val="clear" w:color="auto" w:fill="auto"/>
            <w:tcMar>
              <w:top w:w="80" w:type="dxa"/>
              <w:left w:w="80" w:type="dxa"/>
              <w:bottom w:w="80" w:type="dxa"/>
              <w:right w:w="80" w:type="dxa"/>
            </w:tcMar>
          </w:tcPr>
          <w:p w14:paraId="77DC9DC8"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659DFC03"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78D9F0C1"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5BF60B01"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09111EFA"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p>
          <w:p w14:paraId="70DE08BA" w14:textId="77777777" w:rsidR="00904324" w:rsidRPr="00904324" w:rsidRDefault="00904324" w:rsidP="00904324">
            <w:pPr>
              <w:tabs>
                <w:tab w:val="left" w:pos="1418"/>
                <w:tab w:val="right" w:pos="8478"/>
              </w:tabs>
              <w:jc w:val="center"/>
              <w:rPr>
                <w:rFonts w:cs="Arial Unicode MS"/>
                <w:b/>
                <w:bCs/>
                <w:color w:val="000000"/>
                <w:szCs w:val="24"/>
                <w:u w:color="000000"/>
                <w:lang w:eastAsia="es-UY"/>
              </w:rPr>
            </w:pPr>
            <w:r w:rsidRPr="00904324">
              <w:rPr>
                <w:rFonts w:cs="Arial Unicode MS"/>
                <w:b/>
                <w:bCs/>
                <w:color w:val="000000"/>
                <w:szCs w:val="24"/>
                <w:u w:color="000000"/>
                <w:lang w:eastAsia="es-UY"/>
              </w:rPr>
              <w:t>____________________________</w:t>
            </w:r>
          </w:p>
          <w:p w14:paraId="1101B259" w14:textId="77777777" w:rsidR="00904324" w:rsidRPr="00904324" w:rsidRDefault="00904324" w:rsidP="00904324">
            <w:pPr>
              <w:tabs>
                <w:tab w:val="left" w:pos="708"/>
                <w:tab w:val="left" w:pos="1416"/>
                <w:tab w:val="left" w:pos="2124"/>
                <w:tab w:val="left" w:pos="2832"/>
                <w:tab w:val="left" w:pos="3540"/>
                <w:tab w:val="left" w:pos="4248"/>
                <w:tab w:val="left" w:pos="4320"/>
              </w:tabs>
              <w:jc w:val="center"/>
              <w:rPr>
                <w:rFonts w:cs="Arial Unicode MS"/>
                <w:color w:val="000000"/>
                <w:szCs w:val="24"/>
                <w:u w:color="000000"/>
                <w:lang w:eastAsia="es-UY"/>
              </w:rPr>
            </w:pPr>
            <w:r w:rsidRPr="00904324">
              <w:rPr>
                <w:rFonts w:cs="Arial Unicode MS"/>
                <w:color w:val="000000"/>
                <w:szCs w:val="24"/>
                <w:u w:color="000000"/>
                <w:lang w:eastAsia="es-UY"/>
              </w:rPr>
              <w:t>Por la Delegación de Uruguay</w:t>
            </w:r>
          </w:p>
          <w:p w14:paraId="0923ADAB" w14:textId="77777777" w:rsidR="00904324" w:rsidRPr="00904324" w:rsidRDefault="00904324" w:rsidP="00904324">
            <w:pPr>
              <w:tabs>
                <w:tab w:val="left" w:pos="708"/>
                <w:tab w:val="left" w:pos="1416"/>
                <w:tab w:val="left" w:pos="2124"/>
                <w:tab w:val="left" w:pos="2832"/>
                <w:tab w:val="left" w:pos="3540"/>
                <w:tab w:val="left" w:pos="4248"/>
                <w:tab w:val="left" w:pos="4320"/>
              </w:tabs>
              <w:jc w:val="center"/>
              <w:rPr>
                <w:rFonts w:cs="Arial Unicode MS"/>
                <w:b/>
                <w:bCs/>
                <w:color w:val="000000"/>
                <w:szCs w:val="24"/>
                <w:u w:color="000000"/>
                <w:lang w:eastAsia="es-UY"/>
              </w:rPr>
            </w:pPr>
            <w:r w:rsidRPr="00904324">
              <w:rPr>
                <w:rFonts w:cs="Arial Unicode MS"/>
                <w:b/>
                <w:bCs/>
                <w:color w:val="000000"/>
                <w:szCs w:val="24"/>
                <w:u w:color="000000"/>
                <w:lang w:eastAsia="es-UY"/>
              </w:rPr>
              <w:t>Florencia Rizzo</w:t>
            </w:r>
          </w:p>
        </w:tc>
      </w:tr>
    </w:tbl>
    <w:p w14:paraId="3E7FA25E" w14:textId="77777777" w:rsidR="00904324" w:rsidRPr="00AB408A" w:rsidRDefault="00904324" w:rsidP="00904324">
      <w:pPr>
        <w:spacing w:after="160" w:line="259" w:lineRule="auto"/>
        <w:rPr>
          <w:rFonts w:ascii="Calibri" w:eastAsia="Calibri" w:hAnsi="Calibri"/>
          <w:sz w:val="22"/>
          <w:szCs w:val="22"/>
          <w:lang w:val="es-AR" w:eastAsia="en-US"/>
        </w:rPr>
      </w:pPr>
    </w:p>
    <w:p w14:paraId="23C0FE97" w14:textId="77777777" w:rsidR="00A84354" w:rsidRPr="00AB408A" w:rsidRDefault="00A84354" w:rsidP="00430305">
      <w:pPr>
        <w:jc w:val="both"/>
        <w:rPr>
          <w:rFonts w:cs="Arial"/>
          <w:szCs w:val="24"/>
          <w:lang w:val="es-AR"/>
        </w:rPr>
      </w:pPr>
    </w:p>
    <w:sectPr w:rsidR="00A84354" w:rsidRPr="00AB408A" w:rsidSect="00904324">
      <w:headerReference w:type="even" r:id="rId13"/>
      <w:headerReference w:type="default" r:id="rId14"/>
      <w:footerReference w:type="default" r:id="rId15"/>
      <w:headerReference w:type="first" r:id="rId16"/>
      <w:footerReference w:type="first" r:id="rId17"/>
      <w:pgSz w:w="11907" w:h="16840" w:code="9"/>
      <w:pgMar w:top="851" w:right="850" w:bottom="1134" w:left="1701" w:header="680" w:footer="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E17BB" w14:textId="77777777" w:rsidR="00D47F80" w:rsidRDefault="00D47F80">
      <w:r>
        <w:separator/>
      </w:r>
    </w:p>
  </w:endnote>
  <w:endnote w:type="continuationSeparator" w:id="0">
    <w:p w14:paraId="31484923" w14:textId="77777777" w:rsidR="00D47F80" w:rsidRDefault="00D4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A7441" w14:textId="77777777" w:rsidR="00D129F9" w:rsidRDefault="00D129F9">
    <w:pPr>
      <w:pStyle w:val="Rodap"/>
      <w:jc w:val="right"/>
    </w:pPr>
    <w:r>
      <w:fldChar w:fldCharType="begin"/>
    </w:r>
    <w:r>
      <w:instrText>PAGE   \* MERGEFORMAT</w:instrText>
    </w:r>
    <w:r>
      <w:fldChar w:fldCharType="separate"/>
    </w:r>
    <w:r w:rsidR="00AB408A" w:rsidRPr="00AB408A">
      <w:rPr>
        <w:noProof/>
        <w:lang w:val="es-ES"/>
      </w:rPr>
      <w:t>2</w:t>
    </w:r>
    <w:r>
      <w:fldChar w:fldCharType="end"/>
    </w:r>
  </w:p>
  <w:p w14:paraId="0BEAB084" w14:textId="77777777" w:rsidR="00D129F9" w:rsidRPr="00A81730" w:rsidRDefault="00D129F9" w:rsidP="00F44C43">
    <w:pPr>
      <w:pStyle w:val="Rodap"/>
      <w:rPr>
        <w:lang w:val="es-U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3088" w14:textId="77777777" w:rsidR="00D129F9" w:rsidRPr="00C93E80" w:rsidRDefault="00D129F9" w:rsidP="00870C4E">
    <w:pPr>
      <w:tabs>
        <w:tab w:val="center" w:pos="4419"/>
        <w:tab w:val="right" w:pos="8838"/>
      </w:tabs>
      <w:jc w:val="center"/>
      <w:rPr>
        <w:b/>
        <w:i/>
        <w:sz w:val="16"/>
      </w:rPr>
    </w:pPr>
    <w:r w:rsidRPr="00C93E80">
      <w:rPr>
        <w:b/>
        <w:i/>
        <w:sz w:val="16"/>
      </w:rPr>
      <w:t>Secretar</w:t>
    </w:r>
    <w:r w:rsidR="003D3F82" w:rsidRPr="00C93E80">
      <w:rPr>
        <w:b/>
        <w:i/>
        <w:sz w:val="16"/>
      </w:rPr>
      <w:t>i</w:t>
    </w:r>
    <w:r w:rsidRPr="00C93E80">
      <w:rPr>
        <w:b/>
        <w:i/>
        <w:sz w:val="16"/>
      </w:rPr>
      <w:t>a d</w:t>
    </w:r>
    <w:r w:rsidR="003D3F82" w:rsidRPr="00C93E80">
      <w:rPr>
        <w:b/>
        <w:i/>
        <w:sz w:val="16"/>
      </w:rPr>
      <w:t>o</w:t>
    </w:r>
    <w:r w:rsidRPr="00C93E80">
      <w:rPr>
        <w:b/>
        <w:i/>
        <w:sz w:val="16"/>
      </w:rPr>
      <w:t xml:space="preserve"> MERCOSU</w:t>
    </w:r>
    <w:r w:rsidR="003D3F82" w:rsidRPr="00C93E80">
      <w:rPr>
        <w:b/>
        <w:i/>
        <w:sz w:val="16"/>
      </w:rPr>
      <w:t>L</w:t>
    </w:r>
  </w:p>
  <w:p w14:paraId="59DA870E" w14:textId="77777777" w:rsidR="00D129F9" w:rsidRPr="00C93E80" w:rsidRDefault="00D129F9" w:rsidP="00870C4E">
    <w:pPr>
      <w:tabs>
        <w:tab w:val="center" w:pos="4419"/>
        <w:tab w:val="right" w:pos="8838"/>
      </w:tabs>
      <w:jc w:val="center"/>
      <w:rPr>
        <w:b/>
        <w:sz w:val="16"/>
      </w:rPr>
    </w:pPr>
    <w:r w:rsidRPr="00C93E80">
      <w:rPr>
        <w:b/>
        <w:sz w:val="16"/>
      </w:rPr>
      <w:t>Ar</w:t>
    </w:r>
    <w:r w:rsidR="003D3F82" w:rsidRPr="00C93E80">
      <w:rPr>
        <w:b/>
        <w:sz w:val="16"/>
      </w:rPr>
      <w:t>qu</w:t>
    </w:r>
    <w:r w:rsidRPr="00C93E80">
      <w:rPr>
        <w:b/>
        <w:sz w:val="16"/>
      </w:rPr>
      <w:t>ivo Oficial</w:t>
    </w:r>
  </w:p>
  <w:p w14:paraId="2F7C1705" w14:textId="77777777" w:rsidR="00D129F9" w:rsidRPr="00C93E80" w:rsidRDefault="00D129F9" w:rsidP="00870C4E">
    <w:pPr>
      <w:tabs>
        <w:tab w:val="center" w:pos="4419"/>
        <w:tab w:val="right" w:pos="8838"/>
      </w:tabs>
      <w:jc w:val="center"/>
      <w:rPr>
        <w:b/>
        <w:sz w:val="16"/>
      </w:rPr>
    </w:pPr>
    <w:r w:rsidRPr="00AD29FF">
      <w:rPr>
        <w:sz w:val="16"/>
      </w:rPr>
      <w:t xml:space="preserve">  www.mercosu</w:t>
    </w:r>
    <w:r w:rsidR="00662FCC" w:rsidRPr="00AD29FF">
      <w:rPr>
        <w:sz w:val="16"/>
      </w:rPr>
      <w:t>l</w:t>
    </w:r>
    <w:r w:rsidRPr="00AD29FF">
      <w:rPr>
        <w:sz w:val="16"/>
      </w:rPr>
      <w:t xml:space="preserve">.int </w:t>
    </w:r>
  </w:p>
  <w:p w14:paraId="468BD76F" w14:textId="77777777" w:rsidR="00D129F9" w:rsidRPr="00C93E80" w:rsidRDefault="00D129F9" w:rsidP="00870C4E">
    <w:pPr>
      <w:tabs>
        <w:tab w:val="center" w:pos="4419"/>
        <w:tab w:val="right" w:pos="8838"/>
      </w:tabs>
    </w:pPr>
  </w:p>
  <w:p w14:paraId="7DD49523" w14:textId="77777777" w:rsidR="00D129F9" w:rsidRPr="00C93E80" w:rsidRDefault="00D129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A084C" w14:textId="77777777" w:rsidR="00D47F80" w:rsidRDefault="00D47F80">
      <w:r>
        <w:separator/>
      </w:r>
    </w:p>
  </w:footnote>
  <w:footnote w:type="continuationSeparator" w:id="0">
    <w:p w14:paraId="26BACD32" w14:textId="77777777" w:rsidR="00D47F80" w:rsidRDefault="00D4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5168" w14:textId="77777777" w:rsidR="00D129F9" w:rsidRDefault="00D47F80">
    <w:pPr>
      <w:pStyle w:val="Cabealho"/>
    </w:pPr>
    <w:r>
      <w:rPr>
        <w:noProof/>
        <w:snapToGrid/>
        <w:lang w:val="es-UY" w:eastAsia="es-UY"/>
      </w:rPr>
      <w:pict w14:anchorId="1801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51" type="#_x0000_t75" alt="LogoMERCOSUR-Principal" style="position:absolute;margin-left:0;margin-top:0;width:510.2pt;height:309.3pt;z-index:-25165977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C200" w14:textId="77777777" w:rsidR="00D129F9" w:rsidRDefault="00D47F80">
    <w:pPr>
      <w:pStyle w:val="Cabealho"/>
    </w:pPr>
    <w:r>
      <w:rPr>
        <w:noProof/>
        <w:snapToGrid/>
        <w:lang w:val="es-UY" w:eastAsia="es-UY"/>
      </w:rPr>
      <w:pict w14:anchorId="09455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2050" type="#_x0000_t75" alt="LogoMERCOSUR-Principal" style="position:absolute;margin-left:0;margin-top:0;width:510.2pt;height:309.3pt;z-index:-25165875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9FAEA" w14:textId="77777777" w:rsidR="00D129F9" w:rsidRDefault="00D47F80">
    <w:pPr>
      <w:pStyle w:val="Cabealho"/>
    </w:pPr>
    <w:r>
      <w:rPr>
        <w:noProof/>
        <w:snapToGrid/>
        <w:lang w:val="es-UY" w:eastAsia="es-UY"/>
      </w:rPr>
      <w:pict w14:anchorId="433E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49" type="#_x0000_t75" alt="LogoMERCOSUR-Principal" style="position:absolute;margin-left:0;margin-top:0;width:510.2pt;height:309.3pt;z-index:-25165772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nsid w:val="09A363F3"/>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116F0ECB"/>
    <w:multiLevelType w:val="hybridMultilevel"/>
    <w:tmpl w:val="2812A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A406F7"/>
    <w:multiLevelType w:val="hybridMultilevel"/>
    <w:tmpl w:val="9288D7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E74CA7"/>
    <w:multiLevelType w:val="multilevel"/>
    <w:tmpl w:val="1506ED8A"/>
    <w:lvl w:ilvl="0">
      <w:start w:val="1"/>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35E6033F"/>
    <w:multiLevelType w:val="hybridMultilevel"/>
    <w:tmpl w:val="03F87FA8"/>
    <w:lvl w:ilvl="0" w:tplc="380A000F">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3AE522ED"/>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447163A4"/>
    <w:multiLevelType w:val="multilevel"/>
    <w:tmpl w:val="BABC3A9A"/>
    <w:styleLink w:val="ImportedStyle1"/>
    <w:lvl w:ilvl="0">
      <w:start w:val="1"/>
      <w:numFmt w:val="decimal"/>
      <w:lvlText w:val="%1."/>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50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708" w:hanging="2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366"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8"/>
          <w:tab w:val="left" w:pos="2124"/>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1416" w:hanging="1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5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8496"/>
          <w:tab w:val="right" w:pos="8504"/>
          <w:tab w:val="left" w:pos="8520"/>
        </w:tabs>
        <w:ind w:left="2124" w:hanging="1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8496"/>
          <w:tab w:val="right" w:pos="8504"/>
          <w:tab w:val="left" w:pos="8520"/>
        </w:tabs>
        <w:ind w:left="2832" w:hanging="1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08"/>
          <w:tab w:val="left" w:pos="1416"/>
          <w:tab w:val="left" w:pos="2124"/>
          <w:tab w:val="left" w:pos="2832"/>
          <w:tab w:val="left" w:pos="4248"/>
          <w:tab w:val="center" w:pos="4252"/>
          <w:tab w:val="left" w:pos="4956"/>
          <w:tab w:val="left" w:pos="5664"/>
          <w:tab w:val="left" w:pos="6372"/>
          <w:tab w:val="left" w:pos="7080"/>
          <w:tab w:val="left" w:pos="7788"/>
          <w:tab w:val="left" w:pos="8496"/>
          <w:tab w:val="right" w:pos="8504"/>
          <w:tab w:val="left" w:pos="8520"/>
        </w:tabs>
        <w:ind w:left="3540" w:hanging="5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952245F"/>
    <w:multiLevelType w:val="hybridMultilevel"/>
    <w:tmpl w:val="3732C36E"/>
    <w:lvl w:ilvl="0" w:tplc="380A0001">
      <w:start w:val="1"/>
      <w:numFmt w:val="bullet"/>
      <w:lvlText w:val=""/>
      <w:lvlJc w:val="left"/>
      <w:pPr>
        <w:ind w:left="1500" w:hanging="360"/>
      </w:pPr>
      <w:rPr>
        <w:rFonts w:ascii="Symbol" w:hAnsi="Symbol" w:hint="default"/>
      </w:rPr>
    </w:lvl>
    <w:lvl w:ilvl="1" w:tplc="380A0003" w:tentative="1">
      <w:start w:val="1"/>
      <w:numFmt w:val="bullet"/>
      <w:lvlText w:val="o"/>
      <w:lvlJc w:val="left"/>
      <w:pPr>
        <w:ind w:left="2220" w:hanging="360"/>
      </w:pPr>
      <w:rPr>
        <w:rFonts w:ascii="Courier New" w:hAnsi="Courier New" w:cs="Courier New" w:hint="default"/>
      </w:rPr>
    </w:lvl>
    <w:lvl w:ilvl="2" w:tplc="380A0005" w:tentative="1">
      <w:start w:val="1"/>
      <w:numFmt w:val="bullet"/>
      <w:lvlText w:val=""/>
      <w:lvlJc w:val="left"/>
      <w:pPr>
        <w:ind w:left="2940" w:hanging="360"/>
      </w:pPr>
      <w:rPr>
        <w:rFonts w:ascii="Wingdings" w:hAnsi="Wingdings" w:hint="default"/>
      </w:rPr>
    </w:lvl>
    <w:lvl w:ilvl="3" w:tplc="380A0001" w:tentative="1">
      <w:start w:val="1"/>
      <w:numFmt w:val="bullet"/>
      <w:lvlText w:val=""/>
      <w:lvlJc w:val="left"/>
      <w:pPr>
        <w:ind w:left="3660" w:hanging="360"/>
      </w:pPr>
      <w:rPr>
        <w:rFonts w:ascii="Symbol" w:hAnsi="Symbol" w:hint="default"/>
      </w:rPr>
    </w:lvl>
    <w:lvl w:ilvl="4" w:tplc="380A0003" w:tentative="1">
      <w:start w:val="1"/>
      <w:numFmt w:val="bullet"/>
      <w:lvlText w:val="o"/>
      <w:lvlJc w:val="left"/>
      <w:pPr>
        <w:ind w:left="4380" w:hanging="360"/>
      </w:pPr>
      <w:rPr>
        <w:rFonts w:ascii="Courier New" w:hAnsi="Courier New" w:cs="Courier New" w:hint="default"/>
      </w:rPr>
    </w:lvl>
    <w:lvl w:ilvl="5" w:tplc="380A0005" w:tentative="1">
      <w:start w:val="1"/>
      <w:numFmt w:val="bullet"/>
      <w:lvlText w:val=""/>
      <w:lvlJc w:val="left"/>
      <w:pPr>
        <w:ind w:left="5100" w:hanging="360"/>
      </w:pPr>
      <w:rPr>
        <w:rFonts w:ascii="Wingdings" w:hAnsi="Wingdings" w:hint="default"/>
      </w:rPr>
    </w:lvl>
    <w:lvl w:ilvl="6" w:tplc="380A0001" w:tentative="1">
      <w:start w:val="1"/>
      <w:numFmt w:val="bullet"/>
      <w:lvlText w:val=""/>
      <w:lvlJc w:val="left"/>
      <w:pPr>
        <w:ind w:left="5820" w:hanging="360"/>
      </w:pPr>
      <w:rPr>
        <w:rFonts w:ascii="Symbol" w:hAnsi="Symbol" w:hint="default"/>
      </w:rPr>
    </w:lvl>
    <w:lvl w:ilvl="7" w:tplc="380A0003" w:tentative="1">
      <w:start w:val="1"/>
      <w:numFmt w:val="bullet"/>
      <w:lvlText w:val="o"/>
      <w:lvlJc w:val="left"/>
      <w:pPr>
        <w:ind w:left="6540" w:hanging="360"/>
      </w:pPr>
      <w:rPr>
        <w:rFonts w:ascii="Courier New" w:hAnsi="Courier New" w:cs="Courier New" w:hint="default"/>
      </w:rPr>
    </w:lvl>
    <w:lvl w:ilvl="8" w:tplc="380A0005" w:tentative="1">
      <w:start w:val="1"/>
      <w:numFmt w:val="bullet"/>
      <w:lvlText w:val=""/>
      <w:lvlJc w:val="left"/>
      <w:pPr>
        <w:ind w:left="7260" w:hanging="360"/>
      </w:pPr>
      <w:rPr>
        <w:rFonts w:ascii="Wingdings" w:hAnsi="Wingdings" w:hint="default"/>
      </w:rPr>
    </w:lvl>
  </w:abstractNum>
  <w:abstractNum w:abstractNumId="9">
    <w:nsid w:val="539252CD"/>
    <w:multiLevelType w:val="multilevel"/>
    <w:tmpl w:val="BABC3A9A"/>
    <w:numStyleLink w:val="ImportedStyle1"/>
  </w:abstractNum>
  <w:abstractNum w:abstractNumId="1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1">
    <w:nsid w:val="5B4707F1"/>
    <w:multiLevelType w:val="hybridMultilevel"/>
    <w:tmpl w:val="3DD47A40"/>
    <w:lvl w:ilvl="0" w:tplc="6170A090">
      <w:start w:val="10"/>
      <w:numFmt w:val="bullet"/>
      <w:lvlText w:val=""/>
      <w:lvlJc w:val="left"/>
      <w:pPr>
        <w:ind w:left="720" w:hanging="360"/>
      </w:pPr>
      <w:rPr>
        <w:rFonts w:ascii="Wingdings" w:eastAsiaTheme="minorHAns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7D462A8"/>
    <w:multiLevelType w:val="hybridMultilevel"/>
    <w:tmpl w:val="93F816DE"/>
    <w:lvl w:ilvl="0" w:tplc="37AEA0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4D0517"/>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3"/>
  </w:num>
  <w:num w:numId="5">
    <w:abstractNumId w:val="1"/>
  </w:num>
  <w:num w:numId="6">
    <w:abstractNumId w:val="6"/>
  </w:num>
  <w:num w:numId="7">
    <w:abstractNumId w:val="2"/>
  </w:num>
  <w:num w:numId="8">
    <w:abstractNumId w:val="12"/>
  </w:num>
  <w:num w:numId="9">
    <w:abstractNumId w:val="11"/>
  </w:num>
  <w:num w:numId="10">
    <w:abstractNumId w:val="8"/>
  </w:num>
  <w:num w:numId="11">
    <w:abstractNumId w:val="5"/>
  </w:num>
  <w:num w:numId="12">
    <w:abstractNumId w:val="7"/>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88"/>
    <w:rsid w:val="000003B2"/>
    <w:rsid w:val="000010EE"/>
    <w:rsid w:val="000024A0"/>
    <w:rsid w:val="00003A45"/>
    <w:rsid w:val="0000489F"/>
    <w:rsid w:val="0000498D"/>
    <w:rsid w:val="000059C8"/>
    <w:rsid w:val="00010710"/>
    <w:rsid w:val="000108BE"/>
    <w:rsid w:val="00010F9F"/>
    <w:rsid w:val="00026AE5"/>
    <w:rsid w:val="00040BA1"/>
    <w:rsid w:val="00052F5D"/>
    <w:rsid w:val="00053704"/>
    <w:rsid w:val="00056DDA"/>
    <w:rsid w:val="00057860"/>
    <w:rsid w:val="00060138"/>
    <w:rsid w:val="00063C64"/>
    <w:rsid w:val="000646EA"/>
    <w:rsid w:val="0008210E"/>
    <w:rsid w:val="00084BE2"/>
    <w:rsid w:val="00091DC1"/>
    <w:rsid w:val="00094D3D"/>
    <w:rsid w:val="00096D07"/>
    <w:rsid w:val="000A0F67"/>
    <w:rsid w:val="000A4775"/>
    <w:rsid w:val="000A510A"/>
    <w:rsid w:val="000B019A"/>
    <w:rsid w:val="000B4538"/>
    <w:rsid w:val="000C3FDF"/>
    <w:rsid w:val="000C4B5D"/>
    <w:rsid w:val="000C5F37"/>
    <w:rsid w:val="000C78B1"/>
    <w:rsid w:val="000D0DBA"/>
    <w:rsid w:val="000D233F"/>
    <w:rsid w:val="000D2BAE"/>
    <w:rsid w:val="000D3BCB"/>
    <w:rsid w:val="000D64D8"/>
    <w:rsid w:val="000E0A7F"/>
    <w:rsid w:val="000E5EE3"/>
    <w:rsid w:val="000E6E60"/>
    <w:rsid w:val="000F70A6"/>
    <w:rsid w:val="00100DCE"/>
    <w:rsid w:val="001046FA"/>
    <w:rsid w:val="00105503"/>
    <w:rsid w:val="0011542A"/>
    <w:rsid w:val="001220EA"/>
    <w:rsid w:val="00122C9D"/>
    <w:rsid w:val="001240E9"/>
    <w:rsid w:val="001260F1"/>
    <w:rsid w:val="00127411"/>
    <w:rsid w:val="00127623"/>
    <w:rsid w:val="00131748"/>
    <w:rsid w:val="00131895"/>
    <w:rsid w:val="00131F75"/>
    <w:rsid w:val="00136BA8"/>
    <w:rsid w:val="00136C51"/>
    <w:rsid w:val="00137038"/>
    <w:rsid w:val="00140958"/>
    <w:rsid w:val="00141E8F"/>
    <w:rsid w:val="001520EA"/>
    <w:rsid w:val="00152A88"/>
    <w:rsid w:val="0015442E"/>
    <w:rsid w:val="00154B23"/>
    <w:rsid w:val="0015734A"/>
    <w:rsid w:val="00163F64"/>
    <w:rsid w:val="00164112"/>
    <w:rsid w:val="00164AA4"/>
    <w:rsid w:val="001727EA"/>
    <w:rsid w:val="00180C5E"/>
    <w:rsid w:val="00185B10"/>
    <w:rsid w:val="00186C18"/>
    <w:rsid w:val="00192E0F"/>
    <w:rsid w:val="00194CA5"/>
    <w:rsid w:val="00196367"/>
    <w:rsid w:val="001A4E00"/>
    <w:rsid w:val="001B0846"/>
    <w:rsid w:val="001B08CB"/>
    <w:rsid w:val="001B1A4D"/>
    <w:rsid w:val="001B58A7"/>
    <w:rsid w:val="001B736B"/>
    <w:rsid w:val="001B7BFD"/>
    <w:rsid w:val="001C0B26"/>
    <w:rsid w:val="001C19F6"/>
    <w:rsid w:val="001C1C00"/>
    <w:rsid w:val="001C50D2"/>
    <w:rsid w:val="001D290B"/>
    <w:rsid w:val="001D3C1C"/>
    <w:rsid w:val="001D6388"/>
    <w:rsid w:val="001E0AF3"/>
    <w:rsid w:val="001E0BDD"/>
    <w:rsid w:val="001E295E"/>
    <w:rsid w:val="001E3E71"/>
    <w:rsid w:val="001F2A59"/>
    <w:rsid w:val="00202234"/>
    <w:rsid w:val="00204449"/>
    <w:rsid w:val="00204679"/>
    <w:rsid w:val="00206720"/>
    <w:rsid w:val="00211A88"/>
    <w:rsid w:val="00213792"/>
    <w:rsid w:val="00214487"/>
    <w:rsid w:val="0021691F"/>
    <w:rsid w:val="00220A0D"/>
    <w:rsid w:val="00222AA0"/>
    <w:rsid w:val="00230751"/>
    <w:rsid w:val="00230E41"/>
    <w:rsid w:val="00234CC2"/>
    <w:rsid w:val="00236D1D"/>
    <w:rsid w:val="00237FA0"/>
    <w:rsid w:val="0024313F"/>
    <w:rsid w:val="00244C62"/>
    <w:rsid w:val="002471B7"/>
    <w:rsid w:val="002544BC"/>
    <w:rsid w:val="00256BC3"/>
    <w:rsid w:val="0026356C"/>
    <w:rsid w:val="0026553B"/>
    <w:rsid w:val="0027184D"/>
    <w:rsid w:val="002739D0"/>
    <w:rsid w:val="00275D10"/>
    <w:rsid w:val="00275D91"/>
    <w:rsid w:val="00276F4B"/>
    <w:rsid w:val="002776F3"/>
    <w:rsid w:val="002909AC"/>
    <w:rsid w:val="00297F24"/>
    <w:rsid w:val="002A1B34"/>
    <w:rsid w:val="002B7A6E"/>
    <w:rsid w:val="002C3E04"/>
    <w:rsid w:val="002C6DB7"/>
    <w:rsid w:val="002D4431"/>
    <w:rsid w:val="002D7B65"/>
    <w:rsid w:val="002E3288"/>
    <w:rsid w:val="002E3B95"/>
    <w:rsid w:val="002E4927"/>
    <w:rsid w:val="002F0425"/>
    <w:rsid w:val="002F6FD0"/>
    <w:rsid w:val="002F7033"/>
    <w:rsid w:val="002F7942"/>
    <w:rsid w:val="00304728"/>
    <w:rsid w:val="00304EF3"/>
    <w:rsid w:val="003073AB"/>
    <w:rsid w:val="00313F74"/>
    <w:rsid w:val="003158C9"/>
    <w:rsid w:val="003164E9"/>
    <w:rsid w:val="00320A28"/>
    <w:rsid w:val="003225CE"/>
    <w:rsid w:val="00322B85"/>
    <w:rsid w:val="00325EB5"/>
    <w:rsid w:val="0032767E"/>
    <w:rsid w:val="00327A21"/>
    <w:rsid w:val="00330F07"/>
    <w:rsid w:val="00335C19"/>
    <w:rsid w:val="00335FB0"/>
    <w:rsid w:val="003376EA"/>
    <w:rsid w:val="00340BA2"/>
    <w:rsid w:val="00341944"/>
    <w:rsid w:val="00343525"/>
    <w:rsid w:val="00345189"/>
    <w:rsid w:val="00346AF3"/>
    <w:rsid w:val="00350F5F"/>
    <w:rsid w:val="00355FC6"/>
    <w:rsid w:val="00360DA9"/>
    <w:rsid w:val="00370862"/>
    <w:rsid w:val="00372CAF"/>
    <w:rsid w:val="0037371D"/>
    <w:rsid w:val="00374568"/>
    <w:rsid w:val="00374587"/>
    <w:rsid w:val="00375D59"/>
    <w:rsid w:val="00377A3E"/>
    <w:rsid w:val="0038357F"/>
    <w:rsid w:val="0038602C"/>
    <w:rsid w:val="003903E8"/>
    <w:rsid w:val="00392A24"/>
    <w:rsid w:val="00394484"/>
    <w:rsid w:val="00395580"/>
    <w:rsid w:val="003979BE"/>
    <w:rsid w:val="003A0566"/>
    <w:rsid w:val="003A1F68"/>
    <w:rsid w:val="003A619B"/>
    <w:rsid w:val="003B2E4D"/>
    <w:rsid w:val="003B3F9E"/>
    <w:rsid w:val="003B606B"/>
    <w:rsid w:val="003B64BB"/>
    <w:rsid w:val="003C3A98"/>
    <w:rsid w:val="003C41B6"/>
    <w:rsid w:val="003D2449"/>
    <w:rsid w:val="003D3F82"/>
    <w:rsid w:val="003D472B"/>
    <w:rsid w:val="003D54C6"/>
    <w:rsid w:val="003D6168"/>
    <w:rsid w:val="003E0EBD"/>
    <w:rsid w:val="003E61E9"/>
    <w:rsid w:val="003E69D3"/>
    <w:rsid w:val="003F2D2C"/>
    <w:rsid w:val="003F7769"/>
    <w:rsid w:val="004002A8"/>
    <w:rsid w:val="00400F72"/>
    <w:rsid w:val="00405BED"/>
    <w:rsid w:val="00405EEA"/>
    <w:rsid w:val="00425043"/>
    <w:rsid w:val="00425D12"/>
    <w:rsid w:val="004301A2"/>
    <w:rsid w:val="00430305"/>
    <w:rsid w:val="00430962"/>
    <w:rsid w:val="00436C19"/>
    <w:rsid w:val="00440984"/>
    <w:rsid w:val="0044188F"/>
    <w:rsid w:val="0044404B"/>
    <w:rsid w:val="0045039E"/>
    <w:rsid w:val="004506A3"/>
    <w:rsid w:val="00454BBF"/>
    <w:rsid w:val="00460ED4"/>
    <w:rsid w:val="00460F80"/>
    <w:rsid w:val="00461B95"/>
    <w:rsid w:val="004644D1"/>
    <w:rsid w:val="004661DA"/>
    <w:rsid w:val="00467BAB"/>
    <w:rsid w:val="0047313E"/>
    <w:rsid w:val="00473805"/>
    <w:rsid w:val="00474DD0"/>
    <w:rsid w:val="00475833"/>
    <w:rsid w:val="00476076"/>
    <w:rsid w:val="004802E1"/>
    <w:rsid w:val="00480B7A"/>
    <w:rsid w:val="00482E85"/>
    <w:rsid w:val="00484CC7"/>
    <w:rsid w:val="004910CC"/>
    <w:rsid w:val="00496E5F"/>
    <w:rsid w:val="004A0685"/>
    <w:rsid w:val="004A06BC"/>
    <w:rsid w:val="004B1795"/>
    <w:rsid w:val="004B5563"/>
    <w:rsid w:val="004C1285"/>
    <w:rsid w:val="004C6D96"/>
    <w:rsid w:val="004D2E9A"/>
    <w:rsid w:val="004D4080"/>
    <w:rsid w:val="004D44D5"/>
    <w:rsid w:val="004D7998"/>
    <w:rsid w:val="004E0CF7"/>
    <w:rsid w:val="004E1EE7"/>
    <w:rsid w:val="004E3535"/>
    <w:rsid w:val="004E72D5"/>
    <w:rsid w:val="004F3FED"/>
    <w:rsid w:val="004F5F27"/>
    <w:rsid w:val="004F65E9"/>
    <w:rsid w:val="004F688C"/>
    <w:rsid w:val="004F6D3A"/>
    <w:rsid w:val="004F7707"/>
    <w:rsid w:val="0050300E"/>
    <w:rsid w:val="00503A88"/>
    <w:rsid w:val="00505559"/>
    <w:rsid w:val="00505858"/>
    <w:rsid w:val="00514ACD"/>
    <w:rsid w:val="0052292A"/>
    <w:rsid w:val="00523FF6"/>
    <w:rsid w:val="00533313"/>
    <w:rsid w:val="00542475"/>
    <w:rsid w:val="00544557"/>
    <w:rsid w:val="00546210"/>
    <w:rsid w:val="00550C46"/>
    <w:rsid w:val="00553609"/>
    <w:rsid w:val="00554223"/>
    <w:rsid w:val="00554550"/>
    <w:rsid w:val="005579EF"/>
    <w:rsid w:val="0056233F"/>
    <w:rsid w:val="005655D9"/>
    <w:rsid w:val="00571B0E"/>
    <w:rsid w:val="00571F26"/>
    <w:rsid w:val="00573CF8"/>
    <w:rsid w:val="00586CAB"/>
    <w:rsid w:val="00590573"/>
    <w:rsid w:val="00590CEB"/>
    <w:rsid w:val="005923AC"/>
    <w:rsid w:val="00595563"/>
    <w:rsid w:val="005A18A8"/>
    <w:rsid w:val="005A2048"/>
    <w:rsid w:val="005A3F3D"/>
    <w:rsid w:val="005A5153"/>
    <w:rsid w:val="005A676D"/>
    <w:rsid w:val="005A6E28"/>
    <w:rsid w:val="005B136C"/>
    <w:rsid w:val="005B290E"/>
    <w:rsid w:val="005B40F9"/>
    <w:rsid w:val="005B7151"/>
    <w:rsid w:val="005B7D6B"/>
    <w:rsid w:val="005C662F"/>
    <w:rsid w:val="005D0E7C"/>
    <w:rsid w:val="005D6706"/>
    <w:rsid w:val="005F1FCA"/>
    <w:rsid w:val="005F42F5"/>
    <w:rsid w:val="005F5FFB"/>
    <w:rsid w:val="005F619C"/>
    <w:rsid w:val="005F6EE5"/>
    <w:rsid w:val="00601947"/>
    <w:rsid w:val="00602B01"/>
    <w:rsid w:val="00607BA1"/>
    <w:rsid w:val="00610571"/>
    <w:rsid w:val="00613D7C"/>
    <w:rsid w:val="006144F2"/>
    <w:rsid w:val="0061591D"/>
    <w:rsid w:val="006253E1"/>
    <w:rsid w:val="00635D4B"/>
    <w:rsid w:val="0063607B"/>
    <w:rsid w:val="006371F2"/>
    <w:rsid w:val="00643F58"/>
    <w:rsid w:val="00645D46"/>
    <w:rsid w:val="00651B2B"/>
    <w:rsid w:val="006530A5"/>
    <w:rsid w:val="00654DDD"/>
    <w:rsid w:val="006578A9"/>
    <w:rsid w:val="00657E9F"/>
    <w:rsid w:val="00660831"/>
    <w:rsid w:val="00662FCC"/>
    <w:rsid w:val="00670249"/>
    <w:rsid w:val="00670A49"/>
    <w:rsid w:val="00671528"/>
    <w:rsid w:val="00671C89"/>
    <w:rsid w:val="00672695"/>
    <w:rsid w:val="00683160"/>
    <w:rsid w:val="00683794"/>
    <w:rsid w:val="006847A9"/>
    <w:rsid w:val="0068707F"/>
    <w:rsid w:val="00690CAC"/>
    <w:rsid w:val="006933CF"/>
    <w:rsid w:val="006961C6"/>
    <w:rsid w:val="00696CF5"/>
    <w:rsid w:val="006A153A"/>
    <w:rsid w:val="006A2DB7"/>
    <w:rsid w:val="006A53EA"/>
    <w:rsid w:val="006B208A"/>
    <w:rsid w:val="006B75FE"/>
    <w:rsid w:val="006B7DEB"/>
    <w:rsid w:val="006C218D"/>
    <w:rsid w:val="006C6F75"/>
    <w:rsid w:val="006D464D"/>
    <w:rsid w:val="006D4F20"/>
    <w:rsid w:val="006D67D8"/>
    <w:rsid w:val="006D6CE2"/>
    <w:rsid w:val="006E1ED5"/>
    <w:rsid w:val="006E33D8"/>
    <w:rsid w:val="006E69EF"/>
    <w:rsid w:val="006F1833"/>
    <w:rsid w:val="006F2CC8"/>
    <w:rsid w:val="006F684B"/>
    <w:rsid w:val="007003E1"/>
    <w:rsid w:val="00700E4F"/>
    <w:rsid w:val="00702306"/>
    <w:rsid w:val="00702A29"/>
    <w:rsid w:val="00705087"/>
    <w:rsid w:val="007069D0"/>
    <w:rsid w:val="00712697"/>
    <w:rsid w:val="0071573C"/>
    <w:rsid w:val="00715EDF"/>
    <w:rsid w:val="00717840"/>
    <w:rsid w:val="007207D2"/>
    <w:rsid w:val="00724149"/>
    <w:rsid w:val="00724302"/>
    <w:rsid w:val="00730D81"/>
    <w:rsid w:val="00731696"/>
    <w:rsid w:val="00733CFF"/>
    <w:rsid w:val="007376DE"/>
    <w:rsid w:val="00751FF5"/>
    <w:rsid w:val="00760805"/>
    <w:rsid w:val="0076251A"/>
    <w:rsid w:val="00764CAC"/>
    <w:rsid w:val="00766DDF"/>
    <w:rsid w:val="0077332F"/>
    <w:rsid w:val="00775A74"/>
    <w:rsid w:val="0078044D"/>
    <w:rsid w:val="00784E8C"/>
    <w:rsid w:val="007A4CAD"/>
    <w:rsid w:val="007A6FF6"/>
    <w:rsid w:val="007B2C56"/>
    <w:rsid w:val="007B5EC7"/>
    <w:rsid w:val="007C01B4"/>
    <w:rsid w:val="007C02D1"/>
    <w:rsid w:val="007C1AB2"/>
    <w:rsid w:val="007C2380"/>
    <w:rsid w:val="007C5017"/>
    <w:rsid w:val="007C5C25"/>
    <w:rsid w:val="007D04D1"/>
    <w:rsid w:val="007D0694"/>
    <w:rsid w:val="007D0958"/>
    <w:rsid w:val="007D0A82"/>
    <w:rsid w:val="007D28F7"/>
    <w:rsid w:val="007D2D1A"/>
    <w:rsid w:val="007D5E8F"/>
    <w:rsid w:val="007D6ACA"/>
    <w:rsid w:val="007E4D89"/>
    <w:rsid w:val="007E693A"/>
    <w:rsid w:val="007E6CB3"/>
    <w:rsid w:val="007F0C32"/>
    <w:rsid w:val="007F1C24"/>
    <w:rsid w:val="007F3982"/>
    <w:rsid w:val="007F778F"/>
    <w:rsid w:val="00802028"/>
    <w:rsid w:val="00806DBC"/>
    <w:rsid w:val="008077BF"/>
    <w:rsid w:val="00807BF6"/>
    <w:rsid w:val="008173C5"/>
    <w:rsid w:val="00820E9D"/>
    <w:rsid w:val="00822ED9"/>
    <w:rsid w:val="00823626"/>
    <w:rsid w:val="00823F09"/>
    <w:rsid w:val="00825455"/>
    <w:rsid w:val="0083653E"/>
    <w:rsid w:val="00836CC9"/>
    <w:rsid w:val="00836DE6"/>
    <w:rsid w:val="00837E68"/>
    <w:rsid w:val="00837FB9"/>
    <w:rsid w:val="00841308"/>
    <w:rsid w:val="00844187"/>
    <w:rsid w:val="00852403"/>
    <w:rsid w:val="00852CA7"/>
    <w:rsid w:val="00853A55"/>
    <w:rsid w:val="00853ED7"/>
    <w:rsid w:val="008550B1"/>
    <w:rsid w:val="00856105"/>
    <w:rsid w:val="0086194F"/>
    <w:rsid w:val="008663E9"/>
    <w:rsid w:val="008664C4"/>
    <w:rsid w:val="00866625"/>
    <w:rsid w:val="00867E6D"/>
    <w:rsid w:val="00870C4E"/>
    <w:rsid w:val="00872420"/>
    <w:rsid w:val="0087287A"/>
    <w:rsid w:val="00873BDD"/>
    <w:rsid w:val="00875DCB"/>
    <w:rsid w:val="00880643"/>
    <w:rsid w:val="00882950"/>
    <w:rsid w:val="00885077"/>
    <w:rsid w:val="00887186"/>
    <w:rsid w:val="008878DE"/>
    <w:rsid w:val="0088797D"/>
    <w:rsid w:val="008928A6"/>
    <w:rsid w:val="008933B4"/>
    <w:rsid w:val="008942FB"/>
    <w:rsid w:val="00894B4C"/>
    <w:rsid w:val="00894C16"/>
    <w:rsid w:val="00894F28"/>
    <w:rsid w:val="00896C8E"/>
    <w:rsid w:val="008A3E6D"/>
    <w:rsid w:val="008A52A4"/>
    <w:rsid w:val="008A5837"/>
    <w:rsid w:val="008A67CF"/>
    <w:rsid w:val="008A79AB"/>
    <w:rsid w:val="008B14DB"/>
    <w:rsid w:val="008B54E9"/>
    <w:rsid w:val="008D1E2C"/>
    <w:rsid w:val="008D5F93"/>
    <w:rsid w:val="008D621D"/>
    <w:rsid w:val="008D7720"/>
    <w:rsid w:val="008E0F01"/>
    <w:rsid w:val="008E14AE"/>
    <w:rsid w:val="008E1FF4"/>
    <w:rsid w:val="008E2C78"/>
    <w:rsid w:val="008E58B9"/>
    <w:rsid w:val="008F5A5C"/>
    <w:rsid w:val="008F76CA"/>
    <w:rsid w:val="00900EF4"/>
    <w:rsid w:val="00904324"/>
    <w:rsid w:val="00906CE8"/>
    <w:rsid w:val="009074AA"/>
    <w:rsid w:val="009111EC"/>
    <w:rsid w:val="00911427"/>
    <w:rsid w:val="00915369"/>
    <w:rsid w:val="00915FA4"/>
    <w:rsid w:val="00917130"/>
    <w:rsid w:val="009235D8"/>
    <w:rsid w:val="0092662F"/>
    <w:rsid w:val="00932B2E"/>
    <w:rsid w:val="00934E70"/>
    <w:rsid w:val="00941D58"/>
    <w:rsid w:val="0094203B"/>
    <w:rsid w:val="00944BB1"/>
    <w:rsid w:val="00945E1A"/>
    <w:rsid w:val="00947E9A"/>
    <w:rsid w:val="0095138E"/>
    <w:rsid w:val="00957F85"/>
    <w:rsid w:val="0096038E"/>
    <w:rsid w:val="0096041F"/>
    <w:rsid w:val="009704CC"/>
    <w:rsid w:val="00972CB1"/>
    <w:rsid w:val="009743D1"/>
    <w:rsid w:val="00974D97"/>
    <w:rsid w:val="00974ED5"/>
    <w:rsid w:val="00976C66"/>
    <w:rsid w:val="00980E2D"/>
    <w:rsid w:val="00986505"/>
    <w:rsid w:val="009867A6"/>
    <w:rsid w:val="00987142"/>
    <w:rsid w:val="00990103"/>
    <w:rsid w:val="00991A58"/>
    <w:rsid w:val="009937DB"/>
    <w:rsid w:val="009945D8"/>
    <w:rsid w:val="00994C30"/>
    <w:rsid w:val="00996888"/>
    <w:rsid w:val="009A0E4B"/>
    <w:rsid w:val="009A1CFB"/>
    <w:rsid w:val="009A2C60"/>
    <w:rsid w:val="009A31F9"/>
    <w:rsid w:val="009A49B4"/>
    <w:rsid w:val="009B208F"/>
    <w:rsid w:val="009B49B6"/>
    <w:rsid w:val="009B5FA2"/>
    <w:rsid w:val="009B77B1"/>
    <w:rsid w:val="009D2047"/>
    <w:rsid w:val="009D5B03"/>
    <w:rsid w:val="009D6CCA"/>
    <w:rsid w:val="009D7332"/>
    <w:rsid w:val="009E2EEF"/>
    <w:rsid w:val="009E492F"/>
    <w:rsid w:val="009E51ED"/>
    <w:rsid w:val="009E606F"/>
    <w:rsid w:val="009E6AD8"/>
    <w:rsid w:val="009E7EAB"/>
    <w:rsid w:val="009F1AFD"/>
    <w:rsid w:val="009F70CD"/>
    <w:rsid w:val="009F7F12"/>
    <w:rsid w:val="00A0221E"/>
    <w:rsid w:val="00A03DE1"/>
    <w:rsid w:val="00A1418A"/>
    <w:rsid w:val="00A14715"/>
    <w:rsid w:val="00A15BB2"/>
    <w:rsid w:val="00A1600D"/>
    <w:rsid w:val="00A17B86"/>
    <w:rsid w:val="00A25E92"/>
    <w:rsid w:val="00A26B46"/>
    <w:rsid w:val="00A27D9A"/>
    <w:rsid w:val="00A30829"/>
    <w:rsid w:val="00A33AA0"/>
    <w:rsid w:val="00A34B15"/>
    <w:rsid w:val="00A42A1E"/>
    <w:rsid w:val="00A44A7B"/>
    <w:rsid w:val="00A45B43"/>
    <w:rsid w:val="00A46EC7"/>
    <w:rsid w:val="00A51A85"/>
    <w:rsid w:val="00A52CB7"/>
    <w:rsid w:val="00A54119"/>
    <w:rsid w:val="00A61553"/>
    <w:rsid w:val="00A65205"/>
    <w:rsid w:val="00A70040"/>
    <w:rsid w:val="00A73BC1"/>
    <w:rsid w:val="00A73C22"/>
    <w:rsid w:val="00A7764A"/>
    <w:rsid w:val="00A776EA"/>
    <w:rsid w:val="00A808A4"/>
    <w:rsid w:val="00A81208"/>
    <w:rsid w:val="00A81730"/>
    <w:rsid w:val="00A82523"/>
    <w:rsid w:val="00A83204"/>
    <w:rsid w:val="00A84354"/>
    <w:rsid w:val="00A84CBC"/>
    <w:rsid w:val="00A853EA"/>
    <w:rsid w:val="00A85B6F"/>
    <w:rsid w:val="00A87DF4"/>
    <w:rsid w:val="00A914B2"/>
    <w:rsid w:val="00A92B7B"/>
    <w:rsid w:val="00AA2E5F"/>
    <w:rsid w:val="00AA3FFF"/>
    <w:rsid w:val="00AB0BF7"/>
    <w:rsid w:val="00AB408A"/>
    <w:rsid w:val="00AB59BE"/>
    <w:rsid w:val="00AB5D06"/>
    <w:rsid w:val="00AB6FE0"/>
    <w:rsid w:val="00AB7229"/>
    <w:rsid w:val="00AC014C"/>
    <w:rsid w:val="00AC1249"/>
    <w:rsid w:val="00AC3E83"/>
    <w:rsid w:val="00AC5DDF"/>
    <w:rsid w:val="00AD29FF"/>
    <w:rsid w:val="00AD50F0"/>
    <w:rsid w:val="00AD611A"/>
    <w:rsid w:val="00AD6F47"/>
    <w:rsid w:val="00AE1116"/>
    <w:rsid w:val="00AE55C6"/>
    <w:rsid w:val="00AE6599"/>
    <w:rsid w:val="00AE7205"/>
    <w:rsid w:val="00B15688"/>
    <w:rsid w:val="00B1779F"/>
    <w:rsid w:val="00B21C25"/>
    <w:rsid w:val="00B21FBC"/>
    <w:rsid w:val="00B23E34"/>
    <w:rsid w:val="00B3089C"/>
    <w:rsid w:val="00B33652"/>
    <w:rsid w:val="00B338D1"/>
    <w:rsid w:val="00B34797"/>
    <w:rsid w:val="00B350ED"/>
    <w:rsid w:val="00B35C6B"/>
    <w:rsid w:val="00B419E3"/>
    <w:rsid w:val="00B42432"/>
    <w:rsid w:val="00B42653"/>
    <w:rsid w:val="00B44DF1"/>
    <w:rsid w:val="00B459A2"/>
    <w:rsid w:val="00B472D3"/>
    <w:rsid w:val="00B517BA"/>
    <w:rsid w:val="00B51D11"/>
    <w:rsid w:val="00B53531"/>
    <w:rsid w:val="00B53D55"/>
    <w:rsid w:val="00B54483"/>
    <w:rsid w:val="00B649B5"/>
    <w:rsid w:val="00B65CD4"/>
    <w:rsid w:val="00B6602F"/>
    <w:rsid w:val="00B70A20"/>
    <w:rsid w:val="00B71D6C"/>
    <w:rsid w:val="00B73873"/>
    <w:rsid w:val="00B75190"/>
    <w:rsid w:val="00B76C1F"/>
    <w:rsid w:val="00B807DA"/>
    <w:rsid w:val="00B81439"/>
    <w:rsid w:val="00B82E3C"/>
    <w:rsid w:val="00B83E72"/>
    <w:rsid w:val="00B8560E"/>
    <w:rsid w:val="00B86ABE"/>
    <w:rsid w:val="00B90F5C"/>
    <w:rsid w:val="00B94C05"/>
    <w:rsid w:val="00B95B85"/>
    <w:rsid w:val="00BA2614"/>
    <w:rsid w:val="00BA4047"/>
    <w:rsid w:val="00BA7DE9"/>
    <w:rsid w:val="00BB13CE"/>
    <w:rsid w:val="00BB1EC5"/>
    <w:rsid w:val="00BB39B4"/>
    <w:rsid w:val="00BB6457"/>
    <w:rsid w:val="00BC60AF"/>
    <w:rsid w:val="00BC67B3"/>
    <w:rsid w:val="00BC7586"/>
    <w:rsid w:val="00BD2D3B"/>
    <w:rsid w:val="00BD60EF"/>
    <w:rsid w:val="00BD6568"/>
    <w:rsid w:val="00BD7EB0"/>
    <w:rsid w:val="00BF43C8"/>
    <w:rsid w:val="00BF4FDC"/>
    <w:rsid w:val="00BF55FF"/>
    <w:rsid w:val="00BF79B3"/>
    <w:rsid w:val="00C02A85"/>
    <w:rsid w:val="00C03020"/>
    <w:rsid w:val="00C037C3"/>
    <w:rsid w:val="00C04553"/>
    <w:rsid w:val="00C06DA2"/>
    <w:rsid w:val="00C07967"/>
    <w:rsid w:val="00C10C87"/>
    <w:rsid w:val="00C11485"/>
    <w:rsid w:val="00C126E8"/>
    <w:rsid w:val="00C13AF3"/>
    <w:rsid w:val="00C14CBA"/>
    <w:rsid w:val="00C1528F"/>
    <w:rsid w:val="00C15414"/>
    <w:rsid w:val="00C178A0"/>
    <w:rsid w:val="00C231B3"/>
    <w:rsid w:val="00C2553F"/>
    <w:rsid w:val="00C272B7"/>
    <w:rsid w:val="00C33540"/>
    <w:rsid w:val="00C34C57"/>
    <w:rsid w:val="00C4040A"/>
    <w:rsid w:val="00C51509"/>
    <w:rsid w:val="00C53D28"/>
    <w:rsid w:val="00C6704D"/>
    <w:rsid w:val="00C70C7A"/>
    <w:rsid w:val="00C71CB2"/>
    <w:rsid w:val="00C75CA8"/>
    <w:rsid w:val="00C76FAE"/>
    <w:rsid w:val="00C77EA4"/>
    <w:rsid w:val="00C80E86"/>
    <w:rsid w:val="00C81BC7"/>
    <w:rsid w:val="00C82008"/>
    <w:rsid w:val="00C83788"/>
    <w:rsid w:val="00C87281"/>
    <w:rsid w:val="00C87BF8"/>
    <w:rsid w:val="00C912BE"/>
    <w:rsid w:val="00C92618"/>
    <w:rsid w:val="00C93217"/>
    <w:rsid w:val="00C93E80"/>
    <w:rsid w:val="00C94798"/>
    <w:rsid w:val="00C958BB"/>
    <w:rsid w:val="00C95A71"/>
    <w:rsid w:val="00CA1A8F"/>
    <w:rsid w:val="00CA2AE9"/>
    <w:rsid w:val="00CA52E9"/>
    <w:rsid w:val="00CB2300"/>
    <w:rsid w:val="00CB686A"/>
    <w:rsid w:val="00CC6E5D"/>
    <w:rsid w:val="00CC721C"/>
    <w:rsid w:val="00CD0D8A"/>
    <w:rsid w:val="00CD4A29"/>
    <w:rsid w:val="00CE6A22"/>
    <w:rsid w:val="00CE70D0"/>
    <w:rsid w:val="00CF2AD9"/>
    <w:rsid w:val="00CF4689"/>
    <w:rsid w:val="00D049A2"/>
    <w:rsid w:val="00D04AC5"/>
    <w:rsid w:val="00D109B3"/>
    <w:rsid w:val="00D1289B"/>
    <w:rsid w:val="00D129F9"/>
    <w:rsid w:val="00D306CD"/>
    <w:rsid w:val="00D36F92"/>
    <w:rsid w:val="00D4193A"/>
    <w:rsid w:val="00D41CCC"/>
    <w:rsid w:val="00D47F80"/>
    <w:rsid w:val="00D517C6"/>
    <w:rsid w:val="00D5344F"/>
    <w:rsid w:val="00D5665E"/>
    <w:rsid w:val="00D56780"/>
    <w:rsid w:val="00D63E39"/>
    <w:rsid w:val="00D65787"/>
    <w:rsid w:val="00D660F7"/>
    <w:rsid w:val="00D71E0F"/>
    <w:rsid w:val="00D737AE"/>
    <w:rsid w:val="00D74EA4"/>
    <w:rsid w:val="00D75D17"/>
    <w:rsid w:val="00D81F37"/>
    <w:rsid w:val="00D82B08"/>
    <w:rsid w:val="00D82C82"/>
    <w:rsid w:val="00D84061"/>
    <w:rsid w:val="00D96CCB"/>
    <w:rsid w:val="00DA00C4"/>
    <w:rsid w:val="00DA0D74"/>
    <w:rsid w:val="00DA39DF"/>
    <w:rsid w:val="00DA4CEF"/>
    <w:rsid w:val="00DA5A3E"/>
    <w:rsid w:val="00DA62A7"/>
    <w:rsid w:val="00DA661D"/>
    <w:rsid w:val="00DB08E9"/>
    <w:rsid w:val="00DB0CF3"/>
    <w:rsid w:val="00DB1A6D"/>
    <w:rsid w:val="00DB23BC"/>
    <w:rsid w:val="00DB7BB7"/>
    <w:rsid w:val="00DC054E"/>
    <w:rsid w:val="00DC143B"/>
    <w:rsid w:val="00DC2A4C"/>
    <w:rsid w:val="00DC75DC"/>
    <w:rsid w:val="00DD2ACD"/>
    <w:rsid w:val="00DD569D"/>
    <w:rsid w:val="00DE13E9"/>
    <w:rsid w:val="00DE5572"/>
    <w:rsid w:val="00DF04D0"/>
    <w:rsid w:val="00DF0857"/>
    <w:rsid w:val="00DF3435"/>
    <w:rsid w:val="00DF3DE7"/>
    <w:rsid w:val="00DF574F"/>
    <w:rsid w:val="00E022FB"/>
    <w:rsid w:val="00E031F0"/>
    <w:rsid w:val="00E04FF5"/>
    <w:rsid w:val="00E060C3"/>
    <w:rsid w:val="00E10278"/>
    <w:rsid w:val="00E1266F"/>
    <w:rsid w:val="00E133AB"/>
    <w:rsid w:val="00E14A66"/>
    <w:rsid w:val="00E175FC"/>
    <w:rsid w:val="00E229FC"/>
    <w:rsid w:val="00E23178"/>
    <w:rsid w:val="00E27A07"/>
    <w:rsid w:val="00E30565"/>
    <w:rsid w:val="00E30DF5"/>
    <w:rsid w:val="00E368BE"/>
    <w:rsid w:val="00E37B81"/>
    <w:rsid w:val="00E400E9"/>
    <w:rsid w:val="00E40FA1"/>
    <w:rsid w:val="00E44DC9"/>
    <w:rsid w:val="00E45895"/>
    <w:rsid w:val="00E50037"/>
    <w:rsid w:val="00E5536C"/>
    <w:rsid w:val="00E72723"/>
    <w:rsid w:val="00E76F80"/>
    <w:rsid w:val="00E828E4"/>
    <w:rsid w:val="00E94018"/>
    <w:rsid w:val="00E94D13"/>
    <w:rsid w:val="00E967BF"/>
    <w:rsid w:val="00EA03B9"/>
    <w:rsid w:val="00EA52A8"/>
    <w:rsid w:val="00EA6635"/>
    <w:rsid w:val="00EA6ABA"/>
    <w:rsid w:val="00EB30F7"/>
    <w:rsid w:val="00EB749A"/>
    <w:rsid w:val="00EB75B4"/>
    <w:rsid w:val="00EC43D6"/>
    <w:rsid w:val="00ED2A6F"/>
    <w:rsid w:val="00ED4FCF"/>
    <w:rsid w:val="00ED7FCF"/>
    <w:rsid w:val="00EE291F"/>
    <w:rsid w:val="00EE30F0"/>
    <w:rsid w:val="00EE311E"/>
    <w:rsid w:val="00EE4D1E"/>
    <w:rsid w:val="00EE5BAB"/>
    <w:rsid w:val="00EE6256"/>
    <w:rsid w:val="00EE67BE"/>
    <w:rsid w:val="00EF279D"/>
    <w:rsid w:val="00EF7021"/>
    <w:rsid w:val="00F02C4E"/>
    <w:rsid w:val="00F03AA7"/>
    <w:rsid w:val="00F06DB0"/>
    <w:rsid w:val="00F071A4"/>
    <w:rsid w:val="00F077D2"/>
    <w:rsid w:val="00F07F27"/>
    <w:rsid w:val="00F1357B"/>
    <w:rsid w:val="00F14792"/>
    <w:rsid w:val="00F2009A"/>
    <w:rsid w:val="00F225C6"/>
    <w:rsid w:val="00F2260F"/>
    <w:rsid w:val="00F22C93"/>
    <w:rsid w:val="00F32707"/>
    <w:rsid w:val="00F374AE"/>
    <w:rsid w:val="00F4265E"/>
    <w:rsid w:val="00F44C43"/>
    <w:rsid w:val="00F50BC5"/>
    <w:rsid w:val="00F51B5C"/>
    <w:rsid w:val="00F54267"/>
    <w:rsid w:val="00F60F1C"/>
    <w:rsid w:val="00F6216D"/>
    <w:rsid w:val="00F6564A"/>
    <w:rsid w:val="00F65BA5"/>
    <w:rsid w:val="00F75A84"/>
    <w:rsid w:val="00F76B41"/>
    <w:rsid w:val="00F77040"/>
    <w:rsid w:val="00F80C6E"/>
    <w:rsid w:val="00F825F3"/>
    <w:rsid w:val="00F93521"/>
    <w:rsid w:val="00F93AF1"/>
    <w:rsid w:val="00F97CBB"/>
    <w:rsid w:val="00FA4204"/>
    <w:rsid w:val="00FA45A5"/>
    <w:rsid w:val="00FA4701"/>
    <w:rsid w:val="00FA5387"/>
    <w:rsid w:val="00FB0CAC"/>
    <w:rsid w:val="00FB4811"/>
    <w:rsid w:val="00FB56ED"/>
    <w:rsid w:val="00FC0B1F"/>
    <w:rsid w:val="00FC11FC"/>
    <w:rsid w:val="00FC4E78"/>
    <w:rsid w:val="00FC59F9"/>
    <w:rsid w:val="00FD2FA1"/>
    <w:rsid w:val="00FD5AC6"/>
    <w:rsid w:val="00FD74AD"/>
    <w:rsid w:val="00FE055F"/>
    <w:rsid w:val="00FE2D93"/>
    <w:rsid w:val="00FE3DE5"/>
    <w:rsid w:val="00FF2439"/>
    <w:rsid w:val="00FF5052"/>
    <w:rsid w:val="00FF7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C5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paragraph" w:styleId="Ttulo9">
    <w:name w:val="heading 9"/>
    <w:basedOn w:val="Normal"/>
    <w:next w:val="Normal"/>
    <w:link w:val="Ttulo9Char"/>
    <w:semiHidden/>
    <w:unhideWhenUsed/>
    <w:qFormat/>
    <w:rsid w:val="00A843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252"/>
        <w:tab w:val="right" w:pos="8504"/>
      </w:tabs>
    </w:pPr>
    <w:rPr>
      <w:snapToGrid w:val="0"/>
      <w:lang w:val="es-ES_tradnl"/>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thick"/>
      <w:lang w:val="es-UY"/>
    </w:rPr>
  </w:style>
  <w:style w:type="paragraph" w:styleId="Recuodecorpodetexto">
    <w:name w:val="Body Text Indent"/>
    <w:basedOn w:val="Normal"/>
    <w:link w:val="RecuodecorpodetextoChar"/>
    <w:rsid w:val="004A06BC"/>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sid w:val="004A06BC"/>
    <w:rPr>
      <w:sz w:val="24"/>
      <w:szCs w:val="24"/>
      <w:lang w:val="es-ES" w:eastAsia="es-ES"/>
    </w:rPr>
  </w:style>
  <w:style w:type="paragraph" w:styleId="Corpodetexto">
    <w:name w:val="Body Text"/>
    <w:basedOn w:val="Normal"/>
    <w:link w:val="CorpodetextoChar"/>
    <w:rsid w:val="004A06BC"/>
    <w:pPr>
      <w:spacing w:after="120"/>
    </w:pPr>
    <w:rPr>
      <w:rFonts w:ascii="Times New Roman" w:hAnsi="Times New Roman"/>
      <w:szCs w:val="24"/>
      <w:lang w:val="en-US" w:eastAsia="en-US"/>
    </w:rPr>
  </w:style>
  <w:style w:type="character" w:customStyle="1" w:styleId="CorpodetextoChar">
    <w:name w:val="Corpo de texto Char"/>
    <w:link w:val="Corpodetexto"/>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RodapChar">
    <w:name w:val="Rodapé Char"/>
    <w:link w:val="Rodap"/>
    <w:uiPriority w:val="99"/>
    <w:rsid w:val="004A06BC"/>
    <w:rPr>
      <w:rFonts w:ascii="Arial" w:hAnsi="Arial"/>
      <w:sz w:val="24"/>
      <w:lang w:val="pt-BR" w:eastAsia="es-ES"/>
    </w:rPr>
  </w:style>
  <w:style w:type="paragraph" w:styleId="Textodebalo">
    <w:name w:val="Balloon Text"/>
    <w:basedOn w:val="Normal"/>
    <w:link w:val="TextodebaloChar"/>
    <w:rsid w:val="004A06BC"/>
    <w:rPr>
      <w:rFonts w:ascii="Tahoma" w:hAnsi="Tahoma"/>
      <w:sz w:val="16"/>
      <w:szCs w:val="16"/>
    </w:rPr>
  </w:style>
  <w:style w:type="character" w:customStyle="1" w:styleId="TextodebaloChar">
    <w:name w:val="Texto de balão Char"/>
    <w:link w:val="Textodebal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elacomgrade">
    <w:name w:val="Table Grid"/>
    <w:basedOn w:val="Tabelanormal"/>
    <w:uiPriority w:val="59"/>
    <w:rsid w:val="009B5FA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9B5FA2"/>
    <w:pPr>
      <w:spacing w:before="240" w:after="60"/>
      <w:jc w:val="center"/>
      <w:outlineLvl w:val="0"/>
    </w:pPr>
    <w:rPr>
      <w:rFonts w:ascii="Cambria" w:hAnsi="Cambria"/>
      <w:b/>
      <w:bCs/>
      <w:kern w:val="28"/>
      <w:sz w:val="32"/>
      <w:szCs w:val="32"/>
    </w:rPr>
  </w:style>
  <w:style w:type="character" w:customStyle="1" w:styleId="TtuloChar">
    <w:name w:val="Título Char"/>
    <w:link w:val="Ttulo"/>
    <w:rsid w:val="009B5FA2"/>
    <w:rPr>
      <w:rFonts w:ascii="Cambria" w:eastAsia="Times New Roman" w:hAnsi="Cambria" w:cs="Times New Roman"/>
      <w:b/>
      <w:bCs/>
      <w:kern w:val="28"/>
      <w:sz w:val="32"/>
      <w:szCs w:val="32"/>
      <w:lang w:val="pt-BR" w:eastAsia="es-ES"/>
    </w:rPr>
  </w:style>
  <w:style w:type="paragraph" w:styleId="Legenda">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decomentrio">
    <w:name w:val="annotation text"/>
    <w:basedOn w:val="Normal"/>
    <w:link w:val="TextodecomentrioChar"/>
    <w:rsid w:val="004661DA"/>
    <w:rPr>
      <w:sz w:val="20"/>
    </w:rPr>
  </w:style>
  <w:style w:type="character" w:customStyle="1" w:styleId="TextodecomentrioChar">
    <w:name w:val="Texto de comentário Char"/>
    <w:link w:val="Textodecomentrio"/>
    <w:rsid w:val="004661DA"/>
    <w:rPr>
      <w:rFonts w:ascii="Arial" w:hAnsi="Arial"/>
      <w:lang w:val="pt-BR" w:eastAsia="es-ES"/>
    </w:rPr>
  </w:style>
  <w:style w:type="character" w:styleId="Refdecoment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emlista"/>
    <w:rsid w:val="001220EA"/>
    <w:pPr>
      <w:numPr>
        <w:numId w:val="1"/>
      </w:numPr>
    </w:pPr>
  </w:style>
  <w:style w:type="character" w:customStyle="1" w:styleId="MenoPendente1">
    <w:name w:val="Menção Pendente1"/>
    <w:basedOn w:val="Fontepargpadro"/>
    <w:uiPriority w:val="99"/>
    <w:semiHidden/>
    <w:unhideWhenUsed/>
    <w:rsid w:val="00343525"/>
    <w:rPr>
      <w:color w:val="605E5C"/>
      <w:shd w:val="clear" w:color="auto" w:fill="E1DFDD"/>
    </w:rPr>
  </w:style>
  <w:style w:type="character" w:customStyle="1" w:styleId="Ttulo9Char">
    <w:name w:val="Título 9 Char"/>
    <w:basedOn w:val="Fontepargpadro"/>
    <w:link w:val="Ttulo9"/>
    <w:semiHidden/>
    <w:rsid w:val="00A84354"/>
    <w:rPr>
      <w:rFonts w:asciiTheme="majorHAnsi" w:eastAsiaTheme="majorEastAsia" w:hAnsiTheme="majorHAnsi" w:cstheme="majorBidi"/>
      <w:i/>
      <w:iCs/>
      <w:color w:val="272727" w:themeColor="text1" w:themeTint="D8"/>
      <w:sz w:val="21"/>
      <w:szCs w:val="21"/>
      <w:lang w:eastAsia="es-ES"/>
    </w:rPr>
  </w:style>
  <w:style w:type="character" w:customStyle="1" w:styleId="Ttulo2Char">
    <w:name w:val="Título 2 Char"/>
    <w:link w:val="Ttulo2"/>
    <w:rsid w:val="00A84354"/>
    <w:rPr>
      <w:rFonts w:ascii="Arial" w:hAnsi="Arial"/>
      <w:b/>
      <w:sz w:val="24"/>
      <w:lang w:val="es-MX" w:eastAsia="es-ES"/>
    </w:rPr>
  </w:style>
  <w:style w:type="character" w:customStyle="1" w:styleId="CabealhoChar">
    <w:name w:val="Cabeçalho Char"/>
    <w:link w:val="Cabealho"/>
    <w:uiPriority w:val="99"/>
    <w:rsid w:val="00A84354"/>
    <w:rPr>
      <w:rFonts w:ascii="Arial" w:hAnsi="Arial"/>
      <w:snapToGrid w:val="0"/>
      <w:sz w:val="24"/>
      <w:lang w:val="es-ES_tradnl" w:eastAsia="es-ES"/>
    </w:rPr>
  </w:style>
  <w:style w:type="paragraph" w:customStyle="1" w:styleId="xs2">
    <w:name w:val="x_s2"/>
    <w:basedOn w:val="Normal"/>
    <w:rsid w:val="00A84354"/>
    <w:pPr>
      <w:spacing w:before="100" w:beforeAutospacing="1" w:after="100" w:afterAutospacing="1"/>
    </w:pPr>
    <w:rPr>
      <w:rFonts w:ascii="Times New Roman" w:hAnsi="Times New Roman"/>
      <w:szCs w:val="24"/>
      <w:lang w:val="es-UY" w:eastAsia="es-UY"/>
    </w:rPr>
  </w:style>
  <w:style w:type="character" w:customStyle="1" w:styleId="xapple-converted-space">
    <w:name w:val="x_apple-converted-space"/>
    <w:rsid w:val="00A84354"/>
  </w:style>
  <w:style w:type="character" w:customStyle="1" w:styleId="xs5">
    <w:name w:val="x_s5"/>
    <w:rsid w:val="00A84354"/>
  </w:style>
  <w:style w:type="paragraph" w:customStyle="1" w:styleId="xmsonormal">
    <w:name w:val="x_msonormal"/>
    <w:basedOn w:val="Normal"/>
    <w:rsid w:val="00A84354"/>
    <w:pPr>
      <w:spacing w:before="100" w:beforeAutospacing="1" w:after="100" w:afterAutospacing="1"/>
    </w:pPr>
    <w:rPr>
      <w:rFonts w:ascii="Times New Roman" w:hAnsi="Times New Roman"/>
      <w:szCs w:val="24"/>
      <w:lang w:val="es-UY" w:eastAsia="es-UY"/>
    </w:rPr>
  </w:style>
  <w:style w:type="paragraph" w:customStyle="1" w:styleId="xmsolistparagraph">
    <w:name w:val="x_msolistparagraph"/>
    <w:basedOn w:val="Normal"/>
    <w:rsid w:val="00A84354"/>
    <w:pPr>
      <w:spacing w:before="100" w:beforeAutospacing="1" w:after="100" w:afterAutospacing="1"/>
    </w:pPr>
    <w:rPr>
      <w:rFonts w:ascii="Times New Roman" w:hAnsi="Times New Roman"/>
      <w:szCs w:val="24"/>
      <w:lang w:val="es-UY" w:eastAsia="es-UY"/>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rsid w:val="0086194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304728"/>
    <w:rPr>
      <w:rFonts w:asciiTheme="minorHAnsi" w:eastAsiaTheme="minorHAnsi" w:hAnsiTheme="minorHAnsi" w:cstheme="minorBidi"/>
      <w:sz w:val="22"/>
      <w:szCs w:val="22"/>
      <w:lang w:eastAsia="en-US"/>
    </w:rPr>
  </w:style>
  <w:style w:type="table" w:customStyle="1" w:styleId="TableNormal">
    <w:name w:val="Table Normal"/>
    <w:rsid w:val="00904324"/>
    <w:pPr>
      <w:pBdr>
        <w:top w:val="nil"/>
        <w:left w:val="nil"/>
        <w:bottom w:val="nil"/>
        <w:right w:val="nil"/>
        <w:between w:val="nil"/>
        <w:bar w:val="nil"/>
      </w:pBdr>
    </w:pPr>
    <w:rPr>
      <w:rFonts w:eastAsia="Arial Unicode MS"/>
      <w:bdr w:val="nil"/>
      <w:lang w:val="es-UY" w:eastAsia="es-UY"/>
    </w:rPr>
    <w:tblPr>
      <w:tblInd w:w="0" w:type="dxa"/>
      <w:tblCellMar>
        <w:top w:w="0" w:type="dxa"/>
        <w:left w:w="0" w:type="dxa"/>
        <w:bottom w:w="0" w:type="dxa"/>
        <w:right w:w="0" w:type="dxa"/>
      </w:tblCellMar>
    </w:tblPr>
  </w:style>
  <w:style w:type="numbering" w:customStyle="1" w:styleId="ImportedStyle1">
    <w:name w:val="Imported Style 1"/>
    <w:rsid w:val="00904324"/>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paragraph" w:styleId="Ttulo9">
    <w:name w:val="heading 9"/>
    <w:basedOn w:val="Normal"/>
    <w:next w:val="Normal"/>
    <w:link w:val="Ttulo9Char"/>
    <w:semiHidden/>
    <w:unhideWhenUsed/>
    <w:qFormat/>
    <w:rsid w:val="00A843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252"/>
        <w:tab w:val="right" w:pos="8504"/>
      </w:tabs>
    </w:pPr>
    <w:rPr>
      <w:snapToGrid w:val="0"/>
      <w:lang w:val="es-ES_tradnl"/>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thick"/>
      <w:lang w:val="es-UY"/>
    </w:rPr>
  </w:style>
  <w:style w:type="paragraph" w:styleId="Recuodecorpodetexto">
    <w:name w:val="Body Text Indent"/>
    <w:basedOn w:val="Normal"/>
    <w:link w:val="RecuodecorpodetextoChar"/>
    <w:rsid w:val="004A06BC"/>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sid w:val="004A06BC"/>
    <w:rPr>
      <w:sz w:val="24"/>
      <w:szCs w:val="24"/>
      <w:lang w:val="es-ES" w:eastAsia="es-ES"/>
    </w:rPr>
  </w:style>
  <w:style w:type="paragraph" w:styleId="Corpodetexto">
    <w:name w:val="Body Text"/>
    <w:basedOn w:val="Normal"/>
    <w:link w:val="CorpodetextoChar"/>
    <w:rsid w:val="004A06BC"/>
    <w:pPr>
      <w:spacing w:after="120"/>
    </w:pPr>
    <w:rPr>
      <w:rFonts w:ascii="Times New Roman" w:hAnsi="Times New Roman"/>
      <w:szCs w:val="24"/>
      <w:lang w:val="en-US" w:eastAsia="en-US"/>
    </w:rPr>
  </w:style>
  <w:style w:type="character" w:customStyle="1" w:styleId="CorpodetextoChar">
    <w:name w:val="Corpo de texto Char"/>
    <w:link w:val="Corpodetexto"/>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RodapChar">
    <w:name w:val="Rodapé Char"/>
    <w:link w:val="Rodap"/>
    <w:uiPriority w:val="99"/>
    <w:rsid w:val="004A06BC"/>
    <w:rPr>
      <w:rFonts w:ascii="Arial" w:hAnsi="Arial"/>
      <w:sz w:val="24"/>
      <w:lang w:val="pt-BR" w:eastAsia="es-ES"/>
    </w:rPr>
  </w:style>
  <w:style w:type="paragraph" w:styleId="Textodebalo">
    <w:name w:val="Balloon Text"/>
    <w:basedOn w:val="Normal"/>
    <w:link w:val="TextodebaloChar"/>
    <w:rsid w:val="004A06BC"/>
    <w:rPr>
      <w:rFonts w:ascii="Tahoma" w:hAnsi="Tahoma"/>
      <w:sz w:val="16"/>
      <w:szCs w:val="16"/>
    </w:rPr>
  </w:style>
  <w:style w:type="character" w:customStyle="1" w:styleId="TextodebaloChar">
    <w:name w:val="Texto de balão Char"/>
    <w:link w:val="Textodebal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elacomgrade">
    <w:name w:val="Table Grid"/>
    <w:basedOn w:val="Tabelanormal"/>
    <w:uiPriority w:val="59"/>
    <w:rsid w:val="009B5FA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9B5FA2"/>
    <w:pPr>
      <w:spacing w:before="240" w:after="60"/>
      <w:jc w:val="center"/>
      <w:outlineLvl w:val="0"/>
    </w:pPr>
    <w:rPr>
      <w:rFonts w:ascii="Cambria" w:hAnsi="Cambria"/>
      <w:b/>
      <w:bCs/>
      <w:kern w:val="28"/>
      <w:sz w:val="32"/>
      <w:szCs w:val="32"/>
    </w:rPr>
  </w:style>
  <w:style w:type="character" w:customStyle="1" w:styleId="TtuloChar">
    <w:name w:val="Título Char"/>
    <w:link w:val="Ttulo"/>
    <w:rsid w:val="009B5FA2"/>
    <w:rPr>
      <w:rFonts w:ascii="Cambria" w:eastAsia="Times New Roman" w:hAnsi="Cambria" w:cs="Times New Roman"/>
      <w:b/>
      <w:bCs/>
      <w:kern w:val="28"/>
      <w:sz w:val="32"/>
      <w:szCs w:val="32"/>
      <w:lang w:val="pt-BR" w:eastAsia="es-ES"/>
    </w:rPr>
  </w:style>
  <w:style w:type="paragraph" w:styleId="Legenda">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decomentrio">
    <w:name w:val="annotation text"/>
    <w:basedOn w:val="Normal"/>
    <w:link w:val="TextodecomentrioChar"/>
    <w:rsid w:val="004661DA"/>
    <w:rPr>
      <w:sz w:val="20"/>
    </w:rPr>
  </w:style>
  <w:style w:type="character" w:customStyle="1" w:styleId="TextodecomentrioChar">
    <w:name w:val="Texto de comentário Char"/>
    <w:link w:val="Textodecomentrio"/>
    <w:rsid w:val="004661DA"/>
    <w:rPr>
      <w:rFonts w:ascii="Arial" w:hAnsi="Arial"/>
      <w:lang w:val="pt-BR" w:eastAsia="es-ES"/>
    </w:rPr>
  </w:style>
  <w:style w:type="character" w:styleId="Refdecoment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emlista"/>
    <w:rsid w:val="001220EA"/>
    <w:pPr>
      <w:numPr>
        <w:numId w:val="1"/>
      </w:numPr>
    </w:pPr>
  </w:style>
  <w:style w:type="character" w:customStyle="1" w:styleId="MenoPendente1">
    <w:name w:val="Menção Pendente1"/>
    <w:basedOn w:val="Fontepargpadro"/>
    <w:uiPriority w:val="99"/>
    <w:semiHidden/>
    <w:unhideWhenUsed/>
    <w:rsid w:val="00343525"/>
    <w:rPr>
      <w:color w:val="605E5C"/>
      <w:shd w:val="clear" w:color="auto" w:fill="E1DFDD"/>
    </w:rPr>
  </w:style>
  <w:style w:type="character" w:customStyle="1" w:styleId="Ttulo9Char">
    <w:name w:val="Título 9 Char"/>
    <w:basedOn w:val="Fontepargpadro"/>
    <w:link w:val="Ttulo9"/>
    <w:semiHidden/>
    <w:rsid w:val="00A84354"/>
    <w:rPr>
      <w:rFonts w:asciiTheme="majorHAnsi" w:eastAsiaTheme="majorEastAsia" w:hAnsiTheme="majorHAnsi" w:cstheme="majorBidi"/>
      <w:i/>
      <w:iCs/>
      <w:color w:val="272727" w:themeColor="text1" w:themeTint="D8"/>
      <w:sz w:val="21"/>
      <w:szCs w:val="21"/>
      <w:lang w:eastAsia="es-ES"/>
    </w:rPr>
  </w:style>
  <w:style w:type="character" w:customStyle="1" w:styleId="Ttulo2Char">
    <w:name w:val="Título 2 Char"/>
    <w:link w:val="Ttulo2"/>
    <w:rsid w:val="00A84354"/>
    <w:rPr>
      <w:rFonts w:ascii="Arial" w:hAnsi="Arial"/>
      <w:b/>
      <w:sz w:val="24"/>
      <w:lang w:val="es-MX" w:eastAsia="es-ES"/>
    </w:rPr>
  </w:style>
  <w:style w:type="character" w:customStyle="1" w:styleId="CabealhoChar">
    <w:name w:val="Cabeçalho Char"/>
    <w:link w:val="Cabealho"/>
    <w:uiPriority w:val="99"/>
    <w:rsid w:val="00A84354"/>
    <w:rPr>
      <w:rFonts w:ascii="Arial" w:hAnsi="Arial"/>
      <w:snapToGrid w:val="0"/>
      <w:sz w:val="24"/>
      <w:lang w:val="es-ES_tradnl" w:eastAsia="es-ES"/>
    </w:rPr>
  </w:style>
  <w:style w:type="paragraph" w:customStyle="1" w:styleId="xs2">
    <w:name w:val="x_s2"/>
    <w:basedOn w:val="Normal"/>
    <w:rsid w:val="00A84354"/>
    <w:pPr>
      <w:spacing w:before="100" w:beforeAutospacing="1" w:after="100" w:afterAutospacing="1"/>
    </w:pPr>
    <w:rPr>
      <w:rFonts w:ascii="Times New Roman" w:hAnsi="Times New Roman"/>
      <w:szCs w:val="24"/>
      <w:lang w:val="es-UY" w:eastAsia="es-UY"/>
    </w:rPr>
  </w:style>
  <w:style w:type="character" w:customStyle="1" w:styleId="xapple-converted-space">
    <w:name w:val="x_apple-converted-space"/>
    <w:rsid w:val="00A84354"/>
  </w:style>
  <w:style w:type="character" w:customStyle="1" w:styleId="xs5">
    <w:name w:val="x_s5"/>
    <w:rsid w:val="00A84354"/>
  </w:style>
  <w:style w:type="paragraph" w:customStyle="1" w:styleId="xmsonormal">
    <w:name w:val="x_msonormal"/>
    <w:basedOn w:val="Normal"/>
    <w:rsid w:val="00A84354"/>
    <w:pPr>
      <w:spacing w:before="100" w:beforeAutospacing="1" w:after="100" w:afterAutospacing="1"/>
    </w:pPr>
    <w:rPr>
      <w:rFonts w:ascii="Times New Roman" w:hAnsi="Times New Roman"/>
      <w:szCs w:val="24"/>
      <w:lang w:val="es-UY" w:eastAsia="es-UY"/>
    </w:rPr>
  </w:style>
  <w:style w:type="paragraph" w:customStyle="1" w:styleId="xmsolistparagraph">
    <w:name w:val="x_msolistparagraph"/>
    <w:basedOn w:val="Normal"/>
    <w:rsid w:val="00A84354"/>
    <w:pPr>
      <w:spacing w:before="100" w:beforeAutospacing="1" w:after="100" w:afterAutospacing="1"/>
    </w:pPr>
    <w:rPr>
      <w:rFonts w:ascii="Times New Roman" w:hAnsi="Times New Roman"/>
      <w:szCs w:val="24"/>
      <w:lang w:val="es-UY" w:eastAsia="es-UY"/>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rsid w:val="0086194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304728"/>
    <w:rPr>
      <w:rFonts w:asciiTheme="minorHAnsi" w:eastAsiaTheme="minorHAnsi" w:hAnsiTheme="minorHAnsi" w:cstheme="minorBidi"/>
      <w:sz w:val="22"/>
      <w:szCs w:val="22"/>
      <w:lang w:eastAsia="en-US"/>
    </w:rPr>
  </w:style>
  <w:style w:type="table" w:customStyle="1" w:styleId="TableNormal">
    <w:name w:val="Table Normal"/>
    <w:rsid w:val="00904324"/>
    <w:pPr>
      <w:pBdr>
        <w:top w:val="nil"/>
        <w:left w:val="nil"/>
        <w:bottom w:val="nil"/>
        <w:right w:val="nil"/>
        <w:between w:val="nil"/>
        <w:bar w:val="nil"/>
      </w:pBdr>
    </w:pPr>
    <w:rPr>
      <w:rFonts w:eastAsia="Arial Unicode MS"/>
      <w:bdr w:val="nil"/>
      <w:lang w:val="es-UY" w:eastAsia="es-UY"/>
    </w:rPr>
    <w:tblPr>
      <w:tblInd w:w="0" w:type="dxa"/>
      <w:tblCellMar>
        <w:top w:w="0" w:type="dxa"/>
        <w:left w:w="0" w:type="dxa"/>
        <w:bottom w:w="0" w:type="dxa"/>
        <w:right w:w="0" w:type="dxa"/>
      </w:tblCellMar>
    </w:tblPr>
  </w:style>
  <w:style w:type="numbering" w:customStyle="1" w:styleId="ImportedStyle1">
    <w:name w:val="Imported Style 1"/>
    <w:rsid w:val="0090432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27463613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387489">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3.xml><?xml version="1.0" encoding="utf-8"?>
<ds:datastoreItem xmlns:ds="http://schemas.openxmlformats.org/officeDocument/2006/customXml" ds:itemID="{8286B7DF-0986-424B-9794-EC35B480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9682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SITUACION DE LA AUTENTICACIÓN DE LAS NORMAS MERCOSUR DE LOS AÑOS 1996 A 1991</vt:lpstr>
      <vt:lpstr>SITUACION DE LA AUTENTICACIÓN DE LAS NORMAS MERCOSUR DE LOS AÑOS 1996 A 1991</vt:lpstr>
    </vt:vector>
  </TitlesOfParts>
  <Company>SAM</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Cássia</cp:lastModifiedBy>
  <cp:revision>2</cp:revision>
  <cp:lastPrinted>2022-05-27T18:04:00Z</cp:lastPrinted>
  <dcterms:created xsi:type="dcterms:W3CDTF">2022-05-28T13:17:00Z</dcterms:created>
  <dcterms:modified xsi:type="dcterms:W3CDTF">2022-05-28T13:17:00Z</dcterms:modified>
</cp:coreProperties>
</file>