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C23CE" w14:textId="77777777" w:rsidR="0026550E" w:rsidRPr="006139F5" w:rsidRDefault="0026550E" w:rsidP="00F41AB9">
      <w:pPr>
        <w:suppressAutoHyphens/>
        <w:spacing w:after="0" w:line="240" w:lineRule="auto"/>
        <w:rPr>
          <w:rFonts w:ascii="Arial" w:eastAsia="Times New Roman" w:hAnsi="Arial" w:cs="Arial"/>
          <w:sz w:val="24"/>
          <w:szCs w:val="24"/>
          <w:lang w:val="pt-BR" w:eastAsia="ar-SA"/>
        </w:rPr>
      </w:pPr>
    </w:p>
    <w:p w14:paraId="4B8C23CF" w14:textId="7BAD2BF3" w:rsidR="00F41AB9" w:rsidRPr="006139F5" w:rsidRDefault="00F41AB9" w:rsidP="00F41AB9">
      <w:pPr>
        <w:suppressAutoHyphens/>
        <w:spacing w:after="0" w:line="240" w:lineRule="auto"/>
        <w:ind w:right="-229"/>
        <w:rPr>
          <w:rFonts w:ascii="Arial" w:eastAsia="Times New Roman" w:hAnsi="Arial" w:cs="Arial"/>
          <w:b/>
          <w:sz w:val="24"/>
          <w:szCs w:val="24"/>
          <w:lang w:val="pt-BR" w:eastAsia="ar-SA"/>
        </w:rPr>
      </w:pPr>
      <w:r w:rsidRPr="006139F5">
        <w:rPr>
          <w:rFonts w:ascii="Arial" w:eastAsia="Times New Roman" w:hAnsi="Arial" w:cs="Arial"/>
          <w:b/>
          <w:bCs/>
          <w:sz w:val="24"/>
          <w:szCs w:val="24"/>
          <w:lang w:val="pt-BR" w:eastAsia="ar-SA"/>
        </w:rPr>
        <w:t>MERCOSUR/SGT Nº 4/SCPEC/ACTA Nº 0</w:t>
      </w:r>
      <w:r w:rsidR="000219DC">
        <w:rPr>
          <w:rFonts w:ascii="Arial" w:eastAsia="Times New Roman" w:hAnsi="Arial" w:cs="Arial"/>
          <w:b/>
          <w:bCs/>
          <w:sz w:val="24"/>
          <w:szCs w:val="24"/>
          <w:lang w:val="pt-BR" w:eastAsia="ar-SA"/>
        </w:rPr>
        <w:t>1</w:t>
      </w:r>
      <w:r w:rsidRPr="006139F5">
        <w:rPr>
          <w:rFonts w:ascii="Arial" w:eastAsia="Times New Roman" w:hAnsi="Arial" w:cs="Arial"/>
          <w:b/>
          <w:bCs/>
          <w:sz w:val="24"/>
          <w:szCs w:val="24"/>
          <w:lang w:val="pt-BR" w:eastAsia="ar-SA"/>
        </w:rPr>
        <w:t>/2</w:t>
      </w:r>
      <w:r w:rsidR="00405F51">
        <w:rPr>
          <w:rFonts w:ascii="Arial" w:eastAsia="Times New Roman" w:hAnsi="Arial" w:cs="Arial"/>
          <w:b/>
          <w:bCs/>
          <w:sz w:val="24"/>
          <w:szCs w:val="24"/>
          <w:lang w:val="pt-BR" w:eastAsia="ar-SA"/>
        </w:rPr>
        <w:t>2</w:t>
      </w:r>
    </w:p>
    <w:p w14:paraId="4B8C23D0" w14:textId="77777777" w:rsidR="00F41AB9" w:rsidRPr="006139F5" w:rsidRDefault="00F41AB9" w:rsidP="00F41AB9">
      <w:pPr>
        <w:suppressAutoHyphens/>
        <w:spacing w:after="0" w:line="240" w:lineRule="auto"/>
        <w:ind w:right="284"/>
        <w:jc w:val="both"/>
        <w:rPr>
          <w:rFonts w:ascii="Arial" w:eastAsia="Times New Roman" w:hAnsi="Arial" w:cs="Arial"/>
          <w:b/>
          <w:sz w:val="24"/>
          <w:szCs w:val="24"/>
          <w:lang w:val="pt-BR" w:eastAsia="ar-SA"/>
        </w:rPr>
      </w:pPr>
    </w:p>
    <w:p w14:paraId="4B8C23D1" w14:textId="77777777" w:rsidR="00F41AB9" w:rsidRPr="006139F5" w:rsidRDefault="00F41AB9" w:rsidP="00F41AB9">
      <w:pPr>
        <w:suppressAutoHyphens/>
        <w:spacing w:after="0" w:line="240" w:lineRule="auto"/>
        <w:ind w:right="284"/>
        <w:jc w:val="both"/>
        <w:rPr>
          <w:rFonts w:ascii="Arial" w:eastAsia="Times New Roman" w:hAnsi="Arial" w:cs="Arial"/>
          <w:b/>
          <w:sz w:val="24"/>
          <w:szCs w:val="24"/>
          <w:lang w:val="pt-BR" w:eastAsia="ar-SA"/>
        </w:rPr>
      </w:pPr>
    </w:p>
    <w:p w14:paraId="4B8C23D3" w14:textId="3D7C0283" w:rsidR="00F41AB9" w:rsidRPr="006139F5" w:rsidRDefault="00F41AB9" w:rsidP="00BB3257">
      <w:pPr>
        <w:tabs>
          <w:tab w:val="center" w:pos="4252"/>
        </w:tabs>
        <w:suppressAutoHyphens/>
        <w:spacing w:after="0" w:line="240" w:lineRule="auto"/>
        <w:jc w:val="center"/>
        <w:rPr>
          <w:rFonts w:ascii="Arial" w:eastAsia="Times New Roman" w:hAnsi="Arial" w:cs="Arial"/>
          <w:b/>
          <w:sz w:val="24"/>
          <w:szCs w:val="24"/>
          <w:lang w:eastAsia="ar-SA"/>
        </w:rPr>
      </w:pPr>
      <w:r w:rsidRPr="006139F5">
        <w:rPr>
          <w:rFonts w:ascii="Arial" w:eastAsia="Times New Roman" w:hAnsi="Arial" w:cs="Arial"/>
          <w:b/>
          <w:sz w:val="24"/>
          <w:szCs w:val="24"/>
          <w:lang w:eastAsia="ar-SA"/>
        </w:rPr>
        <w:t>L</w:t>
      </w:r>
      <w:r w:rsidR="000219DC">
        <w:rPr>
          <w:rFonts w:ascii="Arial" w:eastAsia="Times New Roman" w:hAnsi="Arial" w:cs="Arial"/>
          <w:b/>
          <w:sz w:val="24"/>
          <w:szCs w:val="24"/>
          <w:lang w:eastAsia="ar-SA"/>
        </w:rPr>
        <w:t>I</w:t>
      </w:r>
      <w:r w:rsidRPr="006139F5">
        <w:rPr>
          <w:rFonts w:ascii="Arial" w:eastAsia="Times New Roman" w:hAnsi="Arial" w:cs="Arial"/>
          <w:b/>
          <w:sz w:val="24"/>
          <w:szCs w:val="24"/>
          <w:lang w:eastAsia="ar-SA"/>
        </w:rPr>
        <w:t xml:space="preserve"> REUNIÓN ORDINARIA DEL SUBGRUPO DE TRABAJO </w:t>
      </w:r>
      <w:proofErr w:type="spellStart"/>
      <w:r w:rsidRPr="006139F5">
        <w:rPr>
          <w:rFonts w:ascii="Arial" w:eastAsia="Times New Roman" w:hAnsi="Arial" w:cs="Arial"/>
          <w:b/>
          <w:sz w:val="24"/>
          <w:szCs w:val="24"/>
          <w:lang w:eastAsia="ar-SA"/>
        </w:rPr>
        <w:t>N°</w:t>
      </w:r>
      <w:proofErr w:type="spellEnd"/>
      <w:r w:rsidRPr="006139F5">
        <w:rPr>
          <w:rFonts w:ascii="Arial" w:eastAsia="Times New Roman" w:hAnsi="Arial" w:cs="Arial"/>
          <w:b/>
          <w:sz w:val="24"/>
          <w:szCs w:val="24"/>
          <w:lang w:eastAsia="ar-SA"/>
        </w:rPr>
        <w:t xml:space="preserve"> 4 </w:t>
      </w:r>
      <w:r w:rsidR="006139F5">
        <w:rPr>
          <w:rFonts w:ascii="Arial" w:eastAsia="Times New Roman" w:hAnsi="Arial" w:cs="Arial"/>
          <w:b/>
          <w:sz w:val="24"/>
          <w:szCs w:val="24"/>
          <w:lang w:eastAsia="ar-SA"/>
        </w:rPr>
        <w:t>“</w:t>
      </w:r>
      <w:r w:rsidRPr="006139F5">
        <w:rPr>
          <w:rFonts w:ascii="Arial" w:eastAsia="Times New Roman" w:hAnsi="Arial" w:cs="Arial"/>
          <w:b/>
          <w:sz w:val="24"/>
          <w:szCs w:val="24"/>
          <w:lang w:eastAsia="ar-SA"/>
        </w:rPr>
        <w:t>ASUNTOS FINANCIEROS DEL MERCOSUR</w:t>
      </w:r>
      <w:r w:rsidR="006139F5">
        <w:rPr>
          <w:rFonts w:ascii="Arial" w:eastAsia="Times New Roman" w:hAnsi="Arial" w:cs="Arial"/>
          <w:b/>
          <w:sz w:val="24"/>
          <w:szCs w:val="24"/>
          <w:lang w:eastAsia="ar-SA"/>
        </w:rPr>
        <w:t>”</w:t>
      </w:r>
      <w:r w:rsidR="00BB3257">
        <w:rPr>
          <w:rFonts w:ascii="Arial" w:eastAsia="Times New Roman" w:hAnsi="Arial" w:cs="Arial"/>
          <w:b/>
          <w:sz w:val="24"/>
          <w:szCs w:val="24"/>
          <w:lang w:eastAsia="ar-SA"/>
        </w:rPr>
        <w:t>/</w:t>
      </w:r>
      <w:r w:rsidR="006139F5" w:rsidRPr="006139F5">
        <w:rPr>
          <w:rFonts w:ascii="Arial" w:eastAsia="Times New Roman" w:hAnsi="Arial" w:cs="Arial"/>
          <w:b/>
          <w:sz w:val="24"/>
          <w:szCs w:val="24"/>
          <w:lang w:eastAsia="ar-SA"/>
        </w:rPr>
        <w:t xml:space="preserve">SUBCOMISIÓN DE PRESENTACIÓN DE ESTADOS CONTABLES </w:t>
      </w:r>
      <w:r w:rsidR="006139F5">
        <w:rPr>
          <w:rFonts w:ascii="Arial" w:eastAsia="Times New Roman" w:hAnsi="Arial" w:cs="Arial"/>
          <w:b/>
          <w:sz w:val="24"/>
          <w:szCs w:val="24"/>
          <w:lang w:eastAsia="ar-SA"/>
        </w:rPr>
        <w:t>(</w:t>
      </w:r>
      <w:r w:rsidR="006139F5" w:rsidRPr="006139F5">
        <w:rPr>
          <w:rFonts w:ascii="Arial" w:eastAsia="Times New Roman" w:hAnsi="Arial" w:cs="Arial"/>
          <w:b/>
          <w:sz w:val="24"/>
          <w:szCs w:val="24"/>
          <w:lang w:eastAsia="ar-SA"/>
        </w:rPr>
        <w:t>SCPEC</w:t>
      </w:r>
      <w:r w:rsidR="006139F5">
        <w:rPr>
          <w:rFonts w:ascii="Arial" w:eastAsia="Times New Roman" w:hAnsi="Arial" w:cs="Arial"/>
          <w:b/>
          <w:sz w:val="24"/>
          <w:szCs w:val="24"/>
          <w:lang w:eastAsia="ar-SA"/>
        </w:rPr>
        <w:t>)</w:t>
      </w:r>
    </w:p>
    <w:p w14:paraId="4B8C23D4" w14:textId="77777777" w:rsidR="00F41AB9" w:rsidRPr="006139F5" w:rsidRDefault="00F41AB9" w:rsidP="00F41AB9">
      <w:pPr>
        <w:suppressAutoHyphens/>
        <w:spacing w:after="0" w:line="240" w:lineRule="auto"/>
        <w:jc w:val="center"/>
        <w:rPr>
          <w:rFonts w:ascii="Arial" w:eastAsia="Times New Roman" w:hAnsi="Arial" w:cs="Arial"/>
          <w:b/>
          <w:sz w:val="24"/>
          <w:szCs w:val="24"/>
          <w:lang w:eastAsia="ar-SA"/>
        </w:rPr>
      </w:pPr>
    </w:p>
    <w:p w14:paraId="4B8C23D5" w14:textId="77777777" w:rsidR="00890193" w:rsidRPr="006139F5" w:rsidRDefault="00890193" w:rsidP="00F41AB9">
      <w:pPr>
        <w:suppressAutoHyphens/>
        <w:spacing w:after="0" w:line="240" w:lineRule="auto"/>
        <w:jc w:val="both"/>
        <w:rPr>
          <w:rFonts w:ascii="Arial" w:eastAsia="Times New Roman" w:hAnsi="Arial" w:cs="Arial"/>
          <w:sz w:val="24"/>
          <w:szCs w:val="24"/>
          <w:lang w:eastAsia="ar-SA"/>
        </w:rPr>
      </w:pPr>
    </w:p>
    <w:p w14:paraId="4B8C23D6" w14:textId="66871E9E" w:rsidR="007E768F" w:rsidRDefault="007E768F" w:rsidP="00F41AB9">
      <w:pPr>
        <w:suppressAutoHyphens/>
        <w:spacing w:after="0" w:line="240" w:lineRule="auto"/>
        <w:jc w:val="both"/>
        <w:rPr>
          <w:rFonts w:ascii="Arial" w:eastAsia="Times New Roman" w:hAnsi="Arial" w:cs="Arial"/>
          <w:sz w:val="24"/>
          <w:szCs w:val="24"/>
          <w:lang w:eastAsia="ar-SA"/>
        </w:rPr>
      </w:pPr>
      <w:r w:rsidRPr="006139F5">
        <w:rPr>
          <w:rFonts w:ascii="Arial" w:eastAsia="Times New Roman" w:hAnsi="Arial" w:cs="Arial"/>
          <w:sz w:val="24"/>
          <w:szCs w:val="24"/>
          <w:lang w:eastAsia="ar-SA"/>
        </w:rPr>
        <w:t xml:space="preserve">En ejercicio de la Presidencia </w:t>
      </w:r>
      <w:r w:rsidRPr="006139F5">
        <w:rPr>
          <w:rFonts w:ascii="Arial" w:eastAsia="Times New Roman" w:hAnsi="Arial" w:cs="Arial"/>
          <w:i/>
          <w:iCs/>
          <w:sz w:val="24"/>
          <w:szCs w:val="24"/>
          <w:lang w:eastAsia="ar-SA"/>
        </w:rPr>
        <w:t>Pro Tempore</w:t>
      </w:r>
      <w:r w:rsidRPr="006139F5">
        <w:rPr>
          <w:rFonts w:ascii="Arial" w:eastAsia="Times New Roman" w:hAnsi="Arial" w:cs="Arial"/>
          <w:sz w:val="24"/>
          <w:szCs w:val="24"/>
          <w:lang w:eastAsia="ar-SA"/>
        </w:rPr>
        <w:t xml:space="preserve"> de </w:t>
      </w:r>
      <w:r w:rsidR="00490CAA">
        <w:rPr>
          <w:rFonts w:ascii="Arial" w:eastAsia="Times New Roman" w:hAnsi="Arial" w:cs="Arial"/>
          <w:sz w:val="24"/>
          <w:szCs w:val="24"/>
          <w:lang w:eastAsia="ar-SA"/>
        </w:rPr>
        <w:t>Paraguay</w:t>
      </w:r>
      <w:r w:rsidRPr="006139F5">
        <w:rPr>
          <w:rFonts w:ascii="Arial" w:eastAsia="Times New Roman" w:hAnsi="Arial" w:cs="Arial"/>
          <w:sz w:val="24"/>
          <w:szCs w:val="24"/>
          <w:lang w:eastAsia="ar-SA"/>
        </w:rPr>
        <w:t xml:space="preserve"> (PPT</w:t>
      </w:r>
      <w:r w:rsidR="00490CAA">
        <w:rPr>
          <w:rFonts w:ascii="Arial" w:eastAsia="Times New Roman" w:hAnsi="Arial" w:cs="Arial"/>
          <w:sz w:val="24"/>
          <w:szCs w:val="24"/>
          <w:lang w:eastAsia="ar-SA"/>
        </w:rPr>
        <w:t>P</w:t>
      </w:r>
      <w:r w:rsidRPr="006139F5">
        <w:rPr>
          <w:rFonts w:ascii="Arial" w:eastAsia="Times New Roman" w:hAnsi="Arial" w:cs="Arial"/>
          <w:sz w:val="24"/>
          <w:szCs w:val="24"/>
          <w:lang w:eastAsia="ar-SA"/>
        </w:rPr>
        <w:t xml:space="preserve">), los días </w:t>
      </w:r>
      <w:r w:rsidR="00490CAA">
        <w:rPr>
          <w:rFonts w:ascii="Arial" w:eastAsia="Times New Roman" w:hAnsi="Arial" w:cs="Arial"/>
          <w:sz w:val="24"/>
          <w:szCs w:val="24"/>
          <w:lang w:eastAsia="ar-SA"/>
        </w:rPr>
        <w:t>9</w:t>
      </w:r>
      <w:r w:rsidRPr="006139F5">
        <w:rPr>
          <w:rFonts w:ascii="Arial" w:eastAsia="Times New Roman" w:hAnsi="Arial" w:cs="Arial"/>
          <w:sz w:val="24"/>
          <w:szCs w:val="24"/>
          <w:lang w:eastAsia="ar-SA"/>
        </w:rPr>
        <w:t xml:space="preserve"> al </w:t>
      </w:r>
      <w:r w:rsidR="00490CAA">
        <w:rPr>
          <w:rFonts w:ascii="Arial" w:eastAsia="Times New Roman" w:hAnsi="Arial" w:cs="Arial"/>
          <w:sz w:val="24"/>
          <w:szCs w:val="24"/>
          <w:lang w:eastAsia="ar-SA"/>
        </w:rPr>
        <w:t>11</w:t>
      </w:r>
      <w:r w:rsidRPr="006139F5">
        <w:rPr>
          <w:rFonts w:ascii="Arial" w:eastAsia="Times New Roman" w:hAnsi="Arial" w:cs="Arial"/>
          <w:sz w:val="24"/>
          <w:szCs w:val="24"/>
          <w:lang w:eastAsia="ar-SA"/>
        </w:rPr>
        <w:t xml:space="preserve"> de </w:t>
      </w:r>
      <w:r w:rsidR="000219DC">
        <w:rPr>
          <w:rFonts w:ascii="Arial" w:eastAsia="Times New Roman" w:hAnsi="Arial" w:cs="Arial"/>
          <w:sz w:val="24"/>
          <w:szCs w:val="24"/>
          <w:lang w:eastAsia="ar-SA"/>
        </w:rPr>
        <w:t>mayo</w:t>
      </w:r>
      <w:r w:rsidRPr="006139F5">
        <w:rPr>
          <w:rFonts w:ascii="Arial" w:eastAsia="Times New Roman" w:hAnsi="Arial" w:cs="Arial"/>
          <w:sz w:val="24"/>
          <w:szCs w:val="24"/>
          <w:lang w:eastAsia="ar-SA"/>
        </w:rPr>
        <w:t xml:space="preserve"> de 202</w:t>
      </w:r>
      <w:r w:rsidR="00490CAA">
        <w:rPr>
          <w:rFonts w:ascii="Arial" w:eastAsia="Times New Roman" w:hAnsi="Arial" w:cs="Arial"/>
          <w:sz w:val="24"/>
          <w:szCs w:val="24"/>
          <w:lang w:eastAsia="ar-SA"/>
        </w:rPr>
        <w:t>2</w:t>
      </w:r>
      <w:r w:rsidRPr="006139F5">
        <w:rPr>
          <w:rFonts w:ascii="Arial" w:eastAsia="Times New Roman" w:hAnsi="Arial" w:cs="Arial"/>
          <w:sz w:val="24"/>
          <w:szCs w:val="24"/>
          <w:lang w:eastAsia="ar-SA"/>
        </w:rPr>
        <w:t xml:space="preserve">, se realizó por medio del sistema de videoconferencia, conforme se establece en la Resolución GMC </w:t>
      </w:r>
      <w:proofErr w:type="spellStart"/>
      <w:r w:rsidRPr="006139F5">
        <w:rPr>
          <w:rFonts w:ascii="Arial" w:eastAsia="Times New Roman" w:hAnsi="Arial" w:cs="Arial"/>
          <w:sz w:val="24"/>
          <w:szCs w:val="24"/>
          <w:lang w:eastAsia="ar-SA"/>
        </w:rPr>
        <w:t>N°</w:t>
      </w:r>
      <w:proofErr w:type="spellEnd"/>
      <w:r w:rsidRPr="006139F5">
        <w:rPr>
          <w:rFonts w:ascii="Arial" w:eastAsia="Times New Roman" w:hAnsi="Arial" w:cs="Arial"/>
          <w:sz w:val="24"/>
          <w:szCs w:val="24"/>
          <w:lang w:eastAsia="ar-SA"/>
        </w:rPr>
        <w:t xml:space="preserve"> 19/12 “Reuniones por el sistema de videoconferencia”, la L</w:t>
      </w:r>
      <w:r w:rsidR="000219DC">
        <w:rPr>
          <w:rFonts w:ascii="Arial" w:eastAsia="Times New Roman" w:hAnsi="Arial" w:cs="Arial"/>
          <w:sz w:val="24"/>
          <w:szCs w:val="24"/>
          <w:lang w:eastAsia="ar-SA"/>
        </w:rPr>
        <w:t>I</w:t>
      </w:r>
      <w:r w:rsidRPr="006139F5">
        <w:rPr>
          <w:rFonts w:ascii="Arial" w:eastAsia="Times New Roman" w:hAnsi="Arial" w:cs="Arial"/>
          <w:sz w:val="24"/>
          <w:szCs w:val="24"/>
          <w:lang w:eastAsia="ar-SA"/>
        </w:rPr>
        <w:t xml:space="preserve"> Reunión Ordinaria del Subgrupo de Trabajo </w:t>
      </w:r>
      <w:proofErr w:type="spellStart"/>
      <w:r w:rsidRPr="006139F5">
        <w:rPr>
          <w:rFonts w:ascii="Arial" w:eastAsia="Times New Roman" w:hAnsi="Arial" w:cs="Arial"/>
          <w:sz w:val="24"/>
          <w:szCs w:val="24"/>
          <w:lang w:eastAsia="ar-SA"/>
        </w:rPr>
        <w:t>Nº</w:t>
      </w:r>
      <w:proofErr w:type="spellEnd"/>
      <w:r w:rsidRPr="006139F5">
        <w:rPr>
          <w:rFonts w:ascii="Arial" w:eastAsia="Times New Roman" w:hAnsi="Arial" w:cs="Arial"/>
          <w:sz w:val="24"/>
          <w:szCs w:val="24"/>
          <w:lang w:eastAsia="ar-SA"/>
        </w:rPr>
        <w:t xml:space="preserve"> 4 “Asuntos Financieros” / Subcomisión de Presentación de Estados Contables (SCPEC), con la participación de las delegaciones de Argentina, Paraguay y Uruguay.</w:t>
      </w:r>
    </w:p>
    <w:p w14:paraId="68AE90E7" w14:textId="0BF9D147" w:rsidR="00C85CB7" w:rsidRDefault="00C85CB7" w:rsidP="00F41AB9">
      <w:pPr>
        <w:suppressAutoHyphens/>
        <w:spacing w:after="0" w:line="240" w:lineRule="auto"/>
        <w:jc w:val="both"/>
        <w:rPr>
          <w:rFonts w:ascii="Arial" w:eastAsia="Times New Roman" w:hAnsi="Arial" w:cs="Arial"/>
          <w:sz w:val="24"/>
          <w:szCs w:val="24"/>
          <w:lang w:eastAsia="ar-SA"/>
        </w:rPr>
      </w:pPr>
    </w:p>
    <w:p w14:paraId="09DE3EBA" w14:textId="00DB6EAF" w:rsidR="00C85CB7" w:rsidRPr="006139F5" w:rsidRDefault="00C85CB7" w:rsidP="00F41AB9">
      <w:pPr>
        <w:suppressAutoHyphens/>
        <w:spacing w:after="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Teniendo en cuenta que la </w:t>
      </w:r>
      <w:r w:rsidR="004549B4">
        <w:rPr>
          <w:rFonts w:ascii="Arial" w:eastAsia="Times New Roman" w:hAnsi="Arial" w:cs="Arial"/>
          <w:sz w:val="24"/>
          <w:szCs w:val="24"/>
          <w:lang w:eastAsia="ar-SA"/>
        </w:rPr>
        <w:t>d</w:t>
      </w:r>
      <w:r>
        <w:rPr>
          <w:rFonts w:ascii="Arial" w:eastAsia="Times New Roman" w:hAnsi="Arial" w:cs="Arial"/>
          <w:sz w:val="24"/>
          <w:szCs w:val="24"/>
          <w:lang w:eastAsia="ar-SA"/>
        </w:rPr>
        <w:t xml:space="preserve">elegación de Brasil no asistió a la reunión, el Acta está sujeta a lo dispuesto en la Decisión CMC </w:t>
      </w:r>
      <w:proofErr w:type="spellStart"/>
      <w:r>
        <w:rPr>
          <w:rFonts w:ascii="Arial" w:eastAsia="Times New Roman" w:hAnsi="Arial" w:cs="Arial"/>
          <w:sz w:val="24"/>
          <w:szCs w:val="24"/>
          <w:lang w:eastAsia="ar-SA"/>
        </w:rPr>
        <w:t>N°</w:t>
      </w:r>
      <w:proofErr w:type="spellEnd"/>
      <w:r>
        <w:rPr>
          <w:rFonts w:ascii="Arial" w:eastAsia="Times New Roman" w:hAnsi="Arial" w:cs="Arial"/>
          <w:sz w:val="24"/>
          <w:szCs w:val="24"/>
          <w:lang w:eastAsia="ar-SA"/>
        </w:rPr>
        <w:t xml:space="preserve"> 44/15.</w:t>
      </w:r>
    </w:p>
    <w:p w14:paraId="4B8C23D7" w14:textId="77777777" w:rsidR="007E768F" w:rsidRPr="006139F5" w:rsidRDefault="007E768F" w:rsidP="00F41AB9">
      <w:pPr>
        <w:suppressAutoHyphens/>
        <w:spacing w:after="0" w:line="240" w:lineRule="auto"/>
        <w:jc w:val="both"/>
        <w:rPr>
          <w:rFonts w:ascii="Arial" w:eastAsia="Times New Roman" w:hAnsi="Arial" w:cs="Arial"/>
          <w:sz w:val="24"/>
          <w:szCs w:val="24"/>
          <w:lang w:eastAsia="ar-SA"/>
        </w:rPr>
      </w:pPr>
    </w:p>
    <w:p w14:paraId="4B8C23D8" w14:textId="77777777" w:rsidR="00F41AB9" w:rsidRPr="00E75353" w:rsidRDefault="00F41AB9" w:rsidP="00F41AB9">
      <w:pPr>
        <w:suppressAutoHyphens/>
        <w:spacing w:after="0" w:line="240" w:lineRule="auto"/>
        <w:rPr>
          <w:rFonts w:ascii="Arial" w:eastAsia="Times New Roman" w:hAnsi="Arial" w:cs="Arial"/>
          <w:b/>
          <w:sz w:val="24"/>
          <w:szCs w:val="24"/>
          <w:lang w:eastAsia="ar-SA"/>
        </w:rPr>
      </w:pPr>
      <w:r w:rsidRPr="00E75353">
        <w:rPr>
          <w:rFonts w:ascii="Arial" w:eastAsia="Times New Roman" w:hAnsi="Arial" w:cs="Arial"/>
          <w:sz w:val="24"/>
          <w:szCs w:val="24"/>
          <w:lang w:eastAsia="ar-SA"/>
        </w:rPr>
        <w:t>La Lista de Participantes consta como</w:t>
      </w:r>
      <w:r w:rsidRPr="00E75353">
        <w:rPr>
          <w:rFonts w:ascii="Arial" w:eastAsia="Times New Roman" w:hAnsi="Arial" w:cs="Arial"/>
          <w:b/>
          <w:sz w:val="24"/>
          <w:szCs w:val="24"/>
          <w:lang w:eastAsia="ar-SA"/>
        </w:rPr>
        <w:t xml:space="preserve"> Anexo I.</w:t>
      </w:r>
    </w:p>
    <w:p w14:paraId="4B8C23D9" w14:textId="77777777" w:rsidR="00F41AB9" w:rsidRPr="00E75353" w:rsidRDefault="00F41AB9" w:rsidP="00F41AB9">
      <w:pPr>
        <w:suppressAutoHyphens/>
        <w:spacing w:after="0" w:line="240" w:lineRule="auto"/>
        <w:rPr>
          <w:rFonts w:ascii="Arial" w:eastAsia="Times New Roman" w:hAnsi="Arial" w:cs="Arial"/>
          <w:b/>
          <w:sz w:val="24"/>
          <w:szCs w:val="24"/>
          <w:lang w:eastAsia="ar-SA"/>
        </w:rPr>
      </w:pPr>
    </w:p>
    <w:p w14:paraId="4B8C23DA" w14:textId="77777777" w:rsidR="00F41AB9" w:rsidRPr="006139F5" w:rsidRDefault="00F41AB9" w:rsidP="00F41AB9">
      <w:pPr>
        <w:suppressAutoHyphens/>
        <w:spacing w:after="0" w:line="240" w:lineRule="auto"/>
        <w:rPr>
          <w:rFonts w:ascii="Arial" w:eastAsia="Times New Roman" w:hAnsi="Arial" w:cs="Arial"/>
          <w:b/>
          <w:sz w:val="24"/>
          <w:szCs w:val="24"/>
          <w:lang w:eastAsia="ar-SA"/>
        </w:rPr>
      </w:pPr>
      <w:r w:rsidRPr="006139F5">
        <w:rPr>
          <w:rFonts w:ascii="Arial" w:eastAsia="Times New Roman" w:hAnsi="Arial" w:cs="Arial"/>
          <w:sz w:val="24"/>
          <w:szCs w:val="24"/>
          <w:lang w:eastAsia="ar-SA"/>
        </w:rPr>
        <w:t>La Agenda consta como</w:t>
      </w:r>
      <w:r w:rsidRPr="006139F5">
        <w:rPr>
          <w:rFonts w:ascii="Arial" w:eastAsia="Times New Roman" w:hAnsi="Arial" w:cs="Arial"/>
          <w:b/>
          <w:sz w:val="24"/>
          <w:szCs w:val="24"/>
          <w:lang w:eastAsia="ar-SA"/>
        </w:rPr>
        <w:t xml:space="preserve"> Anexo II.</w:t>
      </w:r>
    </w:p>
    <w:p w14:paraId="4B8C23DB" w14:textId="77777777" w:rsidR="00F41AB9" w:rsidRPr="006139F5" w:rsidRDefault="00F41AB9" w:rsidP="00F41AB9">
      <w:pPr>
        <w:suppressAutoHyphens/>
        <w:spacing w:after="0" w:line="240" w:lineRule="auto"/>
        <w:rPr>
          <w:rFonts w:ascii="Arial" w:eastAsia="Times New Roman" w:hAnsi="Arial" w:cs="Arial"/>
          <w:b/>
          <w:sz w:val="24"/>
          <w:szCs w:val="24"/>
          <w:lang w:eastAsia="ar-SA"/>
        </w:rPr>
      </w:pPr>
    </w:p>
    <w:p w14:paraId="4B8C23DC" w14:textId="77777777" w:rsidR="00F41AB9" w:rsidRPr="006139F5" w:rsidRDefault="00F41AB9" w:rsidP="00F41AB9">
      <w:pPr>
        <w:suppressAutoHyphens/>
        <w:spacing w:after="0" w:line="240" w:lineRule="auto"/>
        <w:rPr>
          <w:rFonts w:ascii="Arial" w:eastAsia="Times New Roman" w:hAnsi="Arial" w:cs="Arial"/>
          <w:b/>
          <w:sz w:val="24"/>
          <w:szCs w:val="24"/>
          <w:lang w:eastAsia="ar-SA"/>
        </w:rPr>
      </w:pPr>
      <w:r w:rsidRPr="006139F5">
        <w:rPr>
          <w:rFonts w:ascii="Arial" w:eastAsia="Times New Roman" w:hAnsi="Arial" w:cs="Arial"/>
          <w:sz w:val="24"/>
          <w:szCs w:val="24"/>
          <w:lang w:eastAsia="ar-SA"/>
        </w:rPr>
        <w:t>El Resumen del Acta consta como</w:t>
      </w:r>
      <w:r w:rsidRPr="006139F5">
        <w:rPr>
          <w:rFonts w:ascii="Arial" w:eastAsia="Times New Roman" w:hAnsi="Arial" w:cs="Arial"/>
          <w:b/>
          <w:sz w:val="24"/>
          <w:szCs w:val="24"/>
          <w:lang w:eastAsia="ar-SA"/>
        </w:rPr>
        <w:t xml:space="preserve"> Anexo III.</w:t>
      </w:r>
    </w:p>
    <w:p w14:paraId="4B8C23DD" w14:textId="77777777" w:rsidR="00F41AB9" w:rsidRPr="006139F5" w:rsidRDefault="00F41AB9" w:rsidP="00F41AB9">
      <w:pPr>
        <w:suppressAutoHyphens/>
        <w:spacing w:after="0" w:line="240" w:lineRule="auto"/>
        <w:rPr>
          <w:rFonts w:ascii="Arial" w:eastAsia="Times New Roman" w:hAnsi="Arial" w:cs="Arial"/>
          <w:b/>
          <w:sz w:val="24"/>
          <w:szCs w:val="24"/>
          <w:lang w:eastAsia="ar-SA"/>
        </w:rPr>
      </w:pPr>
    </w:p>
    <w:p w14:paraId="4B8C23DE" w14:textId="77777777" w:rsidR="00F41AB9" w:rsidRPr="006139F5" w:rsidRDefault="00F41AB9" w:rsidP="00F41AB9">
      <w:pPr>
        <w:suppressAutoHyphens/>
        <w:spacing w:after="0" w:line="240" w:lineRule="auto"/>
        <w:rPr>
          <w:rFonts w:ascii="Arial" w:eastAsia="Times New Roman" w:hAnsi="Arial" w:cs="Arial"/>
          <w:sz w:val="24"/>
          <w:szCs w:val="24"/>
          <w:lang w:eastAsia="ar-SA"/>
        </w:rPr>
      </w:pPr>
      <w:r w:rsidRPr="006139F5">
        <w:rPr>
          <w:rFonts w:ascii="Arial" w:eastAsia="Times New Roman" w:hAnsi="Arial" w:cs="Arial"/>
          <w:sz w:val="24"/>
          <w:szCs w:val="24"/>
          <w:lang w:eastAsia="ar-SA"/>
        </w:rPr>
        <w:t>En la Reunión fueron tratados los siguientes temas:</w:t>
      </w:r>
    </w:p>
    <w:p w14:paraId="4B8C23DF" w14:textId="77777777" w:rsidR="00F41AB9" w:rsidRPr="006139F5" w:rsidRDefault="00F41AB9" w:rsidP="00F41AB9">
      <w:pPr>
        <w:suppressAutoHyphens/>
        <w:spacing w:after="0" w:line="240" w:lineRule="auto"/>
        <w:rPr>
          <w:rFonts w:ascii="Arial" w:eastAsia="Calibri" w:hAnsi="Arial" w:cs="Arial"/>
          <w:b/>
          <w:bCs/>
          <w:sz w:val="24"/>
          <w:szCs w:val="24"/>
          <w:lang w:eastAsia="ar-SA"/>
        </w:rPr>
      </w:pPr>
    </w:p>
    <w:p w14:paraId="4B8C23E0" w14:textId="77777777" w:rsidR="00F41AB9" w:rsidRPr="006139F5" w:rsidRDefault="00F41AB9" w:rsidP="00F41AB9">
      <w:pPr>
        <w:suppressAutoHyphens/>
        <w:spacing w:after="0" w:line="240" w:lineRule="auto"/>
        <w:rPr>
          <w:rFonts w:ascii="Arial" w:eastAsia="Calibri" w:hAnsi="Arial" w:cs="Arial"/>
          <w:b/>
          <w:bCs/>
          <w:sz w:val="24"/>
          <w:szCs w:val="24"/>
          <w:lang w:val="es-PY" w:eastAsia="ar-SA"/>
        </w:rPr>
      </w:pPr>
    </w:p>
    <w:p w14:paraId="4B8C23E1" w14:textId="5B51766A" w:rsidR="007E768F" w:rsidRPr="00C37CDB" w:rsidRDefault="00890193" w:rsidP="00C37CDB">
      <w:pPr>
        <w:pStyle w:val="Prrafodelista"/>
        <w:numPr>
          <w:ilvl w:val="0"/>
          <w:numId w:val="4"/>
        </w:numPr>
        <w:tabs>
          <w:tab w:val="left" w:pos="567"/>
        </w:tabs>
        <w:spacing w:after="0" w:line="240" w:lineRule="auto"/>
        <w:ind w:left="567" w:hanging="567"/>
        <w:jc w:val="both"/>
        <w:rPr>
          <w:rFonts w:ascii="Arial" w:eastAsia="Calibri" w:hAnsi="Arial" w:cs="Arial"/>
          <w:b/>
          <w:bCs/>
          <w:sz w:val="24"/>
          <w:szCs w:val="24"/>
        </w:rPr>
      </w:pPr>
      <w:r w:rsidRPr="00C37CDB">
        <w:rPr>
          <w:rFonts w:ascii="Arial" w:eastAsia="Calibri" w:hAnsi="Arial" w:cs="Arial"/>
          <w:b/>
          <w:bCs/>
          <w:sz w:val="24"/>
          <w:szCs w:val="24"/>
        </w:rPr>
        <w:t xml:space="preserve">NOVEDADES Y AVANCES REGISTRADOS EN LA ADOPCIÓN DE LAS NORMAS INTERNACIONALES DE INFORMACIÓN FINANCIERA </w:t>
      </w:r>
    </w:p>
    <w:p w14:paraId="4B8C23E2" w14:textId="77777777" w:rsidR="007E768F" w:rsidRPr="007E768F" w:rsidRDefault="007E768F" w:rsidP="00C37CDB">
      <w:pPr>
        <w:tabs>
          <w:tab w:val="left" w:pos="567"/>
        </w:tabs>
        <w:spacing w:after="0" w:line="240" w:lineRule="auto"/>
        <w:ind w:left="567" w:hanging="567"/>
        <w:rPr>
          <w:rFonts w:ascii="Arial" w:eastAsia="Calibri" w:hAnsi="Arial" w:cs="Arial"/>
          <w:b/>
          <w:bCs/>
          <w:sz w:val="24"/>
          <w:szCs w:val="24"/>
        </w:rPr>
      </w:pPr>
    </w:p>
    <w:p w14:paraId="305D919D" w14:textId="59793188" w:rsidR="00970C6C" w:rsidRPr="00970C6C" w:rsidRDefault="00970C6C" w:rsidP="00970C6C">
      <w:pPr>
        <w:spacing w:after="0" w:line="240" w:lineRule="auto"/>
        <w:ind w:firstLine="567"/>
        <w:jc w:val="both"/>
        <w:rPr>
          <w:rFonts w:ascii="Arial" w:eastAsia="Times New Roman" w:hAnsi="Arial" w:cs="Arial"/>
          <w:color w:val="000000"/>
          <w:sz w:val="24"/>
          <w:szCs w:val="24"/>
          <w:lang w:eastAsia="es-ES_tradnl"/>
        </w:rPr>
      </w:pPr>
      <w:r w:rsidRPr="00970C6C">
        <w:rPr>
          <w:rFonts w:ascii="Arial" w:eastAsia="Times New Roman" w:hAnsi="Arial" w:cs="Arial"/>
          <w:color w:val="000000"/>
          <w:sz w:val="24"/>
          <w:szCs w:val="24"/>
          <w:lang w:eastAsia="es-ES_tradnl"/>
        </w:rPr>
        <w:t>La delegación de Argentina inform</w:t>
      </w:r>
      <w:r w:rsidR="00BB3257">
        <w:rPr>
          <w:rFonts w:ascii="Arial" w:eastAsia="Times New Roman" w:hAnsi="Arial" w:cs="Arial"/>
          <w:color w:val="000000"/>
          <w:sz w:val="24"/>
          <w:szCs w:val="24"/>
          <w:lang w:eastAsia="es-ES_tradnl"/>
        </w:rPr>
        <w:t>ó</w:t>
      </w:r>
      <w:r w:rsidRPr="00970C6C">
        <w:rPr>
          <w:rFonts w:ascii="Arial" w:eastAsia="Times New Roman" w:hAnsi="Arial" w:cs="Arial"/>
          <w:color w:val="000000"/>
          <w:sz w:val="24"/>
          <w:szCs w:val="24"/>
          <w:lang w:eastAsia="es-ES_tradnl"/>
        </w:rPr>
        <w:t xml:space="preserve"> que mediante la Comunicación “A” 7427 se dispuso que las entidades financieras de los grupos B y C –integrados por aquellas entidades en las cuales el importe de sus activos es menor al 1% y mayor o igual al 0,25% y menor al 0,25%, respectivamente, del total de los activos del sistema financiero– que no sean sucursales o subsidiarias de bancos del exterior calificados como sistémicamente importantes (G-SIB), podían optar –con carácter irrevocable– por postergar hasta el 1.1.23 la aplicación del punto 5.5 de la NIIF 9 “Deterioro de valor” –establecida mediante la Comunicación “A” 6430– y, consecuentemente, la metodología optativa de prorrateo que genera la aplicación del citado punto –prevista en la Comunicación “A” 6847–. Asimismo, señala que aquellas entidades que optaron por postergar dicha aplicación debieron informarlo con anterioridad al 31.12.21 a la Superintendencia de Entidades Financieras y Cambiarias.</w:t>
      </w:r>
    </w:p>
    <w:p w14:paraId="10A7F587" w14:textId="77777777" w:rsidR="00970C6C" w:rsidRPr="00970C6C" w:rsidRDefault="00970C6C" w:rsidP="00970C6C">
      <w:pPr>
        <w:tabs>
          <w:tab w:val="left" w:pos="567"/>
        </w:tabs>
        <w:spacing w:after="0" w:line="240" w:lineRule="auto"/>
        <w:ind w:left="567"/>
        <w:jc w:val="both"/>
        <w:rPr>
          <w:rFonts w:ascii="Arial" w:eastAsia="Times New Roman" w:hAnsi="Arial" w:cs="Arial"/>
          <w:color w:val="000000"/>
          <w:sz w:val="24"/>
          <w:szCs w:val="24"/>
          <w:lang w:val="es-ES" w:eastAsia="es-ES_tradnl"/>
        </w:rPr>
      </w:pPr>
    </w:p>
    <w:p w14:paraId="1682E615" w14:textId="196E155C" w:rsidR="00970C6C" w:rsidRPr="00970C6C" w:rsidRDefault="00970C6C" w:rsidP="00040123">
      <w:pPr>
        <w:spacing w:after="0" w:line="240" w:lineRule="auto"/>
        <w:ind w:firstLine="567"/>
        <w:jc w:val="both"/>
        <w:rPr>
          <w:rFonts w:ascii="Arial" w:eastAsia="Times New Roman" w:hAnsi="Arial" w:cs="Arial"/>
          <w:color w:val="000000"/>
          <w:sz w:val="24"/>
          <w:szCs w:val="24"/>
          <w:lang w:eastAsia="es-ES_tradnl"/>
        </w:rPr>
      </w:pPr>
      <w:r w:rsidRPr="00970C6C">
        <w:rPr>
          <w:rFonts w:ascii="Arial" w:eastAsia="Times New Roman" w:hAnsi="Arial" w:cs="Arial"/>
          <w:color w:val="000000"/>
          <w:sz w:val="24"/>
          <w:szCs w:val="24"/>
          <w:lang w:eastAsia="es-ES_tradnl"/>
        </w:rPr>
        <w:t>La delegación de Argentina coment</w:t>
      </w:r>
      <w:r w:rsidR="00BB3257">
        <w:rPr>
          <w:rFonts w:ascii="Arial" w:eastAsia="Times New Roman" w:hAnsi="Arial" w:cs="Arial"/>
          <w:color w:val="000000"/>
          <w:sz w:val="24"/>
          <w:szCs w:val="24"/>
          <w:lang w:eastAsia="es-ES_tradnl"/>
        </w:rPr>
        <w:t>ó</w:t>
      </w:r>
      <w:r w:rsidRPr="00970C6C">
        <w:rPr>
          <w:rFonts w:ascii="Arial" w:eastAsia="Times New Roman" w:hAnsi="Arial" w:cs="Arial"/>
          <w:color w:val="000000"/>
          <w:sz w:val="24"/>
          <w:szCs w:val="24"/>
          <w:lang w:eastAsia="es-ES_tradnl"/>
        </w:rPr>
        <w:t xml:space="preserve"> también que se difundió la Comunicación “A” 7411 el 26.11.21, formalizando la aprobación por parte del BCRA de la Circular </w:t>
      </w:r>
      <w:r w:rsidRPr="00970C6C">
        <w:rPr>
          <w:rFonts w:ascii="Arial" w:eastAsia="Times New Roman" w:hAnsi="Arial" w:cs="Arial"/>
          <w:color w:val="000000"/>
          <w:sz w:val="24"/>
          <w:szCs w:val="24"/>
          <w:lang w:eastAsia="es-ES_tradnl"/>
        </w:rPr>
        <w:lastRenderedPageBreak/>
        <w:t>de Adopción Nro. 17 emitida por la Federación Argentina de Consejos Profesionales en Ciencias Económicas (FACPCE), cuyos fundamentos y cambios habían sido expuestos en oportunidad de la última reunión de la presente Subcomisión, en octubre de 2021.</w:t>
      </w:r>
    </w:p>
    <w:p w14:paraId="36C16349" w14:textId="77777777" w:rsidR="00970C6C" w:rsidRPr="00970C6C" w:rsidRDefault="00970C6C" w:rsidP="00970C6C">
      <w:pPr>
        <w:tabs>
          <w:tab w:val="left" w:pos="567"/>
        </w:tabs>
        <w:spacing w:after="0" w:line="240" w:lineRule="auto"/>
        <w:ind w:left="567"/>
        <w:jc w:val="both"/>
        <w:rPr>
          <w:rFonts w:ascii="Arial" w:eastAsia="Times New Roman" w:hAnsi="Arial" w:cs="Arial"/>
          <w:color w:val="000000"/>
          <w:sz w:val="24"/>
          <w:szCs w:val="24"/>
          <w:lang w:val="es-ES" w:eastAsia="es-ES_tradnl"/>
        </w:rPr>
      </w:pPr>
    </w:p>
    <w:p w14:paraId="340AAF14" w14:textId="4D72EC34" w:rsidR="00970C6C" w:rsidRPr="00970C6C" w:rsidRDefault="00040123" w:rsidP="00040123">
      <w:pPr>
        <w:spacing w:after="0" w:line="240" w:lineRule="auto"/>
        <w:ind w:hanging="141"/>
        <w:jc w:val="both"/>
        <w:rPr>
          <w:rFonts w:ascii="Arial" w:eastAsia="Times New Roman" w:hAnsi="Arial" w:cs="Arial"/>
          <w:color w:val="000000"/>
          <w:sz w:val="24"/>
          <w:szCs w:val="24"/>
          <w:lang w:eastAsia="es-ES_tradnl"/>
        </w:rPr>
      </w:pPr>
      <w:r>
        <w:rPr>
          <w:rFonts w:ascii="Arial" w:eastAsia="Times New Roman" w:hAnsi="Arial" w:cs="Arial"/>
          <w:color w:val="000000"/>
          <w:sz w:val="24"/>
          <w:szCs w:val="24"/>
          <w:lang w:eastAsia="es-ES_tradnl"/>
        </w:rPr>
        <w:t xml:space="preserve">  </w:t>
      </w:r>
      <w:r>
        <w:rPr>
          <w:rFonts w:ascii="Arial" w:eastAsia="Times New Roman" w:hAnsi="Arial" w:cs="Arial"/>
          <w:color w:val="000000"/>
          <w:sz w:val="24"/>
          <w:szCs w:val="24"/>
          <w:lang w:eastAsia="es-ES_tradnl"/>
        </w:rPr>
        <w:tab/>
      </w:r>
      <w:r>
        <w:rPr>
          <w:rFonts w:ascii="Arial" w:eastAsia="Times New Roman" w:hAnsi="Arial" w:cs="Arial"/>
          <w:color w:val="000000"/>
          <w:sz w:val="24"/>
          <w:szCs w:val="24"/>
          <w:lang w:eastAsia="es-ES_tradnl"/>
        </w:rPr>
        <w:tab/>
      </w:r>
      <w:r w:rsidR="00970C6C" w:rsidRPr="00970C6C">
        <w:rPr>
          <w:rFonts w:ascii="Arial" w:eastAsia="Times New Roman" w:hAnsi="Arial" w:cs="Arial"/>
          <w:color w:val="000000"/>
          <w:sz w:val="24"/>
          <w:szCs w:val="24"/>
          <w:lang w:eastAsia="es-ES_tradnl"/>
        </w:rPr>
        <w:t>Asimismo, la mencionada delegación exp</w:t>
      </w:r>
      <w:r w:rsidR="00BB3257">
        <w:rPr>
          <w:rFonts w:ascii="Arial" w:eastAsia="Times New Roman" w:hAnsi="Arial" w:cs="Arial"/>
          <w:color w:val="000000"/>
          <w:sz w:val="24"/>
          <w:szCs w:val="24"/>
          <w:lang w:eastAsia="es-ES_tradnl"/>
        </w:rPr>
        <w:t>uso</w:t>
      </w:r>
      <w:r w:rsidR="00970C6C" w:rsidRPr="00970C6C">
        <w:rPr>
          <w:rFonts w:ascii="Arial" w:eastAsia="Times New Roman" w:hAnsi="Arial" w:cs="Arial"/>
          <w:color w:val="000000"/>
          <w:sz w:val="24"/>
          <w:szCs w:val="24"/>
          <w:lang w:eastAsia="es-ES_tradnl"/>
        </w:rPr>
        <w:t xml:space="preserve"> a modo informativo para las demás delegaciones, las principales modificaciones a las NIIF incluidas en la Circular de Adopción Nro. 18 de la FACPCE (febrero de 2022). Dichas enmiendas, que se encuentran bajo análisis a los efectos de iniciar el proceso habitual de aprobación formal por parte del BCRA, se resumirían en los siguientes puntos:</w:t>
      </w:r>
    </w:p>
    <w:p w14:paraId="18EB57A7" w14:textId="77777777" w:rsidR="00970C6C" w:rsidRPr="00970C6C" w:rsidRDefault="00970C6C" w:rsidP="00970C6C">
      <w:pPr>
        <w:tabs>
          <w:tab w:val="left" w:pos="567"/>
        </w:tabs>
        <w:spacing w:after="0" w:line="240" w:lineRule="auto"/>
        <w:ind w:left="567"/>
        <w:jc w:val="both"/>
        <w:rPr>
          <w:rFonts w:ascii="Arial" w:eastAsia="Times New Roman" w:hAnsi="Arial" w:cs="Arial"/>
          <w:color w:val="000000"/>
          <w:sz w:val="24"/>
          <w:szCs w:val="24"/>
          <w:lang w:eastAsia="es-ES_tradnl"/>
        </w:rPr>
      </w:pPr>
    </w:p>
    <w:p w14:paraId="178E5CCA" w14:textId="77777777" w:rsidR="00970C6C" w:rsidRPr="00970C6C" w:rsidRDefault="00970C6C" w:rsidP="00970C6C">
      <w:pPr>
        <w:tabs>
          <w:tab w:val="left" w:pos="567"/>
        </w:tabs>
        <w:spacing w:after="0" w:line="240" w:lineRule="auto"/>
        <w:ind w:left="567"/>
        <w:jc w:val="both"/>
        <w:rPr>
          <w:rFonts w:ascii="Arial" w:eastAsia="Times New Roman" w:hAnsi="Arial" w:cs="Arial"/>
          <w:color w:val="000000"/>
          <w:sz w:val="24"/>
          <w:szCs w:val="24"/>
          <w:lang w:eastAsia="es-ES_tradnl"/>
        </w:rPr>
      </w:pPr>
      <w:r w:rsidRPr="00970C6C">
        <w:rPr>
          <w:rFonts w:ascii="Arial" w:eastAsia="Times New Roman" w:hAnsi="Arial" w:cs="Arial"/>
          <w:color w:val="000000"/>
          <w:sz w:val="24"/>
          <w:szCs w:val="24"/>
          <w:lang w:eastAsia="es-ES_tradnl"/>
        </w:rPr>
        <w:t>-</w:t>
      </w:r>
      <w:r w:rsidRPr="00970C6C">
        <w:rPr>
          <w:rFonts w:ascii="Arial" w:eastAsia="Times New Roman" w:hAnsi="Arial" w:cs="Arial"/>
          <w:color w:val="000000"/>
          <w:sz w:val="24"/>
          <w:szCs w:val="24"/>
          <w:lang w:eastAsia="es-ES_tradnl"/>
        </w:rPr>
        <w:tab/>
        <w:t>NIC 1 – Presentación de Estados Financieros. Requiere que las entidades revelen su información sobre políticas contables “material o con importancia relativa” en lugar de solo políticas contables “significativas”. La enmienda incorpora varios párrafos donde se especifica con mayor detalle el significado de este concepto.</w:t>
      </w:r>
    </w:p>
    <w:p w14:paraId="4B8A70EC" w14:textId="77777777" w:rsidR="00970C6C" w:rsidRPr="00970C6C" w:rsidRDefault="00970C6C" w:rsidP="00970C6C">
      <w:pPr>
        <w:tabs>
          <w:tab w:val="left" w:pos="567"/>
        </w:tabs>
        <w:spacing w:after="0" w:line="240" w:lineRule="auto"/>
        <w:ind w:left="567"/>
        <w:jc w:val="both"/>
        <w:rPr>
          <w:rFonts w:ascii="Arial" w:eastAsia="Times New Roman" w:hAnsi="Arial" w:cs="Arial"/>
          <w:color w:val="000000"/>
          <w:sz w:val="24"/>
          <w:szCs w:val="24"/>
          <w:lang w:eastAsia="es-ES_tradnl"/>
        </w:rPr>
      </w:pPr>
    </w:p>
    <w:p w14:paraId="191AE8C6" w14:textId="77777777" w:rsidR="00970C6C" w:rsidRPr="00970C6C" w:rsidRDefault="00970C6C" w:rsidP="00970C6C">
      <w:pPr>
        <w:tabs>
          <w:tab w:val="left" w:pos="567"/>
        </w:tabs>
        <w:spacing w:after="0" w:line="240" w:lineRule="auto"/>
        <w:ind w:left="567"/>
        <w:jc w:val="both"/>
        <w:rPr>
          <w:rFonts w:ascii="Arial" w:eastAsia="Times New Roman" w:hAnsi="Arial" w:cs="Arial"/>
          <w:color w:val="000000"/>
          <w:sz w:val="24"/>
          <w:szCs w:val="24"/>
          <w:lang w:eastAsia="es-ES_tradnl"/>
        </w:rPr>
      </w:pPr>
      <w:r w:rsidRPr="00970C6C">
        <w:rPr>
          <w:rFonts w:ascii="Arial" w:eastAsia="Times New Roman" w:hAnsi="Arial" w:cs="Arial"/>
          <w:color w:val="000000"/>
          <w:sz w:val="24"/>
          <w:szCs w:val="24"/>
          <w:lang w:eastAsia="es-ES_tradnl"/>
        </w:rPr>
        <w:t>-</w:t>
      </w:r>
      <w:r w:rsidRPr="00970C6C">
        <w:rPr>
          <w:rFonts w:ascii="Arial" w:eastAsia="Times New Roman" w:hAnsi="Arial" w:cs="Arial"/>
          <w:color w:val="000000"/>
          <w:sz w:val="24"/>
          <w:szCs w:val="24"/>
          <w:lang w:eastAsia="es-ES_tradnl"/>
        </w:rPr>
        <w:tab/>
        <w:t>NIC 8 - Políticas contables, cambios en las estimaciones contables y errores. Se incorpora la siguiente definición dentro del párrafo 5 de Definiciones: “Estimaciones contables son importes monetarios, en los estados financieros, que están sujetos a incertidumbre en la medición.”</w:t>
      </w:r>
    </w:p>
    <w:p w14:paraId="3860C201" w14:textId="77777777" w:rsidR="00970C6C" w:rsidRPr="00970C6C" w:rsidRDefault="00970C6C" w:rsidP="00970C6C">
      <w:pPr>
        <w:tabs>
          <w:tab w:val="left" w:pos="567"/>
        </w:tabs>
        <w:spacing w:after="0" w:line="240" w:lineRule="auto"/>
        <w:ind w:left="567"/>
        <w:jc w:val="both"/>
        <w:rPr>
          <w:rFonts w:ascii="Arial" w:eastAsia="Times New Roman" w:hAnsi="Arial" w:cs="Arial"/>
          <w:color w:val="000000"/>
          <w:sz w:val="24"/>
          <w:szCs w:val="24"/>
          <w:lang w:eastAsia="es-ES_tradnl"/>
        </w:rPr>
      </w:pPr>
    </w:p>
    <w:p w14:paraId="72FF848A" w14:textId="77777777" w:rsidR="00970C6C" w:rsidRPr="00970C6C" w:rsidRDefault="00970C6C" w:rsidP="00970C6C">
      <w:pPr>
        <w:tabs>
          <w:tab w:val="left" w:pos="567"/>
        </w:tabs>
        <w:spacing w:after="0" w:line="240" w:lineRule="auto"/>
        <w:ind w:left="567"/>
        <w:jc w:val="both"/>
        <w:rPr>
          <w:rFonts w:ascii="Arial" w:eastAsia="Times New Roman" w:hAnsi="Arial" w:cs="Arial"/>
          <w:color w:val="000000"/>
          <w:sz w:val="24"/>
          <w:szCs w:val="24"/>
          <w:lang w:eastAsia="es-ES_tradnl"/>
        </w:rPr>
      </w:pPr>
      <w:r w:rsidRPr="00970C6C">
        <w:rPr>
          <w:rFonts w:ascii="Arial" w:eastAsia="Times New Roman" w:hAnsi="Arial" w:cs="Arial"/>
          <w:color w:val="000000"/>
          <w:sz w:val="24"/>
          <w:szCs w:val="24"/>
          <w:lang w:eastAsia="es-ES_tradnl"/>
        </w:rPr>
        <w:t>-</w:t>
      </w:r>
      <w:r w:rsidRPr="00970C6C">
        <w:rPr>
          <w:rFonts w:ascii="Arial" w:eastAsia="Times New Roman" w:hAnsi="Arial" w:cs="Arial"/>
          <w:color w:val="000000"/>
          <w:sz w:val="24"/>
          <w:szCs w:val="24"/>
          <w:lang w:eastAsia="es-ES_tradnl"/>
        </w:rPr>
        <w:tab/>
        <w:t>NIIF 16 – Arrendamientos. Se extiende la solución práctica aplicable a las reducciones de alquiler como consecuencia de la pandemia COVID 19, que consistía en la opción de no evaluarla como modificaciones al contrato y ajustar directamente como pago variable contra resultados, incluyendo también los pagos originalmente adeudados hasta el 30 de junio de 2022 (antes hasta el 30.06.21).</w:t>
      </w:r>
    </w:p>
    <w:p w14:paraId="4F8C9CB7" w14:textId="77777777" w:rsidR="00970C6C" w:rsidRPr="00970C6C" w:rsidRDefault="00970C6C" w:rsidP="00970C6C">
      <w:pPr>
        <w:tabs>
          <w:tab w:val="left" w:pos="567"/>
        </w:tabs>
        <w:spacing w:after="0" w:line="240" w:lineRule="auto"/>
        <w:ind w:left="567"/>
        <w:jc w:val="both"/>
        <w:rPr>
          <w:rFonts w:ascii="Arial" w:eastAsia="Times New Roman" w:hAnsi="Arial" w:cs="Arial"/>
          <w:color w:val="000000"/>
          <w:sz w:val="24"/>
          <w:szCs w:val="24"/>
          <w:lang w:eastAsia="es-ES_tradnl"/>
        </w:rPr>
      </w:pPr>
    </w:p>
    <w:p w14:paraId="6064F89D" w14:textId="3E819CDF" w:rsidR="00970C6C" w:rsidRPr="00970C6C" w:rsidRDefault="00970C6C" w:rsidP="00970C6C">
      <w:pPr>
        <w:tabs>
          <w:tab w:val="left" w:pos="567"/>
        </w:tabs>
        <w:spacing w:after="0" w:line="240" w:lineRule="auto"/>
        <w:ind w:left="567"/>
        <w:jc w:val="both"/>
        <w:rPr>
          <w:rFonts w:ascii="Arial" w:eastAsia="Times New Roman" w:hAnsi="Arial" w:cs="Arial"/>
          <w:color w:val="000000"/>
          <w:sz w:val="24"/>
          <w:szCs w:val="24"/>
          <w:lang w:eastAsia="es-ES_tradnl"/>
        </w:rPr>
      </w:pPr>
      <w:r w:rsidRPr="00970C6C">
        <w:rPr>
          <w:rFonts w:ascii="Arial" w:eastAsia="Times New Roman" w:hAnsi="Arial" w:cs="Arial"/>
          <w:color w:val="000000"/>
          <w:sz w:val="24"/>
          <w:szCs w:val="24"/>
          <w:lang w:eastAsia="es-ES_tradnl"/>
        </w:rPr>
        <w:t>-</w:t>
      </w:r>
      <w:r w:rsidRPr="00970C6C">
        <w:rPr>
          <w:rFonts w:ascii="Arial" w:eastAsia="Times New Roman" w:hAnsi="Arial" w:cs="Arial"/>
          <w:color w:val="000000"/>
          <w:sz w:val="24"/>
          <w:szCs w:val="24"/>
          <w:lang w:eastAsia="es-ES_tradnl"/>
        </w:rPr>
        <w:tab/>
        <w:t>NIC 12 – Impuesto a las ganancias. Se requiere registrar el impuesto diferido sobre las transacciones que, en el reconocimiento inicial, dan lugar a diferencias temporales acumulables y deducibles por el mismo importe. Esto se vería principalmente reflejado en el reconocimiento de impuesto diferido al reconocimiento inicial del activo por derecho de uso y al pasivo por arrendamiento bajo NIIF</w:t>
      </w:r>
      <w:r w:rsidR="004549B4">
        <w:rPr>
          <w:rFonts w:ascii="Arial" w:eastAsia="Times New Roman" w:hAnsi="Arial" w:cs="Arial"/>
          <w:color w:val="000000"/>
          <w:sz w:val="24"/>
          <w:szCs w:val="24"/>
          <w:lang w:eastAsia="es-ES_tradnl"/>
        </w:rPr>
        <w:t xml:space="preserve"> </w:t>
      </w:r>
      <w:r w:rsidRPr="00970C6C">
        <w:rPr>
          <w:rFonts w:ascii="Arial" w:eastAsia="Times New Roman" w:hAnsi="Arial" w:cs="Arial"/>
          <w:color w:val="000000"/>
          <w:sz w:val="24"/>
          <w:szCs w:val="24"/>
          <w:lang w:eastAsia="es-ES_tradnl"/>
        </w:rPr>
        <w:t>16 “Arrendamientos”, y para el reconocimiento de los activos y pasivos cuando se tienen provisiones por desmantelamiento bajo NIIF 37 “Provisiones, Pasivos Contingentes y Activos Contingentes”.</w:t>
      </w:r>
    </w:p>
    <w:p w14:paraId="049CC1C2" w14:textId="0CC1D9D1" w:rsidR="00970C6C" w:rsidRDefault="00970C6C" w:rsidP="00970C6C">
      <w:pPr>
        <w:tabs>
          <w:tab w:val="left" w:pos="567"/>
        </w:tabs>
        <w:spacing w:after="0" w:line="240" w:lineRule="auto"/>
        <w:ind w:left="567"/>
        <w:jc w:val="both"/>
        <w:rPr>
          <w:rFonts w:ascii="Arial" w:eastAsia="Times New Roman" w:hAnsi="Arial" w:cs="Arial"/>
          <w:color w:val="000000"/>
          <w:sz w:val="24"/>
          <w:szCs w:val="24"/>
          <w:lang w:eastAsia="es-ES_tradnl"/>
        </w:rPr>
      </w:pPr>
    </w:p>
    <w:p w14:paraId="0E57988E" w14:textId="7C0311A0" w:rsidR="006708C0" w:rsidRDefault="00970C6C" w:rsidP="006708C0">
      <w:pPr>
        <w:tabs>
          <w:tab w:val="left" w:pos="567"/>
        </w:tabs>
        <w:spacing w:after="0" w:line="240" w:lineRule="auto"/>
        <w:jc w:val="both"/>
        <w:rPr>
          <w:rFonts w:ascii="Arial" w:eastAsia="Times New Roman" w:hAnsi="Arial" w:cs="Arial"/>
          <w:color w:val="000000"/>
          <w:sz w:val="24"/>
          <w:szCs w:val="24"/>
          <w:lang w:val="es-AR" w:eastAsia="es-ES_tradnl"/>
        </w:rPr>
      </w:pPr>
      <w:r>
        <w:rPr>
          <w:rFonts w:ascii="Arial" w:eastAsia="Times New Roman" w:hAnsi="Arial" w:cs="Arial"/>
          <w:color w:val="000000"/>
          <w:sz w:val="24"/>
          <w:szCs w:val="24"/>
          <w:lang w:eastAsia="es-ES_tradnl"/>
        </w:rPr>
        <w:tab/>
      </w:r>
      <w:r w:rsidR="00DF123B" w:rsidRPr="00DF123B">
        <w:rPr>
          <w:rFonts w:ascii="Arial" w:eastAsia="Times New Roman" w:hAnsi="Arial" w:cs="Arial"/>
          <w:color w:val="000000"/>
          <w:sz w:val="24"/>
          <w:szCs w:val="24"/>
          <w:lang w:val="es-AR" w:eastAsia="es-ES_tradnl"/>
        </w:rPr>
        <w:t xml:space="preserve">La delegación de Paraguay informó no tener novedades respecto a este tema. </w:t>
      </w:r>
      <w:r w:rsidR="005D35D4">
        <w:rPr>
          <w:rFonts w:ascii="Arial" w:eastAsia="Times New Roman" w:hAnsi="Arial" w:cs="Arial"/>
          <w:color w:val="000000"/>
          <w:sz w:val="24"/>
          <w:szCs w:val="24"/>
          <w:lang w:val="es-AR" w:eastAsia="es-ES_tradnl"/>
        </w:rPr>
        <w:t xml:space="preserve">No obstante, el </w:t>
      </w:r>
      <w:r w:rsidR="00DF123B" w:rsidRPr="00DF123B">
        <w:rPr>
          <w:rFonts w:ascii="Arial" w:eastAsia="Times New Roman" w:hAnsi="Arial" w:cs="Arial"/>
          <w:color w:val="000000"/>
          <w:sz w:val="24"/>
          <w:szCs w:val="24"/>
          <w:lang w:val="es-AR" w:eastAsia="es-ES_tradnl"/>
        </w:rPr>
        <w:t>Plan Estratégico Institucional 2020-2024</w:t>
      </w:r>
      <w:r w:rsidR="00120A6F">
        <w:rPr>
          <w:rFonts w:ascii="Arial" w:eastAsia="Times New Roman" w:hAnsi="Arial" w:cs="Arial"/>
          <w:color w:val="000000"/>
          <w:sz w:val="24"/>
          <w:szCs w:val="24"/>
          <w:lang w:val="es-AR" w:eastAsia="es-ES_tradnl"/>
        </w:rPr>
        <w:t xml:space="preserve"> </w:t>
      </w:r>
      <w:r w:rsidR="005D35D4">
        <w:rPr>
          <w:rFonts w:ascii="Arial" w:eastAsia="Times New Roman" w:hAnsi="Arial" w:cs="Arial"/>
          <w:color w:val="000000"/>
          <w:sz w:val="24"/>
          <w:szCs w:val="24"/>
          <w:lang w:val="es-AR" w:eastAsia="es-ES_tradnl"/>
        </w:rPr>
        <w:t xml:space="preserve">vigente, </w:t>
      </w:r>
      <w:r w:rsidR="00033CDD">
        <w:rPr>
          <w:rFonts w:ascii="Arial" w:eastAsia="Times New Roman" w:hAnsi="Arial" w:cs="Arial"/>
          <w:color w:val="000000"/>
          <w:sz w:val="24"/>
          <w:szCs w:val="24"/>
          <w:lang w:val="es-AR" w:eastAsia="es-ES_tradnl"/>
        </w:rPr>
        <w:t>incorpora</w:t>
      </w:r>
      <w:r w:rsidR="00120A6F">
        <w:rPr>
          <w:rFonts w:ascii="Arial" w:eastAsia="Times New Roman" w:hAnsi="Arial" w:cs="Arial"/>
          <w:color w:val="000000"/>
          <w:sz w:val="24"/>
          <w:szCs w:val="24"/>
          <w:lang w:val="es-AR" w:eastAsia="es-ES_tradnl"/>
        </w:rPr>
        <w:t xml:space="preserve"> </w:t>
      </w:r>
      <w:r w:rsidR="005D35D4">
        <w:rPr>
          <w:rFonts w:ascii="Arial" w:eastAsia="Times New Roman" w:hAnsi="Arial" w:cs="Arial"/>
          <w:color w:val="000000"/>
          <w:sz w:val="24"/>
          <w:szCs w:val="24"/>
          <w:lang w:val="es-AR" w:eastAsia="es-ES_tradnl"/>
        </w:rPr>
        <w:t>la</w:t>
      </w:r>
      <w:r w:rsidR="00975E70">
        <w:rPr>
          <w:rFonts w:ascii="Arial" w:eastAsia="Times New Roman" w:hAnsi="Arial" w:cs="Arial"/>
          <w:color w:val="000000"/>
          <w:sz w:val="24"/>
          <w:szCs w:val="24"/>
          <w:lang w:val="es-AR" w:eastAsia="es-ES_tradnl"/>
        </w:rPr>
        <w:t xml:space="preserve"> actividad,</w:t>
      </w:r>
      <w:r w:rsidR="00033CDD">
        <w:rPr>
          <w:rFonts w:ascii="Arial" w:eastAsia="Times New Roman" w:hAnsi="Arial" w:cs="Arial"/>
          <w:color w:val="000000"/>
          <w:sz w:val="24"/>
          <w:szCs w:val="24"/>
          <w:lang w:val="es-AR" w:eastAsia="es-ES_tradnl"/>
        </w:rPr>
        <w:t xml:space="preserve"> para obtener un </w:t>
      </w:r>
      <w:r w:rsidR="00120A6F">
        <w:rPr>
          <w:rFonts w:ascii="Arial" w:eastAsia="Times New Roman" w:hAnsi="Arial" w:cs="Arial"/>
          <w:color w:val="000000"/>
          <w:sz w:val="24"/>
          <w:szCs w:val="24"/>
          <w:lang w:val="es-AR" w:eastAsia="es-ES_tradnl"/>
        </w:rPr>
        <w:t>diagnóstico y evaluación par</w:t>
      </w:r>
      <w:r w:rsidR="00033CDD">
        <w:rPr>
          <w:rFonts w:ascii="Arial" w:eastAsia="Times New Roman" w:hAnsi="Arial" w:cs="Arial"/>
          <w:color w:val="000000"/>
          <w:sz w:val="24"/>
          <w:szCs w:val="24"/>
          <w:lang w:val="es-AR" w:eastAsia="es-ES_tradnl"/>
        </w:rPr>
        <w:t xml:space="preserve">a </w:t>
      </w:r>
      <w:r w:rsidR="00120A6F">
        <w:rPr>
          <w:rFonts w:ascii="Arial" w:eastAsia="Times New Roman" w:hAnsi="Arial" w:cs="Arial"/>
          <w:color w:val="000000"/>
          <w:sz w:val="24"/>
          <w:szCs w:val="24"/>
          <w:lang w:val="es-AR" w:eastAsia="es-ES_tradnl"/>
        </w:rPr>
        <w:t>la implementación de las Normas Internacionales de Información Financiera (NIIF)</w:t>
      </w:r>
      <w:r w:rsidR="005D35D4">
        <w:rPr>
          <w:rFonts w:ascii="Arial" w:eastAsia="Times New Roman" w:hAnsi="Arial" w:cs="Arial"/>
          <w:color w:val="000000"/>
          <w:sz w:val="24"/>
          <w:szCs w:val="24"/>
          <w:lang w:val="es-AR" w:eastAsia="es-ES_tradnl"/>
        </w:rPr>
        <w:t>.</w:t>
      </w:r>
      <w:r w:rsidR="00E645A7">
        <w:rPr>
          <w:rFonts w:ascii="Arial" w:eastAsia="Times New Roman" w:hAnsi="Arial" w:cs="Arial"/>
          <w:color w:val="000000"/>
          <w:sz w:val="24"/>
          <w:szCs w:val="24"/>
          <w:lang w:val="es-AR" w:eastAsia="es-ES_tradnl"/>
        </w:rPr>
        <w:t xml:space="preserve"> En junio 2021, se llevó a cabo una charla virtual en </w:t>
      </w:r>
      <w:r w:rsidR="007E24EF">
        <w:rPr>
          <w:rFonts w:ascii="Arial" w:eastAsia="Times New Roman" w:hAnsi="Arial" w:cs="Arial"/>
          <w:color w:val="000000"/>
          <w:sz w:val="24"/>
          <w:szCs w:val="24"/>
          <w:lang w:val="es-AR" w:eastAsia="es-ES_tradnl"/>
        </w:rPr>
        <w:t>la</w:t>
      </w:r>
      <w:r w:rsidR="00E645A7">
        <w:rPr>
          <w:rFonts w:ascii="Arial" w:eastAsia="Times New Roman" w:hAnsi="Arial" w:cs="Arial"/>
          <w:color w:val="000000"/>
          <w:sz w:val="24"/>
          <w:szCs w:val="24"/>
          <w:lang w:val="es-AR" w:eastAsia="es-ES_tradnl"/>
        </w:rPr>
        <w:t xml:space="preserve"> cual se expuso la intensión del Banco Central del Paraguay </w:t>
      </w:r>
      <w:r w:rsidR="007E24EF">
        <w:rPr>
          <w:rFonts w:ascii="Arial" w:eastAsia="Times New Roman" w:hAnsi="Arial" w:cs="Arial"/>
          <w:color w:val="000000"/>
          <w:sz w:val="24"/>
          <w:szCs w:val="24"/>
          <w:lang w:val="es-AR" w:eastAsia="es-ES_tradnl"/>
        </w:rPr>
        <w:t xml:space="preserve">de migrar </w:t>
      </w:r>
      <w:r w:rsidR="00E645A7">
        <w:rPr>
          <w:rFonts w:ascii="Arial" w:eastAsia="Times New Roman" w:hAnsi="Arial" w:cs="Arial"/>
          <w:color w:val="000000"/>
          <w:sz w:val="24"/>
          <w:szCs w:val="24"/>
          <w:lang w:val="es-AR" w:eastAsia="es-ES_tradnl"/>
        </w:rPr>
        <w:t>hacia la adopción de las NIIF</w:t>
      </w:r>
      <w:r w:rsidR="00E645A7" w:rsidRPr="006708C0">
        <w:rPr>
          <w:rFonts w:ascii="Arial" w:eastAsia="Times New Roman" w:hAnsi="Arial" w:cs="Arial"/>
          <w:color w:val="000000"/>
          <w:sz w:val="24"/>
          <w:szCs w:val="24"/>
          <w:lang w:val="es-AR" w:eastAsia="es-ES_tradnl"/>
        </w:rPr>
        <w:t>.</w:t>
      </w:r>
      <w:r w:rsidR="006708C0">
        <w:rPr>
          <w:rFonts w:ascii="Arial" w:eastAsia="Times New Roman" w:hAnsi="Arial" w:cs="Arial"/>
          <w:color w:val="000000"/>
          <w:sz w:val="24"/>
          <w:szCs w:val="24"/>
          <w:lang w:val="es-AR" w:eastAsia="es-ES_tradnl"/>
        </w:rPr>
        <w:t xml:space="preserve"> </w:t>
      </w:r>
    </w:p>
    <w:p w14:paraId="4B8C23EE" w14:textId="45CD5D1A" w:rsidR="00120A6F" w:rsidRPr="00BF54E9" w:rsidRDefault="001E7A41" w:rsidP="006708C0">
      <w:pPr>
        <w:tabs>
          <w:tab w:val="left" w:pos="567"/>
        </w:tabs>
        <w:spacing w:after="0" w:line="240" w:lineRule="auto"/>
        <w:jc w:val="both"/>
        <w:rPr>
          <w:rFonts w:ascii="Arial" w:hAnsi="Arial" w:cs="Arial"/>
          <w:sz w:val="24"/>
          <w:szCs w:val="24"/>
        </w:rPr>
      </w:pPr>
      <w:r w:rsidRPr="00BF54E9">
        <w:rPr>
          <w:rFonts w:ascii="Arial" w:hAnsi="Arial" w:cs="Arial"/>
          <w:i/>
          <w:iCs/>
          <w:sz w:val="24"/>
          <w:szCs w:val="24"/>
        </w:rPr>
        <w:t>https://www.youtube.com/watch?v=18XF5aLBNSw</w:t>
      </w:r>
      <w:r w:rsidR="006708C0" w:rsidRPr="00BF54E9">
        <w:rPr>
          <w:rFonts w:ascii="Arial" w:hAnsi="Arial" w:cs="Arial"/>
          <w:sz w:val="24"/>
          <w:szCs w:val="24"/>
        </w:rPr>
        <w:t>.</w:t>
      </w:r>
    </w:p>
    <w:p w14:paraId="2F7C0297" w14:textId="5EB984A9" w:rsidR="001E7A41" w:rsidRDefault="001E7A41" w:rsidP="006708C0">
      <w:pPr>
        <w:tabs>
          <w:tab w:val="left" w:pos="567"/>
        </w:tabs>
        <w:spacing w:after="0" w:line="240" w:lineRule="auto"/>
        <w:jc w:val="both"/>
        <w:rPr>
          <w:rFonts w:ascii="Arial" w:hAnsi="Arial" w:cs="Arial"/>
          <w:sz w:val="24"/>
          <w:szCs w:val="24"/>
        </w:rPr>
      </w:pPr>
    </w:p>
    <w:p w14:paraId="787A4ADD" w14:textId="3FCD9CB5" w:rsidR="00621425" w:rsidRDefault="001E7A41" w:rsidP="00E75353">
      <w:pPr>
        <w:tabs>
          <w:tab w:val="left" w:pos="567"/>
        </w:tabs>
        <w:spacing w:after="0" w:line="240" w:lineRule="auto"/>
        <w:jc w:val="both"/>
        <w:rPr>
          <w:rFonts w:ascii="Arial" w:eastAsia="Calibri" w:hAnsi="Arial" w:cs="Arial"/>
          <w:b/>
          <w:bCs/>
          <w:sz w:val="24"/>
          <w:szCs w:val="24"/>
        </w:rPr>
      </w:pPr>
      <w:r>
        <w:rPr>
          <w:rFonts w:ascii="Arial" w:hAnsi="Arial" w:cs="Arial"/>
          <w:sz w:val="24"/>
          <w:szCs w:val="24"/>
        </w:rPr>
        <w:tab/>
      </w:r>
      <w:r w:rsidRPr="001E7A41">
        <w:rPr>
          <w:rFonts w:ascii="Arial" w:hAnsi="Arial" w:cs="Arial"/>
          <w:sz w:val="24"/>
          <w:szCs w:val="24"/>
          <w:lang w:val="es-ES"/>
        </w:rPr>
        <w:t>La delegación de Uruguay</w:t>
      </w:r>
      <w:r>
        <w:rPr>
          <w:rFonts w:ascii="Arial" w:hAnsi="Arial" w:cs="Arial"/>
          <w:sz w:val="24"/>
          <w:szCs w:val="24"/>
          <w:lang w:val="es-ES"/>
        </w:rPr>
        <w:t xml:space="preserve"> por su parte</w:t>
      </w:r>
      <w:r w:rsidRPr="001E7A41">
        <w:rPr>
          <w:rFonts w:ascii="Arial" w:hAnsi="Arial" w:cs="Arial"/>
          <w:sz w:val="24"/>
          <w:szCs w:val="24"/>
          <w:lang w:val="es-ES"/>
        </w:rPr>
        <w:t xml:space="preserve"> informó sobre la publicación de la hoja de ruta para la adopción de la norma de deterioro de la NIIF 9, detallando los aspectos más relevantes de la iniciativa, así como el perfil de las instituciones que serían alcanzadas por la nueva regulación.</w:t>
      </w:r>
      <w:bookmarkStart w:id="0" w:name="_Hlk102984703"/>
    </w:p>
    <w:p w14:paraId="4B8C23F2" w14:textId="55B725AE" w:rsidR="007E768F" w:rsidRDefault="00696124" w:rsidP="00C37CDB">
      <w:pPr>
        <w:tabs>
          <w:tab w:val="left" w:pos="567"/>
        </w:tabs>
        <w:spacing w:after="0" w:line="240" w:lineRule="auto"/>
        <w:ind w:left="567" w:hanging="567"/>
        <w:rPr>
          <w:rFonts w:ascii="Arial" w:eastAsia="Calibri" w:hAnsi="Arial" w:cs="Arial"/>
          <w:b/>
          <w:bCs/>
          <w:sz w:val="24"/>
          <w:szCs w:val="24"/>
        </w:rPr>
      </w:pPr>
      <w:r>
        <w:rPr>
          <w:rFonts w:ascii="Arial" w:eastAsia="Calibri" w:hAnsi="Arial" w:cs="Arial"/>
          <w:b/>
          <w:bCs/>
          <w:sz w:val="24"/>
          <w:szCs w:val="24"/>
        </w:rPr>
        <w:lastRenderedPageBreak/>
        <w:t>2</w:t>
      </w:r>
      <w:r w:rsidR="00890193" w:rsidRPr="006139F5">
        <w:rPr>
          <w:rFonts w:ascii="Arial" w:eastAsia="Calibri" w:hAnsi="Arial" w:cs="Arial"/>
          <w:b/>
          <w:bCs/>
          <w:sz w:val="24"/>
          <w:szCs w:val="24"/>
        </w:rPr>
        <w:t>.</w:t>
      </w:r>
      <w:r w:rsidR="00C37CDB">
        <w:rPr>
          <w:rFonts w:ascii="Arial" w:eastAsia="Calibri" w:hAnsi="Arial" w:cs="Arial"/>
          <w:b/>
          <w:bCs/>
          <w:sz w:val="24"/>
          <w:szCs w:val="24"/>
        </w:rPr>
        <w:tab/>
      </w:r>
      <w:r w:rsidR="000219DC">
        <w:rPr>
          <w:rFonts w:ascii="Arial" w:eastAsia="Calibri" w:hAnsi="Arial" w:cs="Arial"/>
          <w:b/>
          <w:bCs/>
          <w:sz w:val="24"/>
          <w:szCs w:val="24"/>
        </w:rPr>
        <w:t xml:space="preserve">CONSULTAS NORMATIVAS VINCULADAS A LA TEMATICA NIIF </w:t>
      </w:r>
    </w:p>
    <w:p w14:paraId="4B8C23F3" w14:textId="1BB1D2D3" w:rsidR="000219DC" w:rsidRDefault="000219DC" w:rsidP="00C37CDB">
      <w:pPr>
        <w:tabs>
          <w:tab w:val="left" w:pos="567"/>
        </w:tabs>
        <w:spacing w:after="0" w:line="240" w:lineRule="auto"/>
        <w:ind w:left="567" w:hanging="567"/>
        <w:rPr>
          <w:rFonts w:ascii="Arial" w:eastAsia="Calibri" w:hAnsi="Arial" w:cs="Arial"/>
          <w:b/>
          <w:bCs/>
          <w:sz w:val="24"/>
          <w:szCs w:val="24"/>
        </w:rPr>
      </w:pPr>
    </w:p>
    <w:p w14:paraId="5A66F860" w14:textId="77777777" w:rsidR="00040123" w:rsidRPr="006B7993" w:rsidRDefault="00040123" w:rsidP="00040123">
      <w:pPr>
        <w:tabs>
          <w:tab w:val="left" w:pos="567"/>
        </w:tabs>
        <w:spacing w:after="0" w:line="240" w:lineRule="auto"/>
        <w:jc w:val="both"/>
        <w:rPr>
          <w:rFonts w:ascii="Arial" w:eastAsia="Times New Roman" w:hAnsi="Arial" w:cs="Arial"/>
          <w:color w:val="000000"/>
          <w:sz w:val="24"/>
          <w:szCs w:val="24"/>
          <w:lang w:eastAsia="es-ES_tradnl"/>
        </w:rPr>
      </w:pPr>
      <w:r>
        <w:rPr>
          <w:rFonts w:ascii="Arial" w:eastAsia="Calibri" w:hAnsi="Arial" w:cs="Arial"/>
          <w:b/>
          <w:bCs/>
          <w:sz w:val="24"/>
          <w:szCs w:val="24"/>
        </w:rPr>
        <w:tab/>
      </w:r>
      <w:r w:rsidRPr="006B7993">
        <w:rPr>
          <w:rFonts w:ascii="Arial" w:eastAsia="Times New Roman" w:hAnsi="Arial" w:cs="Arial"/>
          <w:color w:val="000000"/>
          <w:sz w:val="24"/>
          <w:szCs w:val="24"/>
          <w:lang w:eastAsia="es-ES_tradnl"/>
        </w:rPr>
        <w:t>La delegación de Argentina comparte una consulta relacionada con el tratamiento contable aplicable a una operación de arrendamiento de un activo intangible (</w:t>
      </w:r>
      <w:r w:rsidRPr="00621425">
        <w:rPr>
          <w:rFonts w:ascii="Arial" w:eastAsia="Times New Roman" w:hAnsi="Arial" w:cs="Arial"/>
          <w:i/>
          <w:iCs/>
          <w:color w:val="000000"/>
          <w:sz w:val="24"/>
          <w:szCs w:val="24"/>
          <w:lang w:eastAsia="es-ES_tradnl"/>
        </w:rPr>
        <w:t>software</w:t>
      </w:r>
      <w:r w:rsidRPr="006B7993">
        <w:rPr>
          <w:rFonts w:ascii="Arial" w:eastAsia="Times New Roman" w:hAnsi="Arial" w:cs="Arial"/>
          <w:color w:val="000000"/>
          <w:sz w:val="24"/>
          <w:szCs w:val="24"/>
          <w:lang w:eastAsia="es-ES_tradnl"/>
        </w:rPr>
        <w:t>), en carácter de arrendatario. En este sentido señala que, en la medida que el contrato de arrendamiento transmita el derecho a controlar el uso del activo identificado por un período de tiempo a cambio de una contraprestación, y de acuerdo con lo previsto por la NIIF 16, la operación puede considerarse incluida en los requerimientos completos contemplados en dicha norma como una opción de política contable por parte de la entidad.</w:t>
      </w:r>
    </w:p>
    <w:p w14:paraId="67A50566" w14:textId="77777777" w:rsidR="00040123" w:rsidRDefault="00040123" w:rsidP="00040123">
      <w:pPr>
        <w:tabs>
          <w:tab w:val="left" w:pos="567"/>
        </w:tabs>
        <w:spacing w:after="0" w:line="240" w:lineRule="auto"/>
        <w:rPr>
          <w:rFonts w:ascii="Arial" w:eastAsia="Calibri" w:hAnsi="Arial" w:cs="Arial"/>
          <w:b/>
          <w:bCs/>
          <w:sz w:val="24"/>
          <w:szCs w:val="24"/>
        </w:rPr>
      </w:pPr>
    </w:p>
    <w:p w14:paraId="4B8C23FD" w14:textId="4E0197F5" w:rsidR="006F673E" w:rsidRDefault="00C37CDB" w:rsidP="00C37CDB">
      <w:pPr>
        <w:tabs>
          <w:tab w:val="left" w:pos="567"/>
        </w:tabs>
        <w:spacing w:after="0" w:line="240" w:lineRule="auto"/>
        <w:jc w:val="both"/>
        <w:rPr>
          <w:rFonts w:ascii="Arial" w:eastAsia="Times New Roman" w:hAnsi="Arial" w:cs="Arial"/>
          <w:color w:val="000000"/>
          <w:sz w:val="24"/>
          <w:szCs w:val="24"/>
          <w:lang w:val="es-AR" w:eastAsia="es-ES_tradnl"/>
        </w:rPr>
      </w:pPr>
      <w:r>
        <w:rPr>
          <w:rFonts w:ascii="Arial" w:eastAsia="Times New Roman" w:hAnsi="Arial" w:cs="Arial"/>
          <w:color w:val="000000"/>
          <w:sz w:val="24"/>
          <w:szCs w:val="24"/>
          <w:lang w:val="es-AR" w:eastAsia="es-ES_tradnl"/>
        </w:rPr>
        <w:tab/>
      </w:r>
      <w:r w:rsidR="00FA4BD0">
        <w:rPr>
          <w:rFonts w:ascii="Arial" w:eastAsia="Times New Roman" w:hAnsi="Arial" w:cs="Arial"/>
          <w:color w:val="000000"/>
          <w:sz w:val="24"/>
          <w:szCs w:val="24"/>
          <w:lang w:val="es-AR" w:eastAsia="es-ES_tradnl"/>
        </w:rPr>
        <w:t>La delegación de Paraguay refi</w:t>
      </w:r>
      <w:r w:rsidR="00BB3257">
        <w:rPr>
          <w:rFonts w:ascii="Arial" w:eastAsia="Times New Roman" w:hAnsi="Arial" w:cs="Arial"/>
          <w:color w:val="000000"/>
          <w:sz w:val="24"/>
          <w:szCs w:val="24"/>
          <w:lang w:val="es-AR" w:eastAsia="es-ES_tradnl"/>
        </w:rPr>
        <w:t>rió</w:t>
      </w:r>
      <w:r w:rsidR="00FA4BD0">
        <w:rPr>
          <w:rFonts w:ascii="Arial" w:eastAsia="Times New Roman" w:hAnsi="Arial" w:cs="Arial"/>
          <w:color w:val="000000"/>
          <w:sz w:val="24"/>
          <w:szCs w:val="24"/>
          <w:lang w:val="es-AR" w:eastAsia="es-ES_tradnl"/>
        </w:rPr>
        <w:t xml:space="preserve"> que, s</w:t>
      </w:r>
      <w:r w:rsidR="009405D8">
        <w:rPr>
          <w:rFonts w:ascii="Arial" w:eastAsia="Times New Roman" w:hAnsi="Arial" w:cs="Arial"/>
          <w:color w:val="000000"/>
          <w:sz w:val="24"/>
          <w:szCs w:val="24"/>
          <w:lang w:val="es-AR" w:eastAsia="es-ES_tradnl"/>
        </w:rPr>
        <w:t>i bien las NIIF no son requeridas, los estándares son utilizados como guías de buenas prácticas o de manera supletoria a situaciones no contempladas en las Normas Contables del Banco Central del Paraguay al momento de definir ciertos criterios de registración contable. En ese sentido, se ha recibido, de la Asociación de Bancos</w:t>
      </w:r>
      <w:r w:rsidR="006B7993">
        <w:rPr>
          <w:rFonts w:ascii="Arial" w:eastAsia="Times New Roman" w:hAnsi="Arial" w:cs="Arial"/>
          <w:color w:val="000000"/>
          <w:sz w:val="24"/>
          <w:szCs w:val="24"/>
          <w:lang w:val="es-AR" w:eastAsia="es-ES_tradnl"/>
        </w:rPr>
        <w:t xml:space="preserve"> -gremio que aglutina a las instituciones financieras de plaza en Paraguay-</w:t>
      </w:r>
      <w:r w:rsidR="009405D8">
        <w:rPr>
          <w:rFonts w:ascii="Arial" w:eastAsia="Times New Roman" w:hAnsi="Arial" w:cs="Arial"/>
          <w:color w:val="000000"/>
          <w:sz w:val="24"/>
          <w:szCs w:val="24"/>
          <w:lang w:val="es-AR" w:eastAsia="es-ES_tradnl"/>
        </w:rPr>
        <w:t>, la solicitud para</w:t>
      </w:r>
      <w:r w:rsidR="00FA4BD0">
        <w:rPr>
          <w:rFonts w:ascii="Arial" w:eastAsia="Times New Roman" w:hAnsi="Arial" w:cs="Arial"/>
          <w:color w:val="000000"/>
          <w:sz w:val="24"/>
          <w:szCs w:val="24"/>
          <w:lang w:val="es-AR" w:eastAsia="es-ES_tradnl"/>
        </w:rPr>
        <w:t xml:space="preserve"> </w:t>
      </w:r>
      <w:r w:rsidR="006B7993">
        <w:rPr>
          <w:rFonts w:ascii="Arial" w:eastAsia="Times New Roman" w:hAnsi="Arial" w:cs="Arial"/>
          <w:color w:val="000000"/>
          <w:sz w:val="24"/>
          <w:szCs w:val="24"/>
          <w:lang w:val="es-AR" w:eastAsia="es-ES_tradnl"/>
        </w:rPr>
        <w:t xml:space="preserve">que los Bonos Corporativos que sean adquiridos por los bancos a través de la Bolsa de Valores con la intención de mantenerlos hasta su vencimiento, sean contabilizados en un rubro distinto a aquel en el cual se registran aquellos adquiridos para negociación. </w:t>
      </w:r>
    </w:p>
    <w:p w14:paraId="497DD5A4" w14:textId="7B79C892" w:rsidR="006B7993" w:rsidRDefault="006B7993" w:rsidP="00C37CDB">
      <w:pPr>
        <w:tabs>
          <w:tab w:val="left" w:pos="567"/>
        </w:tabs>
        <w:spacing w:after="0" w:line="240" w:lineRule="auto"/>
        <w:jc w:val="both"/>
        <w:rPr>
          <w:rFonts w:ascii="Arial" w:eastAsia="Times New Roman" w:hAnsi="Arial" w:cs="Arial"/>
          <w:color w:val="000000"/>
          <w:sz w:val="24"/>
          <w:szCs w:val="24"/>
          <w:lang w:val="es-AR" w:eastAsia="es-ES_tradnl"/>
        </w:rPr>
      </w:pPr>
    </w:p>
    <w:p w14:paraId="6354F5D0" w14:textId="15347832" w:rsidR="006B7993" w:rsidRDefault="006B7993" w:rsidP="006B7993">
      <w:pPr>
        <w:tabs>
          <w:tab w:val="left" w:pos="567"/>
        </w:tabs>
        <w:spacing w:after="0" w:line="240" w:lineRule="auto"/>
        <w:jc w:val="both"/>
        <w:rPr>
          <w:rFonts w:ascii="Arial" w:eastAsia="Times New Roman" w:hAnsi="Arial" w:cs="Arial"/>
          <w:color w:val="000000"/>
          <w:sz w:val="24"/>
          <w:szCs w:val="24"/>
          <w:lang w:eastAsia="es-ES_tradnl"/>
        </w:rPr>
      </w:pPr>
      <w:r>
        <w:rPr>
          <w:rFonts w:ascii="Arial" w:eastAsia="Times New Roman" w:hAnsi="Arial" w:cs="Arial"/>
          <w:color w:val="000000"/>
          <w:sz w:val="24"/>
          <w:szCs w:val="24"/>
          <w:lang w:val="es-AR" w:eastAsia="es-ES_tradnl"/>
        </w:rPr>
        <w:tab/>
      </w:r>
      <w:r w:rsidRPr="006B7993">
        <w:rPr>
          <w:rFonts w:ascii="Arial" w:eastAsia="Times New Roman" w:hAnsi="Arial" w:cs="Arial"/>
          <w:color w:val="000000"/>
          <w:sz w:val="24"/>
          <w:szCs w:val="24"/>
          <w:lang w:eastAsia="es-ES_tradnl"/>
        </w:rPr>
        <w:t>La delegación de Uruguay compartió como caso de discusión el tratamiento a dar, en relación a la tasa efectiva en los términos de la NIIF 9, al traslado a los clientes del costo de las pólizas de seguro de vida a efectos de cubrir los saldos adeudados, cuando concomitantemente las empresas aseguradoras devuelven fondos a la entidad prestamista en concepto de comisiones por los negocios generados.</w:t>
      </w:r>
    </w:p>
    <w:p w14:paraId="18F3E49E" w14:textId="5F963BB1" w:rsidR="006B7993" w:rsidRDefault="006B7993" w:rsidP="006B7993">
      <w:pPr>
        <w:tabs>
          <w:tab w:val="left" w:pos="567"/>
        </w:tabs>
        <w:spacing w:after="0" w:line="240" w:lineRule="auto"/>
        <w:jc w:val="both"/>
        <w:rPr>
          <w:rFonts w:ascii="Arial" w:eastAsia="Times New Roman" w:hAnsi="Arial" w:cs="Arial"/>
          <w:color w:val="000000"/>
          <w:sz w:val="24"/>
          <w:szCs w:val="24"/>
          <w:lang w:eastAsia="es-ES_tradnl"/>
        </w:rPr>
      </w:pPr>
    </w:p>
    <w:p w14:paraId="4B8C2400" w14:textId="58AC6592" w:rsidR="008A2C46" w:rsidRDefault="006B7993" w:rsidP="00040123">
      <w:pPr>
        <w:tabs>
          <w:tab w:val="left" w:pos="567"/>
        </w:tabs>
        <w:spacing w:after="0" w:line="240" w:lineRule="auto"/>
        <w:jc w:val="both"/>
        <w:rPr>
          <w:rFonts w:ascii="Arial" w:eastAsia="Times New Roman" w:hAnsi="Arial" w:cs="Arial"/>
          <w:color w:val="201F1E"/>
          <w:sz w:val="24"/>
          <w:szCs w:val="24"/>
          <w:shd w:val="clear" w:color="auto" w:fill="FFFF00"/>
          <w:lang w:val="es-AR" w:eastAsia="es-ES_tradnl"/>
        </w:rPr>
      </w:pPr>
      <w:r>
        <w:rPr>
          <w:rFonts w:ascii="Arial" w:eastAsia="Times New Roman" w:hAnsi="Arial" w:cs="Arial"/>
          <w:color w:val="000000"/>
          <w:sz w:val="24"/>
          <w:szCs w:val="24"/>
          <w:lang w:eastAsia="es-ES_tradnl"/>
        </w:rPr>
        <w:tab/>
      </w:r>
      <w:bookmarkEnd w:id="0"/>
    </w:p>
    <w:p w14:paraId="4B8C2401" w14:textId="08903E92" w:rsidR="007E768F" w:rsidRDefault="00696124" w:rsidP="00C37CDB">
      <w:pPr>
        <w:tabs>
          <w:tab w:val="left" w:pos="567"/>
        </w:tabs>
        <w:spacing w:after="0" w:line="240" w:lineRule="auto"/>
        <w:ind w:left="567" w:hanging="567"/>
        <w:rPr>
          <w:rFonts w:ascii="Arial" w:eastAsia="Calibri" w:hAnsi="Arial" w:cs="Arial"/>
          <w:b/>
          <w:bCs/>
          <w:sz w:val="24"/>
          <w:szCs w:val="24"/>
        </w:rPr>
      </w:pPr>
      <w:r>
        <w:rPr>
          <w:rFonts w:ascii="Arial" w:eastAsia="Calibri" w:hAnsi="Arial" w:cs="Arial"/>
          <w:b/>
          <w:bCs/>
          <w:sz w:val="24"/>
          <w:szCs w:val="24"/>
        </w:rPr>
        <w:t>3</w:t>
      </w:r>
      <w:r w:rsidR="00890193" w:rsidRPr="006139F5">
        <w:rPr>
          <w:rFonts w:ascii="Arial" w:eastAsia="Calibri" w:hAnsi="Arial" w:cs="Arial"/>
          <w:b/>
          <w:bCs/>
          <w:sz w:val="24"/>
          <w:szCs w:val="24"/>
        </w:rPr>
        <w:t>.</w:t>
      </w:r>
      <w:r w:rsidR="00C37CDB">
        <w:rPr>
          <w:rFonts w:ascii="Arial" w:eastAsia="Calibri" w:hAnsi="Arial" w:cs="Arial"/>
          <w:b/>
          <w:bCs/>
          <w:sz w:val="24"/>
          <w:szCs w:val="24"/>
        </w:rPr>
        <w:tab/>
      </w:r>
      <w:r w:rsidR="00951231">
        <w:rPr>
          <w:rFonts w:ascii="Arial" w:eastAsia="Calibri" w:hAnsi="Arial" w:cs="Arial"/>
          <w:b/>
          <w:bCs/>
          <w:sz w:val="24"/>
          <w:szCs w:val="24"/>
        </w:rPr>
        <w:t xml:space="preserve">MODELOS DE ESTADOS FINANCIEROS BASADOS EN LAS NIIF </w:t>
      </w:r>
    </w:p>
    <w:p w14:paraId="4B8C2402" w14:textId="77777777" w:rsidR="00774662" w:rsidRDefault="00774662" w:rsidP="00C37CDB">
      <w:pPr>
        <w:tabs>
          <w:tab w:val="left" w:pos="567"/>
        </w:tabs>
        <w:spacing w:after="0" w:line="240" w:lineRule="auto"/>
        <w:ind w:left="567" w:hanging="567"/>
        <w:rPr>
          <w:rFonts w:ascii="Arial" w:eastAsia="Calibri" w:hAnsi="Arial" w:cs="Arial"/>
          <w:b/>
          <w:bCs/>
          <w:sz w:val="24"/>
          <w:szCs w:val="24"/>
        </w:rPr>
      </w:pPr>
    </w:p>
    <w:p w14:paraId="1BB4F892" w14:textId="771A51C0" w:rsidR="00040123" w:rsidRPr="009D6761" w:rsidRDefault="00C37CDB" w:rsidP="00040123">
      <w:pPr>
        <w:tabs>
          <w:tab w:val="left" w:pos="567"/>
        </w:tabs>
        <w:spacing w:after="0" w:line="240" w:lineRule="auto"/>
        <w:jc w:val="both"/>
        <w:rPr>
          <w:rFonts w:ascii="Arial" w:eastAsia="Times New Roman" w:hAnsi="Arial" w:cs="Arial"/>
          <w:color w:val="000000"/>
          <w:sz w:val="24"/>
          <w:szCs w:val="24"/>
          <w:lang w:eastAsia="es-ES_tradnl"/>
        </w:rPr>
      </w:pPr>
      <w:r>
        <w:rPr>
          <w:rFonts w:ascii="Arial" w:eastAsia="Times New Roman" w:hAnsi="Arial" w:cs="Arial"/>
          <w:color w:val="000000"/>
          <w:sz w:val="24"/>
          <w:szCs w:val="24"/>
          <w:lang w:val="es-AR" w:eastAsia="es-ES_tradnl"/>
        </w:rPr>
        <w:tab/>
      </w:r>
      <w:r w:rsidR="00040123" w:rsidRPr="009D6761">
        <w:rPr>
          <w:rFonts w:ascii="Arial" w:eastAsia="Times New Roman" w:hAnsi="Arial" w:cs="Arial"/>
          <w:color w:val="000000"/>
          <w:sz w:val="24"/>
          <w:szCs w:val="24"/>
          <w:lang w:eastAsia="es-ES_tradnl"/>
        </w:rPr>
        <w:t>La delegación de Argentina inform</w:t>
      </w:r>
      <w:r w:rsidR="00BB3257">
        <w:rPr>
          <w:rFonts w:ascii="Arial" w:eastAsia="Times New Roman" w:hAnsi="Arial" w:cs="Arial"/>
          <w:color w:val="000000"/>
          <w:sz w:val="24"/>
          <w:szCs w:val="24"/>
          <w:lang w:eastAsia="es-ES_tradnl"/>
        </w:rPr>
        <w:t>ó</w:t>
      </w:r>
      <w:r w:rsidR="00040123" w:rsidRPr="009D6761">
        <w:rPr>
          <w:rFonts w:ascii="Arial" w:eastAsia="Times New Roman" w:hAnsi="Arial" w:cs="Arial"/>
          <w:color w:val="000000"/>
          <w:sz w:val="24"/>
          <w:szCs w:val="24"/>
          <w:lang w:eastAsia="es-ES_tradnl"/>
        </w:rPr>
        <w:t xml:space="preserve"> que se actualizaron las referencias normativas incluidas en las Notas Mínimas de los Estados Financieros para Publicación Trimestral / Anual, mediante la Comunicación “A” 7493. Respecto del marco normativo NIIF en materia de información a revelar, las adecuaciones mencionadas incluyeron lo siguiente:</w:t>
      </w:r>
    </w:p>
    <w:p w14:paraId="08B0B6C9" w14:textId="77777777" w:rsidR="00040123" w:rsidRPr="009D6761" w:rsidRDefault="00040123" w:rsidP="00040123">
      <w:pPr>
        <w:tabs>
          <w:tab w:val="left" w:pos="567"/>
        </w:tabs>
        <w:spacing w:after="0" w:line="240" w:lineRule="auto"/>
        <w:jc w:val="both"/>
        <w:rPr>
          <w:rFonts w:ascii="Arial" w:eastAsia="Times New Roman" w:hAnsi="Arial" w:cs="Arial"/>
          <w:color w:val="000000"/>
          <w:sz w:val="24"/>
          <w:szCs w:val="24"/>
          <w:lang w:eastAsia="es-ES_tradnl"/>
        </w:rPr>
      </w:pPr>
    </w:p>
    <w:p w14:paraId="7E60E3E7" w14:textId="77777777" w:rsidR="00040123" w:rsidRPr="009D6761" w:rsidRDefault="00040123" w:rsidP="00BF54E9">
      <w:pPr>
        <w:tabs>
          <w:tab w:val="left" w:pos="567"/>
        </w:tabs>
        <w:spacing w:after="0" w:line="240" w:lineRule="auto"/>
        <w:ind w:left="567" w:hanging="283"/>
        <w:jc w:val="both"/>
        <w:rPr>
          <w:rFonts w:ascii="Arial" w:eastAsia="Times New Roman" w:hAnsi="Arial" w:cs="Arial"/>
          <w:color w:val="000000"/>
          <w:sz w:val="24"/>
          <w:szCs w:val="24"/>
          <w:lang w:eastAsia="es-ES_tradnl"/>
        </w:rPr>
      </w:pPr>
      <w:r w:rsidRPr="009D6761">
        <w:rPr>
          <w:rFonts w:ascii="Arial" w:eastAsia="Times New Roman" w:hAnsi="Arial" w:cs="Arial"/>
          <w:color w:val="000000"/>
          <w:sz w:val="24"/>
          <w:szCs w:val="24"/>
          <w:lang w:eastAsia="es-ES_tradnl"/>
        </w:rPr>
        <w:t>-</w:t>
      </w:r>
      <w:r w:rsidRPr="009D6761">
        <w:rPr>
          <w:rFonts w:ascii="Arial" w:eastAsia="Times New Roman" w:hAnsi="Arial" w:cs="Arial"/>
          <w:color w:val="000000"/>
          <w:sz w:val="24"/>
          <w:szCs w:val="24"/>
          <w:lang w:eastAsia="es-ES_tradnl"/>
        </w:rPr>
        <w:tab/>
        <w:t>NIIF 7 – Instrumentos Financieros: Información a revelar. Se incorporan los párrafos 24H, 24I y 24J de Contabilidad de Cobertura, vinculados con revelaciones sobre la implementación de la tasa alternativa de referencia.</w:t>
      </w:r>
    </w:p>
    <w:p w14:paraId="66141F89" w14:textId="77777777" w:rsidR="00040123" w:rsidRPr="009D6761" w:rsidRDefault="00040123" w:rsidP="00BF54E9">
      <w:pPr>
        <w:tabs>
          <w:tab w:val="left" w:pos="567"/>
        </w:tabs>
        <w:spacing w:after="0" w:line="240" w:lineRule="auto"/>
        <w:ind w:left="567" w:hanging="283"/>
        <w:jc w:val="both"/>
        <w:rPr>
          <w:rFonts w:ascii="Arial" w:eastAsia="Times New Roman" w:hAnsi="Arial" w:cs="Arial"/>
          <w:color w:val="000000"/>
          <w:sz w:val="24"/>
          <w:szCs w:val="24"/>
          <w:lang w:eastAsia="es-ES_tradnl"/>
        </w:rPr>
      </w:pPr>
    </w:p>
    <w:p w14:paraId="2D0AA61C" w14:textId="77777777" w:rsidR="00040123" w:rsidRPr="009D6761" w:rsidRDefault="00040123" w:rsidP="00BF54E9">
      <w:pPr>
        <w:tabs>
          <w:tab w:val="left" w:pos="567"/>
        </w:tabs>
        <w:spacing w:after="0" w:line="240" w:lineRule="auto"/>
        <w:ind w:left="567" w:hanging="283"/>
        <w:jc w:val="both"/>
        <w:rPr>
          <w:rFonts w:ascii="Arial" w:eastAsia="Times New Roman" w:hAnsi="Arial" w:cs="Arial"/>
          <w:color w:val="000000"/>
          <w:sz w:val="24"/>
          <w:szCs w:val="24"/>
          <w:lang w:eastAsia="es-ES_tradnl"/>
        </w:rPr>
      </w:pPr>
      <w:r w:rsidRPr="009D6761">
        <w:rPr>
          <w:rFonts w:ascii="Arial" w:eastAsia="Times New Roman" w:hAnsi="Arial" w:cs="Arial"/>
          <w:color w:val="000000"/>
          <w:sz w:val="24"/>
          <w:szCs w:val="24"/>
          <w:lang w:eastAsia="es-ES_tradnl"/>
        </w:rPr>
        <w:t>-</w:t>
      </w:r>
      <w:r w:rsidRPr="009D6761">
        <w:rPr>
          <w:rFonts w:ascii="Arial" w:eastAsia="Times New Roman" w:hAnsi="Arial" w:cs="Arial"/>
          <w:color w:val="000000"/>
          <w:sz w:val="24"/>
          <w:szCs w:val="24"/>
          <w:lang w:eastAsia="es-ES_tradnl"/>
        </w:rPr>
        <w:tab/>
        <w:t xml:space="preserve">NIIF 16 – Arrendamientos. Se agrega el párrafo 60A relacionado con la aplicación de la solución práctica respecto de las concesiones en alquileres originadas por </w:t>
      </w:r>
      <w:proofErr w:type="spellStart"/>
      <w:r w:rsidRPr="009D6761">
        <w:rPr>
          <w:rFonts w:ascii="Arial" w:eastAsia="Times New Roman" w:hAnsi="Arial" w:cs="Arial"/>
          <w:color w:val="000000"/>
          <w:sz w:val="24"/>
          <w:szCs w:val="24"/>
          <w:lang w:eastAsia="es-ES_tradnl"/>
        </w:rPr>
        <w:t>Covid</w:t>
      </w:r>
      <w:proofErr w:type="spellEnd"/>
      <w:r w:rsidRPr="009D6761">
        <w:rPr>
          <w:rFonts w:ascii="Arial" w:eastAsia="Times New Roman" w:hAnsi="Arial" w:cs="Arial"/>
          <w:color w:val="000000"/>
          <w:sz w:val="24"/>
          <w:szCs w:val="24"/>
          <w:lang w:eastAsia="es-ES_tradnl"/>
        </w:rPr>
        <w:t xml:space="preserve"> 19.</w:t>
      </w:r>
    </w:p>
    <w:p w14:paraId="0C9343C3" w14:textId="77777777" w:rsidR="00040123" w:rsidRPr="009D6761" w:rsidRDefault="00040123" w:rsidP="00BF54E9">
      <w:pPr>
        <w:tabs>
          <w:tab w:val="left" w:pos="567"/>
        </w:tabs>
        <w:spacing w:after="0" w:line="240" w:lineRule="auto"/>
        <w:ind w:left="567" w:hanging="283"/>
        <w:jc w:val="both"/>
        <w:rPr>
          <w:rFonts w:ascii="Arial" w:eastAsia="Times New Roman" w:hAnsi="Arial" w:cs="Arial"/>
          <w:color w:val="000000"/>
          <w:sz w:val="24"/>
          <w:szCs w:val="24"/>
          <w:lang w:eastAsia="es-ES_tradnl"/>
        </w:rPr>
      </w:pPr>
    </w:p>
    <w:p w14:paraId="089B3D2D" w14:textId="77777777" w:rsidR="00040123" w:rsidRPr="009D6761" w:rsidRDefault="00040123" w:rsidP="00BF54E9">
      <w:pPr>
        <w:tabs>
          <w:tab w:val="left" w:pos="567"/>
        </w:tabs>
        <w:spacing w:after="0" w:line="240" w:lineRule="auto"/>
        <w:ind w:left="567" w:hanging="283"/>
        <w:jc w:val="both"/>
        <w:rPr>
          <w:rFonts w:ascii="Arial" w:eastAsia="Times New Roman" w:hAnsi="Arial" w:cs="Arial"/>
          <w:color w:val="000000"/>
          <w:sz w:val="24"/>
          <w:szCs w:val="24"/>
          <w:lang w:eastAsia="es-ES_tradnl"/>
        </w:rPr>
      </w:pPr>
      <w:r w:rsidRPr="009D6761">
        <w:rPr>
          <w:rFonts w:ascii="Arial" w:eastAsia="Times New Roman" w:hAnsi="Arial" w:cs="Arial"/>
          <w:color w:val="000000"/>
          <w:sz w:val="24"/>
          <w:szCs w:val="24"/>
          <w:lang w:eastAsia="es-ES_tradnl"/>
        </w:rPr>
        <w:t>-</w:t>
      </w:r>
      <w:r w:rsidRPr="009D6761">
        <w:rPr>
          <w:rFonts w:ascii="Arial" w:eastAsia="Times New Roman" w:hAnsi="Arial" w:cs="Arial"/>
          <w:color w:val="000000"/>
          <w:sz w:val="24"/>
          <w:szCs w:val="24"/>
          <w:lang w:eastAsia="es-ES_tradnl"/>
        </w:rPr>
        <w:tab/>
        <w:t>NIC 16 – Propiedad, Planta y Equipo. Se incluye el párrafo 74A con información a revelar en la medida que no se muestre en forma separada en el Estado de Resultados Integral.</w:t>
      </w:r>
    </w:p>
    <w:p w14:paraId="468696B4" w14:textId="77777777" w:rsidR="00040123" w:rsidRPr="009D6761" w:rsidRDefault="00040123" w:rsidP="00040123">
      <w:pPr>
        <w:tabs>
          <w:tab w:val="left" w:pos="567"/>
        </w:tabs>
        <w:spacing w:after="0" w:line="240" w:lineRule="auto"/>
        <w:jc w:val="both"/>
        <w:rPr>
          <w:rFonts w:ascii="Arial" w:eastAsia="Times New Roman" w:hAnsi="Arial" w:cs="Arial"/>
          <w:color w:val="000000"/>
          <w:sz w:val="24"/>
          <w:szCs w:val="24"/>
          <w:lang w:eastAsia="es-ES_tradnl"/>
        </w:rPr>
      </w:pPr>
    </w:p>
    <w:p w14:paraId="087CD78F" w14:textId="47BF17FB" w:rsidR="00040123" w:rsidRDefault="00FD34F1" w:rsidP="00C37CDB">
      <w:pPr>
        <w:tabs>
          <w:tab w:val="left" w:pos="567"/>
        </w:tabs>
        <w:spacing w:after="0" w:line="240" w:lineRule="auto"/>
        <w:jc w:val="both"/>
        <w:rPr>
          <w:rFonts w:ascii="Arial" w:eastAsia="Times New Roman" w:hAnsi="Arial" w:cs="Arial"/>
          <w:color w:val="000000"/>
          <w:sz w:val="24"/>
          <w:szCs w:val="24"/>
          <w:lang w:eastAsia="es-ES_tradnl"/>
        </w:rPr>
      </w:pPr>
      <w:r>
        <w:rPr>
          <w:rFonts w:ascii="Arial" w:eastAsia="Times New Roman" w:hAnsi="Arial" w:cs="Arial"/>
          <w:color w:val="000000"/>
          <w:sz w:val="24"/>
          <w:szCs w:val="24"/>
          <w:lang w:eastAsia="es-ES_tradnl"/>
        </w:rPr>
        <w:tab/>
      </w:r>
      <w:r w:rsidR="00040123" w:rsidRPr="009D6761">
        <w:rPr>
          <w:rFonts w:ascii="Arial" w:eastAsia="Times New Roman" w:hAnsi="Arial" w:cs="Arial"/>
          <w:color w:val="000000"/>
          <w:sz w:val="24"/>
          <w:szCs w:val="24"/>
          <w:lang w:eastAsia="es-ES_tradnl"/>
        </w:rPr>
        <w:t>La delegación de Argentina señal</w:t>
      </w:r>
      <w:r w:rsidR="00BB3257">
        <w:rPr>
          <w:rFonts w:ascii="Arial" w:eastAsia="Times New Roman" w:hAnsi="Arial" w:cs="Arial"/>
          <w:color w:val="000000"/>
          <w:sz w:val="24"/>
          <w:szCs w:val="24"/>
          <w:lang w:eastAsia="es-ES_tradnl"/>
        </w:rPr>
        <w:t>ó</w:t>
      </w:r>
      <w:r w:rsidR="00040123" w:rsidRPr="009D6761">
        <w:rPr>
          <w:rFonts w:ascii="Arial" w:eastAsia="Times New Roman" w:hAnsi="Arial" w:cs="Arial"/>
          <w:color w:val="000000"/>
          <w:sz w:val="24"/>
          <w:szCs w:val="24"/>
          <w:lang w:eastAsia="es-ES_tradnl"/>
        </w:rPr>
        <w:t xml:space="preserve"> adicionalmente que se está trabajando en la conversión a un formato más explotable del “Estado de Cambios en el Patrimonio” </w:t>
      </w:r>
      <w:r w:rsidR="00040123" w:rsidRPr="009D6761">
        <w:rPr>
          <w:rFonts w:ascii="Arial" w:eastAsia="Times New Roman" w:hAnsi="Arial" w:cs="Arial"/>
          <w:color w:val="000000"/>
          <w:sz w:val="24"/>
          <w:szCs w:val="24"/>
          <w:lang w:eastAsia="es-ES_tradnl"/>
        </w:rPr>
        <w:lastRenderedPageBreak/>
        <w:t xml:space="preserve">correspondiente al Régimen Informativo “Estados Financieros para Publicación Trimestral/ Anual”, que actualmente las Entidades Financieras presentan en formato PDF. En dicho marco, expone el modelo vigente requerido a las entidades financieras e </w:t>
      </w:r>
      <w:proofErr w:type="spellStart"/>
      <w:r w:rsidR="00040123" w:rsidRPr="009D6761">
        <w:rPr>
          <w:rFonts w:ascii="Arial" w:eastAsia="Times New Roman" w:hAnsi="Arial" w:cs="Arial"/>
          <w:color w:val="000000"/>
          <w:sz w:val="24"/>
          <w:szCs w:val="24"/>
          <w:lang w:eastAsia="es-ES_tradnl"/>
        </w:rPr>
        <w:t>intercambia</w:t>
      </w:r>
      <w:proofErr w:type="spellEnd"/>
      <w:r w:rsidR="00040123" w:rsidRPr="009D6761">
        <w:rPr>
          <w:rFonts w:ascii="Arial" w:eastAsia="Times New Roman" w:hAnsi="Arial" w:cs="Arial"/>
          <w:color w:val="000000"/>
          <w:sz w:val="24"/>
          <w:szCs w:val="24"/>
          <w:lang w:eastAsia="es-ES_tradnl"/>
        </w:rPr>
        <w:t xml:space="preserve"> opiniones respecto de su composición con las demás delegaciones.</w:t>
      </w:r>
    </w:p>
    <w:p w14:paraId="421DDE7E" w14:textId="77777777" w:rsidR="00040123" w:rsidRPr="00040123" w:rsidRDefault="00040123" w:rsidP="00C37CDB">
      <w:pPr>
        <w:tabs>
          <w:tab w:val="left" w:pos="567"/>
        </w:tabs>
        <w:spacing w:after="0" w:line="240" w:lineRule="auto"/>
        <w:jc w:val="both"/>
        <w:rPr>
          <w:rFonts w:ascii="Arial" w:eastAsia="Times New Roman" w:hAnsi="Arial" w:cs="Arial"/>
          <w:color w:val="000000"/>
          <w:sz w:val="24"/>
          <w:szCs w:val="24"/>
          <w:lang w:eastAsia="es-ES_tradnl"/>
        </w:rPr>
      </w:pPr>
    </w:p>
    <w:p w14:paraId="4B8C2406" w14:textId="577AEBE3" w:rsidR="00DF123B" w:rsidRDefault="00040123" w:rsidP="00C37CDB">
      <w:pPr>
        <w:tabs>
          <w:tab w:val="left" w:pos="567"/>
        </w:tabs>
        <w:spacing w:after="0" w:line="240" w:lineRule="auto"/>
        <w:jc w:val="both"/>
        <w:rPr>
          <w:rFonts w:ascii="Arial" w:eastAsia="Times New Roman" w:hAnsi="Arial" w:cs="Arial"/>
          <w:color w:val="000000"/>
          <w:sz w:val="24"/>
          <w:szCs w:val="24"/>
          <w:lang w:val="es-AR" w:eastAsia="es-ES_tradnl"/>
        </w:rPr>
      </w:pPr>
      <w:r>
        <w:rPr>
          <w:rFonts w:ascii="Arial" w:eastAsia="Times New Roman" w:hAnsi="Arial" w:cs="Arial"/>
          <w:color w:val="000000"/>
          <w:sz w:val="24"/>
          <w:szCs w:val="24"/>
          <w:lang w:val="es-AR" w:eastAsia="es-ES_tradnl"/>
        </w:rPr>
        <w:tab/>
      </w:r>
      <w:r w:rsidR="00DF123B" w:rsidRPr="00DF123B">
        <w:rPr>
          <w:rFonts w:ascii="Arial" w:eastAsia="Times New Roman" w:hAnsi="Arial" w:cs="Arial"/>
          <w:color w:val="000000"/>
          <w:sz w:val="24"/>
          <w:szCs w:val="24"/>
          <w:lang w:val="es-AR" w:eastAsia="es-ES_tradnl"/>
        </w:rPr>
        <w:t>La delegación de Paraguay no present</w:t>
      </w:r>
      <w:r w:rsidR="008A2C46">
        <w:rPr>
          <w:rFonts w:ascii="Arial" w:eastAsia="Times New Roman" w:hAnsi="Arial" w:cs="Arial"/>
          <w:color w:val="000000"/>
          <w:sz w:val="24"/>
          <w:szCs w:val="24"/>
          <w:lang w:val="es-AR" w:eastAsia="es-ES_tradnl"/>
        </w:rPr>
        <w:t>ó</w:t>
      </w:r>
      <w:r w:rsidR="00DF123B" w:rsidRPr="00DF123B">
        <w:rPr>
          <w:rFonts w:ascii="Arial" w:eastAsia="Times New Roman" w:hAnsi="Arial" w:cs="Arial"/>
          <w:color w:val="000000"/>
          <w:sz w:val="24"/>
          <w:szCs w:val="24"/>
          <w:lang w:val="es-AR" w:eastAsia="es-ES_tradnl"/>
        </w:rPr>
        <w:t xml:space="preserve"> comentarios respecto a este punto</w:t>
      </w:r>
      <w:r w:rsidR="00216541">
        <w:rPr>
          <w:rFonts w:ascii="Arial" w:eastAsia="Times New Roman" w:hAnsi="Arial" w:cs="Arial"/>
          <w:color w:val="000000"/>
          <w:sz w:val="24"/>
          <w:szCs w:val="24"/>
          <w:lang w:val="es-AR" w:eastAsia="es-ES_tradnl"/>
        </w:rPr>
        <w:t>, sin embargo, se ex</w:t>
      </w:r>
      <w:r w:rsidR="000B4F90">
        <w:rPr>
          <w:rFonts w:ascii="Arial" w:eastAsia="Times New Roman" w:hAnsi="Arial" w:cs="Arial"/>
          <w:color w:val="000000"/>
          <w:sz w:val="24"/>
          <w:szCs w:val="24"/>
          <w:lang w:val="es-AR" w:eastAsia="es-ES_tradnl"/>
        </w:rPr>
        <w:t>pus</w:t>
      </w:r>
      <w:r w:rsidR="00FD34F1">
        <w:rPr>
          <w:rFonts w:ascii="Arial" w:eastAsia="Times New Roman" w:hAnsi="Arial" w:cs="Arial"/>
          <w:color w:val="000000"/>
          <w:sz w:val="24"/>
          <w:szCs w:val="24"/>
          <w:lang w:val="es-AR" w:eastAsia="es-ES_tradnl"/>
        </w:rPr>
        <w:t>ieron los criterios de</w:t>
      </w:r>
      <w:r w:rsidR="00216541">
        <w:rPr>
          <w:rFonts w:ascii="Arial" w:eastAsia="Times New Roman" w:hAnsi="Arial" w:cs="Arial"/>
          <w:color w:val="000000"/>
          <w:sz w:val="24"/>
          <w:szCs w:val="24"/>
          <w:lang w:val="es-AR" w:eastAsia="es-ES_tradnl"/>
        </w:rPr>
        <w:t xml:space="preserve"> contabilización de los créditos renegociados </w:t>
      </w:r>
      <w:r w:rsidR="000B4F90">
        <w:rPr>
          <w:rFonts w:ascii="Arial" w:eastAsia="Times New Roman" w:hAnsi="Arial" w:cs="Arial"/>
          <w:color w:val="000000"/>
          <w:sz w:val="24"/>
          <w:szCs w:val="24"/>
          <w:lang w:val="es-AR" w:eastAsia="es-ES_tradnl"/>
        </w:rPr>
        <w:t>mientras se encuentren</w:t>
      </w:r>
      <w:r w:rsidR="00216541">
        <w:rPr>
          <w:rFonts w:ascii="Arial" w:eastAsia="Times New Roman" w:hAnsi="Arial" w:cs="Arial"/>
          <w:color w:val="000000"/>
          <w:sz w:val="24"/>
          <w:szCs w:val="24"/>
          <w:lang w:val="es-AR" w:eastAsia="es-ES_tradnl"/>
        </w:rPr>
        <w:t xml:space="preserve"> vigente</w:t>
      </w:r>
      <w:r w:rsidR="000B4F90">
        <w:rPr>
          <w:rFonts w:ascii="Arial" w:eastAsia="Times New Roman" w:hAnsi="Arial" w:cs="Arial"/>
          <w:color w:val="000000"/>
          <w:sz w:val="24"/>
          <w:szCs w:val="24"/>
          <w:lang w:val="es-AR" w:eastAsia="es-ES_tradnl"/>
        </w:rPr>
        <w:t>s</w:t>
      </w:r>
      <w:r w:rsidR="00216541">
        <w:rPr>
          <w:rFonts w:ascii="Arial" w:eastAsia="Times New Roman" w:hAnsi="Arial" w:cs="Arial"/>
          <w:color w:val="000000"/>
          <w:sz w:val="24"/>
          <w:szCs w:val="24"/>
          <w:lang w:val="es-AR" w:eastAsia="es-ES_tradnl"/>
        </w:rPr>
        <w:t xml:space="preserve"> y su registración cuando los mismos caen en impagos.</w:t>
      </w:r>
    </w:p>
    <w:p w14:paraId="2E3A6C14" w14:textId="1250FDE1" w:rsidR="009D6761" w:rsidRDefault="009D6761" w:rsidP="00C37CDB">
      <w:pPr>
        <w:tabs>
          <w:tab w:val="left" w:pos="567"/>
        </w:tabs>
        <w:spacing w:after="0" w:line="240" w:lineRule="auto"/>
        <w:jc w:val="both"/>
        <w:rPr>
          <w:rFonts w:ascii="Arial" w:eastAsia="Times New Roman" w:hAnsi="Arial" w:cs="Arial"/>
          <w:color w:val="000000"/>
          <w:sz w:val="24"/>
          <w:szCs w:val="24"/>
          <w:lang w:val="es-AR" w:eastAsia="es-ES_tradnl"/>
        </w:rPr>
      </w:pPr>
    </w:p>
    <w:p w14:paraId="4F8712FB" w14:textId="6E003622" w:rsidR="000B4F90" w:rsidRPr="00040123" w:rsidRDefault="009D6761" w:rsidP="00C37CDB">
      <w:pPr>
        <w:tabs>
          <w:tab w:val="left" w:pos="567"/>
        </w:tabs>
        <w:spacing w:after="0" w:line="240" w:lineRule="auto"/>
        <w:jc w:val="both"/>
        <w:rPr>
          <w:rFonts w:ascii="Arial" w:eastAsia="Times New Roman" w:hAnsi="Arial" w:cs="Arial"/>
          <w:color w:val="000000"/>
          <w:sz w:val="24"/>
          <w:szCs w:val="24"/>
          <w:lang w:eastAsia="es-ES_tradnl"/>
        </w:rPr>
      </w:pPr>
      <w:r>
        <w:rPr>
          <w:rFonts w:ascii="Arial" w:eastAsia="Times New Roman" w:hAnsi="Arial" w:cs="Arial"/>
          <w:color w:val="000000"/>
          <w:sz w:val="24"/>
          <w:szCs w:val="24"/>
          <w:lang w:val="es-AR" w:eastAsia="es-ES_tradnl"/>
        </w:rPr>
        <w:tab/>
      </w:r>
      <w:r w:rsidRPr="009D6761">
        <w:rPr>
          <w:rFonts w:ascii="Arial" w:eastAsia="Times New Roman" w:hAnsi="Arial" w:cs="Arial"/>
          <w:color w:val="000000"/>
          <w:sz w:val="24"/>
          <w:szCs w:val="24"/>
          <w:lang w:eastAsia="es-ES_tradnl"/>
        </w:rPr>
        <w:t>La delegación de Uruguay solicitó información al resto de los participantes sobre la forma que en sus países se exponen los “préstamos reestructurados” en los estados financieros aplicables a entidades crediticias.</w:t>
      </w:r>
    </w:p>
    <w:p w14:paraId="4B8C240A" w14:textId="4502B6B5" w:rsidR="00DF123B" w:rsidRDefault="00DF123B" w:rsidP="00970C6C">
      <w:pPr>
        <w:tabs>
          <w:tab w:val="left" w:pos="567"/>
        </w:tabs>
        <w:spacing w:after="0" w:line="240" w:lineRule="auto"/>
        <w:rPr>
          <w:rFonts w:ascii="Arial" w:eastAsia="Calibri" w:hAnsi="Arial" w:cs="Arial"/>
          <w:b/>
          <w:bCs/>
          <w:sz w:val="24"/>
          <w:szCs w:val="24"/>
        </w:rPr>
      </w:pPr>
    </w:p>
    <w:p w14:paraId="14281EB7" w14:textId="77777777" w:rsidR="00BB3257" w:rsidRPr="007E768F" w:rsidRDefault="00BB3257" w:rsidP="00970C6C">
      <w:pPr>
        <w:tabs>
          <w:tab w:val="left" w:pos="567"/>
        </w:tabs>
        <w:spacing w:after="0" w:line="240" w:lineRule="auto"/>
        <w:rPr>
          <w:rFonts w:ascii="Arial" w:eastAsia="Calibri" w:hAnsi="Arial" w:cs="Arial"/>
          <w:b/>
          <w:bCs/>
          <w:sz w:val="24"/>
          <w:szCs w:val="24"/>
        </w:rPr>
      </w:pPr>
    </w:p>
    <w:p w14:paraId="4B8C240B" w14:textId="479654AC" w:rsidR="007E768F" w:rsidRDefault="00696124" w:rsidP="00C37CDB">
      <w:pPr>
        <w:tabs>
          <w:tab w:val="left" w:pos="567"/>
        </w:tabs>
        <w:spacing w:after="0" w:line="240" w:lineRule="auto"/>
        <w:ind w:left="567" w:hanging="567"/>
        <w:jc w:val="both"/>
        <w:rPr>
          <w:rFonts w:ascii="Arial" w:eastAsia="Calibri" w:hAnsi="Arial" w:cs="Arial"/>
          <w:b/>
          <w:bCs/>
          <w:sz w:val="24"/>
          <w:szCs w:val="24"/>
        </w:rPr>
      </w:pPr>
      <w:bookmarkStart w:id="1" w:name="_Hlk102998187"/>
      <w:bookmarkStart w:id="2" w:name="_Hlk103064650"/>
      <w:bookmarkStart w:id="3" w:name="_Hlk103065915"/>
      <w:r>
        <w:rPr>
          <w:rFonts w:ascii="Arial" w:eastAsia="Calibri" w:hAnsi="Arial" w:cs="Arial"/>
          <w:b/>
          <w:bCs/>
          <w:sz w:val="24"/>
          <w:szCs w:val="24"/>
        </w:rPr>
        <w:t>4</w:t>
      </w:r>
      <w:r w:rsidR="00890193" w:rsidRPr="006139F5">
        <w:rPr>
          <w:rFonts w:ascii="Arial" w:eastAsia="Calibri" w:hAnsi="Arial" w:cs="Arial"/>
          <w:b/>
          <w:bCs/>
          <w:sz w:val="24"/>
          <w:szCs w:val="24"/>
        </w:rPr>
        <w:t>.</w:t>
      </w:r>
      <w:r w:rsidR="00C37CDB">
        <w:rPr>
          <w:rFonts w:ascii="Arial" w:eastAsia="Calibri" w:hAnsi="Arial" w:cs="Arial"/>
          <w:b/>
          <w:bCs/>
          <w:sz w:val="24"/>
          <w:szCs w:val="24"/>
        </w:rPr>
        <w:tab/>
      </w:r>
      <w:r w:rsidR="00951231">
        <w:rPr>
          <w:rFonts w:ascii="Arial" w:eastAsia="Calibri" w:hAnsi="Arial" w:cs="Arial"/>
          <w:b/>
          <w:bCs/>
          <w:sz w:val="24"/>
          <w:szCs w:val="24"/>
        </w:rPr>
        <w:t xml:space="preserve">TRANSPARENCIA, INCLUSION E INNOVACION FINANCIERA Y CONSUMIDOR BANCARIO </w:t>
      </w:r>
    </w:p>
    <w:bookmarkEnd w:id="1"/>
    <w:p w14:paraId="4B8C240C" w14:textId="77777777" w:rsidR="00774662" w:rsidRDefault="00774662" w:rsidP="00C37CDB">
      <w:pPr>
        <w:tabs>
          <w:tab w:val="left" w:pos="567"/>
        </w:tabs>
        <w:spacing w:after="0" w:line="240" w:lineRule="auto"/>
        <w:ind w:left="567" w:hanging="567"/>
        <w:rPr>
          <w:rFonts w:ascii="Arial" w:eastAsia="Calibri" w:hAnsi="Arial" w:cs="Arial"/>
          <w:b/>
          <w:bCs/>
          <w:sz w:val="24"/>
          <w:szCs w:val="24"/>
        </w:rPr>
      </w:pPr>
    </w:p>
    <w:p w14:paraId="352C64B1" w14:textId="0907D1E0" w:rsidR="00040123" w:rsidRPr="00040123" w:rsidRDefault="00991D8F" w:rsidP="00040123">
      <w:pPr>
        <w:tabs>
          <w:tab w:val="left" w:pos="567"/>
        </w:tabs>
        <w:spacing w:after="0" w:line="240" w:lineRule="auto"/>
        <w:jc w:val="both"/>
        <w:rPr>
          <w:rFonts w:ascii="Arial" w:eastAsia="Times New Roman" w:hAnsi="Arial" w:cs="Arial"/>
          <w:bCs/>
          <w:color w:val="000000"/>
          <w:sz w:val="24"/>
          <w:szCs w:val="24"/>
          <w:lang w:eastAsia="es-ES_tradnl"/>
        </w:rPr>
      </w:pPr>
      <w:r>
        <w:rPr>
          <w:rFonts w:ascii="Arial" w:eastAsia="Times New Roman" w:hAnsi="Arial" w:cs="Arial"/>
          <w:color w:val="000000"/>
          <w:sz w:val="24"/>
          <w:szCs w:val="24"/>
          <w:lang w:val="es-AR" w:eastAsia="es-ES_tradnl"/>
        </w:rPr>
        <w:tab/>
      </w:r>
      <w:r w:rsidR="00040123" w:rsidRPr="00040123">
        <w:rPr>
          <w:rFonts w:ascii="Arial" w:eastAsia="Times New Roman" w:hAnsi="Arial" w:cs="Arial"/>
          <w:bCs/>
          <w:color w:val="000000"/>
          <w:sz w:val="24"/>
          <w:szCs w:val="24"/>
          <w:lang w:eastAsia="es-ES_tradnl"/>
        </w:rPr>
        <w:t>La delegación de Argentina coment</w:t>
      </w:r>
      <w:r w:rsidR="00BB3257">
        <w:rPr>
          <w:rFonts w:ascii="Arial" w:eastAsia="Times New Roman" w:hAnsi="Arial" w:cs="Arial"/>
          <w:bCs/>
          <w:color w:val="000000"/>
          <w:sz w:val="24"/>
          <w:szCs w:val="24"/>
          <w:lang w:eastAsia="es-ES_tradnl"/>
        </w:rPr>
        <w:t>ó</w:t>
      </w:r>
      <w:r w:rsidR="00040123" w:rsidRPr="00040123">
        <w:rPr>
          <w:rFonts w:ascii="Arial" w:eastAsia="Times New Roman" w:hAnsi="Arial" w:cs="Arial"/>
          <w:bCs/>
          <w:color w:val="000000"/>
          <w:sz w:val="24"/>
          <w:szCs w:val="24"/>
          <w:lang w:eastAsia="es-ES_tradnl"/>
        </w:rPr>
        <w:t xml:space="preserve"> –con carácter general- las novedades normativas producidas, respecto de la emisión de un marco regulatorio para “proveedores de servicios de créditos entre particulares a través de plataformas” y de adecuaciones efectuadas en las normas aplicables a los “proveedores de servicios de pago”. Ambos casos se encuentran en proceso de análisis, para implementar la incorporación de información a solicitar relacionada con dichas operatorias en el régimen informativo respectivo.</w:t>
      </w:r>
    </w:p>
    <w:p w14:paraId="031FB771" w14:textId="77777777" w:rsidR="00040123" w:rsidRPr="00040123" w:rsidRDefault="00040123" w:rsidP="00040123">
      <w:pPr>
        <w:tabs>
          <w:tab w:val="left" w:pos="567"/>
        </w:tabs>
        <w:spacing w:after="0" w:line="240" w:lineRule="auto"/>
        <w:jc w:val="both"/>
        <w:rPr>
          <w:rFonts w:ascii="Arial" w:eastAsia="Times New Roman" w:hAnsi="Arial" w:cs="Arial"/>
          <w:bCs/>
          <w:color w:val="000000"/>
          <w:sz w:val="24"/>
          <w:szCs w:val="24"/>
          <w:lang w:eastAsia="es-ES_tradnl"/>
        </w:rPr>
      </w:pPr>
    </w:p>
    <w:p w14:paraId="72CD150F" w14:textId="0C0B421D" w:rsidR="00040123" w:rsidRPr="00040123" w:rsidRDefault="00040123" w:rsidP="00040123">
      <w:pPr>
        <w:tabs>
          <w:tab w:val="left" w:pos="567"/>
        </w:tabs>
        <w:spacing w:after="0" w:line="240" w:lineRule="auto"/>
        <w:jc w:val="both"/>
        <w:rPr>
          <w:rFonts w:ascii="Arial" w:eastAsia="Times New Roman" w:hAnsi="Arial" w:cs="Arial"/>
          <w:bCs/>
          <w:color w:val="000000"/>
          <w:sz w:val="24"/>
          <w:szCs w:val="24"/>
          <w:lang w:eastAsia="es-ES_tradnl"/>
        </w:rPr>
      </w:pPr>
      <w:r w:rsidRPr="00040123">
        <w:rPr>
          <w:rFonts w:ascii="Arial" w:eastAsia="Times New Roman" w:hAnsi="Arial" w:cs="Arial"/>
          <w:bCs/>
          <w:color w:val="000000"/>
          <w:sz w:val="24"/>
          <w:szCs w:val="24"/>
          <w:lang w:eastAsia="es-ES_tradnl"/>
        </w:rPr>
        <w:tab/>
        <w:t>Ante consulta efectuada sobre el tratamiento regulatorio respecto de activos o valores digitales, la citada delegación aclar</w:t>
      </w:r>
      <w:r w:rsidR="00BB3257">
        <w:rPr>
          <w:rFonts w:ascii="Arial" w:eastAsia="Times New Roman" w:hAnsi="Arial" w:cs="Arial"/>
          <w:bCs/>
          <w:color w:val="000000"/>
          <w:sz w:val="24"/>
          <w:szCs w:val="24"/>
          <w:lang w:eastAsia="es-ES_tradnl"/>
        </w:rPr>
        <w:t>ó</w:t>
      </w:r>
      <w:r w:rsidRPr="00040123">
        <w:rPr>
          <w:rFonts w:ascii="Arial" w:eastAsia="Times New Roman" w:hAnsi="Arial" w:cs="Arial"/>
          <w:bCs/>
          <w:color w:val="000000"/>
          <w:sz w:val="24"/>
          <w:szCs w:val="24"/>
          <w:lang w:eastAsia="es-ES_tradnl"/>
        </w:rPr>
        <w:t xml:space="preserve"> que recientemente -mediante la Comunicación “A” 7506- se dispuso que, en el marco de lo previsto por las normas sobre “Servicios complementarios de la actividad financiera y actividades permitidas”, las entidades financieras no pueden realizar ni facilitar a sus clientes la realización de operaciones con activos digitales –incluidos los </w:t>
      </w:r>
      <w:proofErr w:type="spellStart"/>
      <w:r w:rsidRPr="00040123">
        <w:rPr>
          <w:rFonts w:ascii="Arial" w:eastAsia="Times New Roman" w:hAnsi="Arial" w:cs="Arial"/>
          <w:bCs/>
          <w:color w:val="000000"/>
          <w:sz w:val="24"/>
          <w:szCs w:val="24"/>
          <w:lang w:eastAsia="es-ES_tradnl"/>
        </w:rPr>
        <w:t>criptoactivos</w:t>
      </w:r>
      <w:proofErr w:type="spellEnd"/>
      <w:r w:rsidRPr="00040123">
        <w:rPr>
          <w:rFonts w:ascii="Arial" w:eastAsia="Times New Roman" w:hAnsi="Arial" w:cs="Arial"/>
          <w:bCs/>
          <w:color w:val="000000"/>
          <w:sz w:val="24"/>
          <w:szCs w:val="24"/>
          <w:lang w:eastAsia="es-ES_tradnl"/>
        </w:rPr>
        <w:t xml:space="preserve"> y aquellos cuyos rendimientos se determinen en función de las variaciones que ésos registren– que no se encuentren autorizados por una autoridad reguladora nacional competente ni por el Banco Central de la República Argentina.</w:t>
      </w:r>
    </w:p>
    <w:p w14:paraId="424DD34B" w14:textId="77777777" w:rsidR="00040123" w:rsidRDefault="00040123" w:rsidP="00B46D78">
      <w:pPr>
        <w:tabs>
          <w:tab w:val="left" w:pos="567"/>
        </w:tabs>
        <w:spacing w:after="0" w:line="240" w:lineRule="auto"/>
        <w:jc w:val="both"/>
        <w:rPr>
          <w:rFonts w:ascii="Arial" w:eastAsia="Times New Roman" w:hAnsi="Arial" w:cs="Arial"/>
          <w:color w:val="000000"/>
          <w:sz w:val="24"/>
          <w:szCs w:val="24"/>
          <w:lang w:val="es-AR" w:eastAsia="es-ES_tradnl"/>
        </w:rPr>
      </w:pPr>
    </w:p>
    <w:p w14:paraId="4B8C241D" w14:textId="3EAFAE47" w:rsidR="00B46D78" w:rsidRDefault="00040123" w:rsidP="00B46D78">
      <w:pPr>
        <w:tabs>
          <w:tab w:val="left" w:pos="567"/>
        </w:tabs>
        <w:spacing w:after="0" w:line="240" w:lineRule="auto"/>
        <w:jc w:val="both"/>
        <w:rPr>
          <w:rFonts w:ascii="Arial" w:eastAsia="Times New Roman" w:hAnsi="Arial" w:cs="Arial"/>
          <w:color w:val="000000"/>
          <w:sz w:val="24"/>
          <w:szCs w:val="24"/>
          <w:lang w:val="es-AR" w:eastAsia="es-ES_tradnl"/>
        </w:rPr>
      </w:pPr>
      <w:r>
        <w:rPr>
          <w:rFonts w:ascii="Arial" w:eastAsia="Times New Roman" w:hAnsi="Arial" w:cs="Arial"/>
          <w:color w:val="000000"/>
          <w:sz w:val="24"/>
          <w:szCs w:val="24"/>
          <w:lang w:val="es-AR" w:eastAsia="es-ES_tradnl"/>
        </w:rPr>
        <w:tab/>
      </w:r>
      <w:r w:rsidR="00DF123B" w:rsidRPr="00DF123B">
        <w:rPr>
          <w:rFonts w:ascii="Arial" w:eastAsia="Times New Roman" w:hAnsi="Arial" w:cs="Arial"/>
          <w:color w:val="000000"/>
          <w:sz w:val="24"/>
          <w:szCs w:val="24"/>
          <w:lang w:val="es-AR" w:eastAsia="es-ES_tradnl"/>
        </w:rPr>
        <w:t>La delegación de Paraguay inform</w:t>
      </w:r>
      <w:r w:rsidR="008A2C46">
        <w:rPr>
          <w:rFonts w:ascii="Arial" w:eastAsia="Times New Roman" w:hAnsi="Arial" w:cs="Arial"/>
          <w:color w:val="000000"/>
          <w:sz w:val="24"/>
          <w:szCs w:val="24"/>
          <w:lang w:val="es-AR" w:eastAsia="es-ES_tradnl"/>
        </w:rPr>
        <w:t>ó</w:t>
      </w:r>
      <w:r w:rsidR="00DF123B" w:rsidRPr="00DF123B">
        <w:rPr>
          <w:rFonts w:ascii="Arial" w:eastAsia="Times New Roman" w:hAnsi="Arial" w:cs="Arial"/>
          <w:color w:val="000000"/>
          <w:sz w:val="24"/>
          <w:szCs w:val="24"/>
          <w:lang w:val="es-AR" w:eastAsia="es-ES_tradnl"/>
        </w:rPr>
        <w:t xml:space="preserve"> que</w:t>
      </w:r>
      <w:bookmarkEnd w:id="2"/>
      <w:r w:rsidR="00B46D78">
        <w:rPr>
          <w:rFonts w:ascii="Arial" w:eastAsia="Times New Roman" w:hAnsi="Arial" w:cs="Arial"/>
          <w:color w:val="000000"/>
          <w:sz w:val="24"/>
          <w:szCs w:val="24"/>
          <w:lang w:val="es-AR" w:eastAsia="es-ES_tradnl"/>
        </w:rPr>
        <w:t xml:space="preserve"> </w:t>
      </w:r>
      <w:r w:rsidR="00B46D78" w:rsidRPr="00B46D78">
        <w:rPr>
          <w:rFonts w:ascii="Arial" w:eastAsia="Times New Roman" w:hAnsi="Arial" w:cs="Arial"/>
          <w:color w:val="000000"/>
          <w:sz w:val="24"/>
          <w:szCs w:val="24"/>
          <w:lang w:val="es-AR" w:eastAsia="es-ES_tradnl"/>
        </w:rPr>
        <w:t>recientemente fue socializado el proyecto de norma que hace referencia al Reglamento de uso de servicio para computación en la nube</w:t>
      </w:r>
      <w:r w:rsidR="003D084C">
        <w:rPr>
          <w:rFonts w:ascii="Arial" w:eastAsia="Times New Roman" w:hAnsi="Arial" w:cs="Arial"/>
          <w:color w:val="000000"/>
          <w:sz w:val="24"/>
          <w:szCs w:val="24"/>
          <w:lang w:val="es-AR" w:eastAsia="es-ES_tradnl"/>
        </w:rPr>
        <w:t xml:space="preserve"> (</w:t>
      </w:r>
      <w:proofErr w:type="spellStart"/>
      <w:r w:rsidR="003D084C" w:rsidRPr="00FD34F1">
        <w:rPr>
          <w:rFonts w:ascii="Arial" w:eastAsia="Times New Roman" w:hAnsi="Arial" w:cs="Arial"/>
          <w:i/>
          <w:iCs/>
          <w:color w:val="000000"/>
          <w:sz w:val="24"/>
          <w:szCs w:val="24"/>
          <w:lang w:val="es-AR" w:eastAsia="es-ES_tradnl"/>
        </w:rPr>
        <w:t>cloud</w:t>
      </w:r>
      <w:proofErr w:type="spellEnd"/>
      <w:r w:rsidR="003D084C" w:rsidRPr="00FD34F1">
        <w:rPr>
          <w:rFonts w:ascii="Arial" w:eastAsia="Times New Roman" w:hAnsi="Arial" w:cs="Arial"/>
          <w:i/>
          <w:iCs/>
          <w:color w:val="000000"/>
          <w:sz w:val="24"/>
          <w:szCs w:val="24"/>
          <w:lang w:val="es-AR" w:eastAsia="es-ES_tradnl"/>
        </w:rPr>
        <w:t xml:space="preserve"> </w:t>
      </w:r>
      <w:proofErr w:type="spellStart"/>
      <w:r w:rsidR="003D084C" w:rsidRPr="00FD34F1">
        <w:rPr>
          <w:rFonts w:ascii="Arial" w:eastAsia="Times New Roman" w:hAnsi="Arial" w:cs="Arial"/>
          <w:i/>
          <w:iCs/>
          <w:color w:val="000000"/>
          <w:sz w:val="24"/>
          <w:szCs w:val="24"/>
          <w:lang w:val="es-AR" w:eastAsia="es-ES_tradnl"/>
        </w:rPr>
        <w:t>computing</w:t>
      </w:r>
      <w:proofErr w:type="spellEnd"/>
      <w:r w:rsidR="003D084C">
        <w:rPr>
          <w:rFonts w:ascii="Arial" w:eastAsia="Times New Roman" w:hAnsi="Arial" w:cs="Arial"/>
          <w:color w:val="000000"/>
          <w:sz w:val="24"/>
          <w:szCs w:val="24"/>
          <w:lang w:val="es-AR" w:eastAsia="es-ES_tradnl"/>
        </w:rPr>
        <w:t>)</w:t>
      </w:r>
      <w:r w:rsidR="00B46D78" w:rsidRPr="00B46D78">
        <w:rPr>
          <w:rFonts w:ascii="Arial" w:eastAsia="Times New Roman" w:hAnsi="Arial" w:cs="Arial"/>
          <w:color w:val="000000"/>
          <w:sz w:val="24"/>
          <w:szCs w:val="24"/>
          <w:lang w:val="es-AR" w:eastAsia="es-ES_tradnl"/>
        </w:rPr>
        <w:t>, el cual tiene por objeto establecer los lineamientos mínimos y las obligaciones que deberán cumplir las entidades supervisadas por la Superintendencia de Bancos que opten por externalizar sus procesos y actividades de servicios computacionales en la nube y para la efectiva administración y supervisión de los servicios en la nube.</w:t>
      </w:r>
    </w:p>
    <w:p w14:paraId="354FCA0E" w14:textId="5B648DDA" w:rsidR="003D084C" w:rsidRDefault="003D084C" w:rsidP="00B46D78">
      <w:pPr>
        <w:tabs>
          <w:tab w:val="left" w:pos="567"/>
        </w:tabs>
        <w:spacing w:after="0" w:line="240" w:lineRule="auto"/>
        <w:jc w:val="both"/>
        <w:rPr>
          <w:rFonts w:ascii="Arial" w:eastAsia="Times New Roman" w:hAnsi="Arial" w:cs="Arial"/>
          <w:color w:val="000000"/>
          <w:sz w:val="24"/>
          <w:szCs w:val="24"/>
          <w:lang w:val="es-AR" w:eastAsia="es-ES_tradnl"/>
        </w:rPr>
      </w:pPr>
    </w:p>
    <w:p w14:paraId="43335218" w14:textId="65F846DF" w:rsidR="003D084C" w:rsidRDefault="003D084C" w:rsidP="003D084C">
      <w:pPr>
        <w:tabs>
          <w:tab w:val="left" w:pos="567"/>
        </w:tabs>
        <w:spacing w:after="0" w:line="240" w:lineRule="auto"/>
        <w:jc w:val="both"/>
        <w:rPr>
          <w:rFonts w:ascii="Arial" w:eastAsia="Times New Roman" w:hAnsi="Arial" w:cs="Arial"/>
          <w:bCs/>
          <w:color w:val="000000"/>
          <w:sz w:val="24"/>
          <w:szCs w:val="24"/>
          <w:lang w:eastAsia="es-ES_tradnl"/>
        </w:rPr>
      </w:pPr>
      <w:r>
        <w:rPr>
          <w:rFonts w:ascii="Arial" w:eastAsia="Times New Roman" w:hAnsi="Arial" w:cs="Arial"/>
          <w:color w:val="000000"/>
          <w:sz w:val="24"/>
          <w:szCs w:val="24"/>
          <w:lang w:val="es-AR" w:eastAsia="es-ES_tradnl"/>
        </w:rPr>
        <w:tab/>
      </w:r>
      <w:r w:rsidRPr="003D084C">
        <w:rPr>
          <w:rFonts w:ascii="Arial" w:eastAsia="Times New Roman" w:hAnsi="Arial" w:cs="Arial"/>
          <w:color w:val="000000"/>
          <w:sz w:val="24"/>
          <w:szCs w:val="24"/>
          <w:lang w:eastAsia="es-ES_tradnl"/>
        </w:rPr>
        <w:t>La delegación de Uruguay presentó el documento publicado en diciembre de 2021 en el sitio web del Banco Central del Uruguay (BCU) “Marco conceptual para el tratamiento regulatorio de los activos virtuales en Uruguay” donde se establecen los pasos dados por el BCU y próximas actividades en agenda en relación con el desarrollo de operativas con los instrumentos conocidos como “activos virtuales”</w:t>
      </w:r>
      <w:r w:rsidRPr="003D084C">
        <w:rPr>
          <w:rFonts w:ascii="Arial" w:eastAsia="Times New Roman" w:hAnsi="Arial" w:cs="Arial"/>
          <w:b/>
          <w:bCs/>
          <w:color w:val="000000"/>
          <w:sz w:val="24"/>
          <w:szCs w:val="24"/>
          <w:lang w:eastAsia="es-ES_tradnl"/>
        </w:rPr>
        <w:t>.</w:t>
      </w:r>
      <w:r>
        <w:rPr>
          <w:rFonts w:ascii="Arial" w:eastAsia="Times New Roman" w:hAnsi="Arial" w:cs="Arial"/>
          <w:b/>
          <w:bCs/>
          <w:color w:val="000000"/>
          <w:sz w:val="24"/>
          <w:szCs w:val="24"/>
          <w:lang w:eastAsia="es-ES_tradnl"/>
        </w:rPr>
        <w:t xml:space="preserve"> </w:t>
      </w:r>
      <w:r w:rsidRPr="003D084C">
        <w:rPr>
          <w:rFonts w:ascii="Arial" w:eastAsia="Times New Roman" w:hAnsi="Arial" w:cs="Arial"/>
          <w:bCs/>
          <w:color w:val="000000"/>
          <w:sz w:val="24"/>
          <w:szCs w:val="24"/>
          <w:lang w:eastAsia="es-ES_tradnl"/>
        </w:rPr>
        <w:t xml:space="preserve">Asimismo, informó sobre las principales características del anteproyecto de Ley </w:t>
      </w:r>
      <w:r w:rsidRPr="003D084C">
        <w:rPr>
          <w:rFonts w:ascii="Arial" w:eastAsia="Times New Roman" w:hAnsi="Arial" w:cs="Arial"/>
          <w:bCs/>
          <w:color w:val="000000"/>
          <w:sz w:val="24"/>
          <w:szCs w:val="24"/>
          <w:lang w:eastAsia="es-ES_tradnl"/>
        </w:rPr>
        <w:lastRenderedPageBreak/>
        <w:t>remitido por el BCU al Ministerio de Economía y Finanzas a efectos de contar con un marco legal para ejercer la acción regulatoria y de supervisión en esta materia. Por último, se expuso los aspectos más relevantes del proyecto normativo sobre la reglamentación de entidades otorgantes de crédito.</w:t>
      </w:r>
    </w:p>
    <w:bookmarkEnd w:id="3"/>
    <w:p w14:paraId="4B8C2426" w14:textId="13B50F43" w:rsidR="007E768F" w:rsidRPr="00040123" w:rsidRDefault="007E768F" w:rsidP="00040123">
      <w:pPr>
        <w:tabs>
          <w:tab w:val="left" w:pos="567"/>
        </w:tabs>
        <w:spacing w:after="0" w:line="240" w:lineRule="auto"/>
        <w:jc w:val="both"/>
        <w:rPr>
          <w:rFonts w:ascii="Arial" w:eastAsia="Times New Roman" w:hAnsi="Arial" w:cs="Arial"/>
          <w:bCs/>
          <w:color w:val="000000"/>
          <w:sz w:val="24"/>
          <w:szCs w:val="24"/>
          <w:lang w:eastAsia="es-ES_tradnl"/>
        </w:rPr>
      </w:pPr>
    </w:p>
    <w:p w14:paraId="4B8C2427" w14:textId="77777777" w:rsidR="008A2C46" w:rsidRPr="007E768F" w:rsidRDefault="008A2C46" w:rsidP="00C37CDB">
      <w:pPr>
        <w:tabs>
          <w:tab w:val="left" w:pos="567"/>
        </w:tabs>
        <w:spacing w:after="0" w:line="240" w:lineRule="auto"/>
        <w:ind w:left="567" w:hanging="567"/>
        <w:rPr>
          <w:rFonts w:ascii="Arial" w:eastAsia="Calibri" w:hAnsi="Arial" w:cs="Arial"/>
          <w:b/>
          <w:bCs/>
          <w:sz w:val="24"/>
          <w:szCs w:val="24"/>
        </w:rPr>
      </w:pPr>
    </w:p>
    <w:p w14:paraId="4B8C2428" w14:textId="696FC2BD" w:rsidR="00951231" w:rsidRDefault="00696124" w:rsidP="00C37CDB">
      <w:pPr>
        <w:tabs>
          <w:tab w:val="left" w:pos="567"/>
        </w:tabs>
        <w:spacing w:after="0" w:line="240" w:lineRule="auto"/>
        <w:ind w:left="567" w:hanging="567"/>
        <w:jc w:val="both"/>
        <w:rPr>
          <w:rFonts w:ascii="Arial" w:hAnsi="Arial" w:cs="Arial"/>
          <w:b/>
          <w:bCs/>
          <w:sz w:val="24"/>
          <w:szCs w:val="24"/>
        </w:rPr>
      </w:pPr>
      <w:r>
        <w:rPr>
          <w:rFonts w:ascii="Arial" w:eastAsia="Calibri" w:hAnsi="Arial" w:cs="Arial"/>
          <w:b/>
          <w:bCs/>
          <w:sz w:val="24"/>
          <w:szCs w:val="24"/>
        </w:rPr>
        <w:t>5</w:t>
      </w:r>
      <w:r w:rsidR="00890193" w:rsidRPr="006139F5">
        <w:rPr>
          <w:rFonts w:ascii="Arial" w:eastAsia="Calibri" w:hAnsi="Arial" w:cs="Arial"/>
          <w:b/>
          <w:bCs/>
          <w:sz w:val="24"/>
          <w:szCs w:val="24"/>
        </w:rPr>
        <w:t>.</w:t>
      </w:r>
      <w:r w:rsidR="00A1204F">
        <w:rPr>
          <w:rFonts w:ascii="Times New Roman" w:hAnsi="Times New Roman" w:cs="Times New Roman"/>
          <w:b/>
          <w:bCs/>
        </w:rPr>
        <w:tab/>
      </w:r>
      <w:r w:rsidR="00951231">
        <w:rPr>
          <w:rFonts w:ascii="Arial" w:hAnsi="Arial" w:cs="Arial"/>
          <w:b/>
          <w:bCs/>
          <w:sz w:val="24"/>
          <w:szCs w:val="24"/>
        </w:rPr>
        <w:t>ADECUACIONES CONTABLES PRODUCTO DE REGULACION DEL COMITÉ DE BASILEA.</w:t>
      </w:r>
    </w:p>
    <w:p w14:paraId="4B8C2429" w14:textId="77777777" w:rsidR="00951231" w:rsidRDefault="00951231" w:rsidP="00C37CDB">
      <w:pPr>
        <w:tabs>
          <w:tab w:val="left" w:pos="567"/>
        </w:tabs>
        <w:spacing w:after="0" w:line="240" w:lineRule="auto"/>
        <w:ind w:left="567" w:hanging="567"/>
        <w:rPr>
          <w:rFonts w:ascii="Arial" w:hAnsi="Arial" w:cs="Arial"/>
          <w:b/>
          <w:bCs/>
          <w:sz w:val="24"/>
          <w:szCs w:val="24"/>
        </w:rPr>
      </w:pPr>
    </w:p>
    <w:p w14:paraId="3F60FC42" w14:textId="6BB580DB" w:rsidR="00563625" w:rsidRDefault="00563625" w:rsidP="00581130">
      <w:pPr>
        <w:tabs>
          <w:tab w:val="left" w:pos="567"/>
        </w:tabs>
        <w:spacing w:after="0" w:line="240" w:lineRule="auto"/>
        <w:jc w:val="both"/>
        <w:rPr>
          <w:rFonts w:ascii="Arial" w:eastAsia="Times New Roman" w:hAnsi="Arial" w:cs="Arial"/>
          <w:color w:val="000000"/>
          <w:sz w:val="24"/>
          <w:szCs w:val="24"/>
          <w:lang w:eastAsia="es-ES_tradnl"/>
        </w:rPr>
      </w:pPr>
      <w:r>
        <w:rPr>
          <w:rFonts w:ascii="Arial" w:eastAsia="Times New Roman" w:hAnsi="Arial" w:cs="Arial"/>
          <w:color w:val="000000"/>
          <w:sz w:val="24"/>
          <w:szCs w:val="24"/>
          <w:lang w:eastAsia="es-ES_tradnl"/>
        </w:rPr>
        <w:tab/>
      </w:r>
      <w:r w:rsidRPr="00563625">
        <w:rPr>
          <w:rFonts w:ascii="Arial" w:eastAsia="Times New Roman" w:hAnsi="Arial" w:cs="Arial"/>
          <w:color w:val="000000"/>
          <w:sz w:val="24"/>
          <w:szCs w:val="24"/>
          <w:lang w:eastAsia="es-ES_tradnl"/>
        </w:rPr>
        <w:t>La delegación de Uruguay consult</w:t>
      </w:r>
      <w:r w:rsidR="00BB3257">
        <w:rPr>
          <w:rFonts w:ascii="Arial" w:eastAsia="Times New Roman" w:hAnsi="Arial" w:cs="Arial"/>
          <w:color w:val="000000"/>
          <w:sz w:val="24"/>
          <w:szCs w:val="24"/>
          <w:lang w:eastAsia="es-ES_tradnl"/>
        </w:rPr>
        <w:t>ó</w:t>
      </w:r>
      <w:r w:rsidRPr="00563625">
        <w:rPr>
          <w:rFonts w:ascii="Arial" w:eastAsia="Times New Roman" w:hAnsi="Arial" w:cs="Arial"/>
          <w:color w:val="000000"/>
          <w:sz w:val="24"/>
          <w:szCs w:val="24"/>
          <w:lang w:eastAsia="es-ES_tradnl"/>
        </w:rPr>
        <w:t xml:space="preserve"> sobre el tratamiento que los demás países le dan a los instrumentos financieros contabilizados a valor razonable con cambio en otro resultado integral a efectos del cálculo del requerimiento de capital por riesgo de tipo de cambio, dado que el saldo contable de los mismos no coincide con el saldo generador de dicha diferencia de cambio, pues este último es el que correspondería a si los referidos instrumentos se valuaran a costo amortizado, de acuerdo a lo establecido por la NIIF 9.</w:t>
      </w:r>
    </w:p>
    <w:p w14:paraId="30A3ABA5" w14:textId="77777777" w:rsidR="00563625" w:rsidRDefault="00563625" w:rsidP="00581130">
      <w:pPr>
        <w:tabs>
          <w:tab w:val="left" w:pos="567"/>
        </w:tabs>
        <w:spacing w:after="0" w:line="240" w:lineRule="auto"/>
        <w:jc w:val="both"/>
        <w:rPr>
          <w:rFonts w:ascii="Arial" w:eastAsia="Times New Roman" w:hAnsi="Arial" w:cs="Arial"/>
          <w:color w:val="000000"/>
          <w:sz w:val="24"/>
          <w:szCs w:val="24"/>
          <w:lang w:eastAsia="es-ES_tradnl"/>
        </w:rPr>
      </w:pPr>
    </w:p>
    <w:p w14:paraId="62A1830C" w14:textId="6248EFF1" w:rsidR="00040123" w:rsidRPr="00040123" w:rsidRDefault="00D61A23" w:rsidP="00581130">
      <w:pPr>
        <w:tabs>
          <w:tab w:val="left" w:pos="567"/>
        </w:tabs>
        <w:spacing w:after="0" w:line="240" w:lineRule="auto"/>
        <w:jc w:val="both"/>
        <w:rPr>
          <w:rFonts w:ascii="Arial" w:eastAsia="Times New Roman" w:hAnsi="Arial" w:cs="Arial"/>
          <w:color w:val="000000"/>
          <w:sz w:val="24"/>
          <w:szCs w:val="24"/>
          <w:lang w:eastAsia="es-ES_tradnl"/>
        </w:rPr>
      </w:pPr>
      <w:r>
        <w:rPr>
          <w:rFonts w:ascii="Arial" w:eastAsia="Times New Roman" w:hAnsi="Arial" w:cs="Arial"/>
          <w:color w:val="000000"/>
          <w:sz w:val="24"/>
          <w:szCs w:val="24"/>
          <w:lang w:eastAsia="es-ES_tradnl"/>
        </w:rPr>
        <w:tab/>
      </w:r>
      <w:r w:rsidR="00040123" w:rsidRPr="00040123">
        <w:rPr>
          <w:rFonts w:ascii="Arial" w:eastAsia="Times New Roman" w:hAnsi="Arial" w:cs="Arial"/>
          <w:color w:val="000000"/>
          <w:sz w:val="24"/>
          <w:szCs w:val="24"/>
          <w:lang w:eastAsia="es-ES_tradnl"/>
        </w:rPr>
        <w:t>La</w:t>
      </w:r>
      <w:r w:rsidR="00581130">
        <w:rPr>
          <w:rFonts w:ascii="Arial" w:eastAsia="Times New Roman" w:hAnsi="Arial" w:cs="Arial"/>
          <w:color w:val="000000"/>
          <w:sz w:val="24"/>
          <w:szCs w:val="24"/>
          <w:lang w:eastAsia="es-ES_tradnl"/>
        </w:rPr>
        <w:t>s</w:t>
      </w:r>
      <w:r w:rsidR="00040123" w:rsidRPr="00040123">
        <w:rPr>
          <w:rFonts w:ascii="Arial" w:eastAsia="Times New Roman" w:hAnsi="Arial" w:cs="Arial"/>
          <w:color w:val="000000"/>
          <w:sz w:val="24"/>
          <w:szCs w:val="24"/>
          <w:lang w:eastAsia="es-ES_tradnl"/>
        </w:rPr>
        <w:t xml:space="preserve"> delegaci</w:t>
      </w:r>
      <w:r w:rsidR="00581130">
        <w:rPr>
          <w:rFonts w:ascii="Arial" w:eastAsia="Times New Roman" w:hAnsi="Arial" w:cs="Arial"/>
          <w:color w:val="000000"/>
          <w:sz w:val="24"/>
          <w:szCs w:val="24"/>
          <w:lang w:eastAsia="es-ES_tradnl"/>
        </w:rPr>
        <w:t xml:space="preserve">ones </w:t>
      </w:r>
      <w:r w:rsidR="00040123" w:rsidRPr="00040123">
        <w:rPr>
          <w:rFonts w:ascii="Arial" w:eastAsia="Times New Roman" w:hAnsi="Arial" w:cs="Arial"/>
          <w:color w:val="000000"/>
          <w:sz w:val="24"/>
          <w:szCs w:val="24"/>
          <w:lang w:eastAsia="es-ES_tradnl"/>
        </w:rPr>
        <w:t>de Argentina</w:t>
      </w:r>
      <w:r w:rsidR="00581130">
        <w:rPr>
          <w:rFonts w:ascii="Arial" w:eastAsia="Times New Roman" w:hAnsi="Arial" w:cs="Arial"/>
          <w:color w:val="000000"/>
          <w:sz w:val="24"/>
          <w:szCs w:val="24"/>
          <w:lang w:eastAsia="es-ES_tradnl"/>
        </w:rPr>
        <w:t xml:space="preserve">, Paraguay informaron </w:t>
      </w:r>
      <w:r w:rsidR="00040123" w:rsidRPr="00040123">
        <w:rPr>
          <w:rFonts w:ascii="Arial" w:eastAsia="Times New Roman" w:hAnsi="Arial" w:cs="Arial"/>
          <w:color w:val="000000"/>
          <w:sz w:val="24"/>
          <w:szCs w:val="24"/>
          <w:lang w:eastAsia="es-ES_tradnl"/>
        </w:rPr>
        <w:t xml:space="preserve">no tener novedades respecto a </w:t>
      </w:r>
      <w:r w:rsidR="00581130">
        <w:rPr>
          <w:rFonts w:ascii="Arial" w:eastAsia="Times New Roman" w:hAnsi="Arial" w:cs="Arial"/>
          <w:color w:val="000000"/>
          <w:sz w:val="24"/>
          <w:szCs w:val="24"/>
          <w:lang w:eastAsia="es-ES_tradnl"/>
        </w:rPr>
        <w:t>este punto de la agenda</w:t>
      </w:r>
      <w:r w:rsidR="00040123" w:rsidRPr="00040123">
        <w:rPr>
          <w:rFonts w:ascii="Arial" w:eastAsia="Times New Roman" w:hAnsi="Arial" w:cs="Arial"/>
          <w:color w:val="000000"/>
          <w:sz w:val="24"/>
          <w:szCs w:val="24"/>
          <w:lang w:eastAsia="es-ES_tradnl"/>
        </w:rPr>
        <w:t>.</w:t>
      </w:r>
    </w:p>
    <w:p w14:paraId="4B8C2431" w14:textId="77777777" w:rsidR="00DF123B" w:rsidRPr="00D86CD1" w:rsidRDefault="00DF123B" w:rsidP="003D084C">
      <w:pPr>
        <w:tabs>
          <w:tab w:val="left" w:pos="567"/>
        </w:tabs>
        <w:spacing w:after="0" w:line="240" w:lineRule="auto"/>
        <w:jc w:val="both"/>
        <w:rPr>
          <w:rFonts w:ascii="Arial" w:eastAsia="Calibri" w:hAnsi="Arial" w:cs="Arial"/>
          <w:b/>
          <w:bCs/>
          <w:sz w:val="24"/>
          <w:szCs w:val="24"/>
        </w:rPr>
      </w:pPr>
    </w:p>
    <w:p w14:paraId="4B8C2432" w14:textId="77777777" w:rsidR="00DF123B" w:rsidRDefault="00DF123B" w:rsidP="00C37CDB">
      <w:pPr>
        <w:tabs>
          <w:tab w:val="left" w:pos="567"/>
        </w:tabs>
        <w:spacing w:after="0" w:line="240" w:lineRule="auto"/>
        <w:ind w:left="567" w:hanging="567"/>
        <w:rPr>
          <w:rFonts w:ascii="Arial" w:eastAsia="Calibri" w:hAnsi="Arial" w:cs="Arial"/>
          <w:b/>
          <w:bCs/>
          <w:sz w:val="24"/>
          <w:szCs w:val="24"/>
        </w:rPr>
      </w:pPr>
    </w:p>
    <w:p w14:paraId="4B8C2433" w14:textId="46CA25FE" w:rsidR="007E768F" w:rsidRDefault="00951231" w:rsidP="00C37CDB">
      <w:pPr>
        <w:tabs>
          <w:tab w:val="left" w:pos="567"/>
        </w:tabs>
        <w:spacing w:after="0" w:line="240" w:lineRule="auto"/>
        <w:ind w:left="567" w:hanging="567"/>
        <w:jc w:val="both"/>
        <w:rPr>
          <w:rFonts w:ascii="Arial" w:eastAsia="Calibri" w:hAnsi="Arial" w:cs="Arial"/>
          <w:b/>
          <w:bCs/>
          <w:sz w:val="24"/>
          <w:szCs w:val="24"/>
        </w:rPr>
      </w:pPr>
      <w:r>
        <w:rPr>
          <w:rFonts w:ascii="Arial" w:eastAsia="Calibri" w:hAnsi="Arial" w:cs="Arial"/>
          <w:b/>
          <w:bCs/>
          <w:sz w:val="24"/>
          <w:szCs w:val="24"/>
        </w:rPr>
        <w:t>6.</w:t>
      </w:r>
      <w:r w:rsidR="00A1204F">
        <w:rPr>
          <w:rFonts w:ascii="Arial" w:eastAsia="Calibri" w:hAnsi="Arial" w:cs="Arial"/>
          <w:b/>
          <w:bCs/>
          <w:sz w:val="24"/>
          <w:szCs w:val="24"/>
        </w:rPr>
        <w:tab/>
      </w:r>
      <w:r w:rsidR="00890193" w:rsidRPr="006139F5">
        <w:rPr>
          <w:rFonts w:ascii="Arial" w:eastAsia="Calibri" w:hAnsi="Arial" w:cs="Arial"/>
          <w:b/>
          <w:bCs/>
          <w:sz w:val="24"/>
          <w:szCs w:val="24"/>
        </w:rPr>
        <w:t xml:space="preserve">NORMAS RELATIVAS A AUDITORES EXTERNOS </w:t>
      </w:r>
    </w:p>
    <w:p w14:paraId="4B8C2434" w14:textId="77777777" w:rsidR="00774662" w:rsidRDefault="00774662" w:rsidP="00C37CDB">
      <w:pPr>
        <w:tabs>
          <w:tab w:val="left" w:pos="567"/>
        </w:tabs>
        <w:spacing w:after="0" w:line="240" w:lineRule="auto"/>
        <w:ind w:left="567" w:hanging="567"/>
        <w:rPr>
          <w:rFonts w:ascii="Arial" w:eastAsia="Calibri" w:hAnsi="Arial" w:cs="Arial"/>
          <w:b/>
          <w:bCs/>
          <w:sz w:val="24"/>
          <w:szCs w:val="24"/>
        </w:rPr>
      </w:pPr>
    </w:p>
    <w:p w14:paraId="3A481081" w14:textId="77777777" w:rsidR="00581130" w:rsidRPr="00040123" w:rsidRDefault="00581130" w:rsidP="00581130">
      <w:pPr>
        <w:tabs>
          <w:tab w:val="left" w:pos="567"/>
        </w:tabs>
        <w:spacing w:after="0" w:line="240" w:lineRule="auto"/>
        <w:jc w:val="both"/>
        <w:rPr>
          <w:rFonts w:ascii="Arial" w:eastAsia="Times New Roman" w:hAnsi="Arial" w:cs="Arial"/>
          <w:color w:val="000000"/>
          <w:sz w:val="24"/>
          <w:szCs w:val="24"/>
          <w:lang w:eastAsia="es-ES_tradnl"/>
        </w:rPr>
      </w:pPr>
      <w:r>
        <w:rPr>
          <w:rFonts w:ascii="Arial" w:eastAsia="Times New Roman" w:hAnsi="Arial" w:cs="Arial"/>
          <w:color w:val="000000"/>
          <w:sz w:val="24"/>
          <w:szCs w:val="24"/>
          <w:lang w:eastAsia="es-ES_tradnl"/>
        </w:rPr>
        <w:tab/>
      </w:r>
      <w:r w:rsidRPr="00040123">
        <w:rPr>
          <w:rFonts w:ascii="Arial" w:eastAsia="Times New Roman" w:hAnsi="Arial" w:cs="Arial"/>
          <w:color w:val="000000"/>
          <w:sz w:val="24"/>
          <w:szCs w:val="24"/>
          <w:lang w:eastAsia="es-ES_tradnl"/>
        </w:rPr>
        <w:t>La</w:t>
      </w:r>
      <w:r>
        <w:rPr>
          <w:rFonts w:ascii="Arial" w:eastAsia="Times New Roman" w:hAnsi="Arial" w:cs="Arial"/>
          <w:color w:val="000000"/>
          <w:sz w:val="24"/>
          <w:szCs w:val="24"/>
          <w:lang w:eastAsia="es-ES_tradnl"/>
        </w:rPr>
        <w:t>s</w:t>
      </w:r>
      <w:r w:rsidRPr="00040123">
        <w:rPr>
          <w:rFonts w:ascii="Arial" w:eastAsia="Times New Roman" w:hAnsi="Arial" w:cs="Arial"/>
          <w:color w:val="000000"/>
          <w:sz w:val="24"/>
          <w:szCs w:val="24"/>
          <w:lang w:eastAsia="es-ES_tradnl"/>
        </w:rPr>
        <w:t xml:space="preserve"> delegaci</w:t>
      </w:r>
      <w:r>
        <w:rPr>
          <w:rFonts w:ascii="Arial" w:eastAsia="Times New Roman" w:hAnsi="Arial" w:cs="Arial"/>
          <w:color w:val="000000"/>
          <w:sz w:val="24"/>
          <w:szCs w:val="24"/>
          <w:lang w:eastAsia="es-ES_tradnl"/>
        </w:rPr>
        <w:t xml:space="preserve">ones </w:t>
      </w:r>
      <w:r w:rsidRPr="00040123">
        <w:rPr>
          <w:rFonts w:ascii="Arial" w:eastAsia="Times New Roman" w:hAnsi="Arial" w:cs="Arial"/>
          <w:color w:val="000000"/>
          <w:sz w:val="24"/>
          <w:szCs w:val="24"/>
          <w:lang w:eastAsia="es-ES_tradnl"/>
        </w:rPr>
        <w:t>de Argentina</w:t>
      </w:r>
      <w:r>
        <w:rPr>
          <w:rFonts w:ascii="Arial" w:eastAsia="Times New Roman" w:hAnsi="Arial" w:cs="Arial"/>
          <w:color w:val="000000"/>
          <w:sz w:val="24"/>
          <w:szCs w:val="24"/>
          <w:lang w:eastAsia="es-ES_tradnl"/>
        </w:rPr>
        <w:t xml:space="preserve">, Paraguay y Uruguay informaron </w:t>
      </w:r>
      <w:r w:rsidRPr="00040123">
        <w:rPr>
          <w:rFonts w:ascii="Arial" w:eastAsia="Times New Roman" w:hAnsi="Arial" w:cs="Arial"/>
          <w:color w:val="000000"/>
          <w:sz w:val="24"/>
          <w:szCs w:val="24"/>
          <w:lang w:eastAsia="es-ES_tradnl"/>
        </w:rPr>
        <w:t xml:space="preserve">no tener novedades respecto a </w:t>
      </w:r>
      <w:r>
        <w:rPr>
          <w:rFonts w:ascii="Arial" w:eastAsia="Times New Roman" w:hAnsi="Arial" w:cs="Arial"/>
          <w:color w:val="000000"/>
          <w:sz w:val="24"/>
          <w:szCs w:val="24"/>
          <w:lang w:eastAsia="es-ES_tradnl"/>
        </w:rPr>
        <w:t>este punto de la agenda</w:t>
      </w:r>
      <w:r w:rsidRPr="00040123">
        <w:rPr>
          <w:rFonts w:ascii="Arial" w:eastAsia="Times New Roman" w:hAnsi="Arial" w:cs="Arial"/>
          <w:color w:val="000000"/>
          <w:sz w:val="24"/>
          <w:szCs w:val="24"/>
          <w:lang w:eastAsia="es-ES_tradnl"/>
        </w:rPr>
        <w:t>.</w:t>
      </w:r>
    </w:p>
    <w:p w14:paraId="2E1F089D" w14:textId="6ECF8308" w:rsidR="003D084C" w:rsidRPr="003D084C" w:rsidRDefault="003D084C" w:rsidP="00A1204F">
      <w:pPr>
        <w:tabs>
          <w:tab w:val="left" w:pos="567"/>
        </w:tabs>
        <w:spacing w:after="0" w:line="240" w:lineRule="auto"/>
        <w:jc w:val="both"/>
        <w:rPr>
          <w:rFonts w:ascii="Arial" w:eastAsia="Times New Roman" w:hAnsi="Arial" w:cs="Arial"/>
          <w:sz w:val="24"/>
          <w:szCs w:val="24"/>
          <w:lang w:eastAsia="es-ES_tradnl"/>
        </w:rPr>
      </w:pPr>
    </w:p>
    <w:p w14:paraId="4B8C243A" w14:textId="77777777" w:rsidR="00774662" w:rsidRDefault="00774662" w:rsidP="00C37CDB">
      <w:pPr>
        <w:tabs>
          <w:tab w:val="left" w:pos="567"/>
        </w:tabs>
        <w:spacing w:after="0" w:line="240" w:lineRule="auto"/>
        <w:ind w:left="567" w:hanging="567"/>
        <w:jc w:val="both"/>
        <w:rPr>
          <w:rFonts w:ascii="Arial" w:eastAsia="Calibri" w:hAnsi="Arial" w:cs="Arial"/>
          <w:caps/>
          <w:sz w:val="24"/>
          <w:szCs w:val="24"/>
        </w:rPr>
      </w:pPr>
    </w:p>
    <w:p w14:paraId="4B8C243E" w14:textId="1079CABA" w:rsidR="007E768F" w:rsidRPr="007E768F" w:rsidRDefault="00951231" w:rsidP="00C37CDB">
      <w:pPr>
        <w:tabs>
          <w:tab w:val="left" w:pos="567"/>
        </w:tabs>
        <w:spacing w:after="0" w:line="240" w:lineRule="auto"/>
        <w:ind w:left="567" w:hanging="567"/>
        <w:rPr>
          <w:rFonts w:ascii="Arial" w:eastAsia="Calibri" w:hAnsi="Arial" w:cs="Arial"/>
          <w:b/>
          <w:bCs/>
          <w:caps/>
          <w:sz w:val="24"/>
          <w:szCs w:val="24"/>
        </w:rPr>
      </w:pPr>
      <w:r>
        <w:rPr>
          <w:rFonts w:ascii="Arial" w:eastAsia="Calibri" w:hAnsi="Arial" w:cs="Arial"/>
          <w:b/>
          <w:bCs/>
          <w:sz w:val="24"/>
          <w:szCs w:val="24"/>
        </w:rPr>
        <w:t>7</w:t>
      </w:r>
      <w:r w:rsidR="00890193" w:rsidRPr="006139F5">
        <w:rPr>
          <w:rFonts w:ascii="Arial" w:eastAsia="Calibri" w:hAnsi="Arial" w:cs="Arial"/>
          <w:b/>
          <w:bCs/>
          <w:sz w:val="24"/>
          <w:szCs w:val="24"/>
        </w:rPr>
        <w:t>.</w:t>
      </w:r>
      <w:r w:rsidR="00AA7B98">
        <w:rPr>
          <w:rFonts w:ascii="Arial" w:eastAsia="Calibri" w:hAnsi="Arial" w:cs="Arial"/>
          <w:b/>
          <w:bCs/>
          <w:sz w:val="24"/>
          <w:szCs w:val="24"/>
        </w:rPr>
        <w:tab/>
      </w:r>
      <w:r w:rsidR="00890193" w:rsidRPr="006139F5">
        <w:rPr>
          <w:rFonts w:ascii="Arial" w:eastAsia="Calibri" w:hAnsi="Arial" w:cs="Arial"/>
          <w:b/>
          <w:bCs/>
          <w:sz w:val="24"/>
          <w:szCs w:val="24"/>
        </w:rPr>
        <w:t xml:space="preserve">PRESENTACIÓN DE UN TEMA ESPECÍFICO </w:t>
      </w:r>
    </w:p>
    <w:p w14:paraId="4B8C243F" w14:textId="77777777" w:rsidR="007E768F" w:rsidRPr="007E768F" w:rsidRDefault="007E768F" w:rsidP="00C37CDB">
      <w:pPr>
        <w:tabs>
          <w:tab w:val="left" w:pos="567"/>
        </w:tabs>
        <w:spacing w:after="0" w:line="240" w:lineRule="auto"/>
        <w:ind w:left="567" w:hanging="567"/>
        <w:rPr>
          <w:rFonts w:ascii="Arial" w:eastAsia="Calibri" w:hAnsi="Arial" w:cs="Arial"/>
          <w:b/>
          <w:bCs/>
          <w:sz w:val="24"/>
          <w:szCs w:val="24"/>
        </w:rPr>
      </w:pPr>
    </w:p>
    <w:p w14:paraId="4B8C2440" w14:textId="2332BB11" w:rsidR="005310FA" w:rsidRDefault="00DA108A" w:rsidP="00DA108A">
      <w:pPr>
        <w:tabs>
          <w:tab w:val="left" w:pos="567"/>
        </w:tabs>
        <w:spacing w:after="0" w:line="240" w:lineRule="auto"/>
        <w:jc w:val="both"/>
        <w:rPr>
          <w:rFonts w:ascii="Arial" w:eastAsia="Calibri" w:hAnsi="Arial" w:cs="Arial"/>
          <w:bCs/>
          <w:sz w:val="24"/>
          <w:szCs w:val="24"/>
        </w:rPr>
      </w:pPr>
      <w:r>
        <w:rPr>
          <w:rFonts w:ascii="Arial" w:eastAsia="Calibri" w:hAnsi="Arial" w:cs="Arial"/>
          <w:bCs/>
          <w:sz w:val="24"/>
          <w:szCs w:val="24"/>
        </w:rPr>
        <w:tab/>
      </w:r>
      <w:r w:rsidR="00581130">
        <w:rPr>
          <w:rFonts w:ascii="Arial" w:eastAsia="Calibri" w:hAnsi="Arial" w:cs="Arial"/>
          <w:bCs/>
          <w:sz w:val="24"/>
          <w:szCs w:val="24"/>
        </w:rPr>
        <w:t xml:space="preserve">La delegación de Paraguay trajo el comentario que los </w:t>
      </w:r>
      <w:r w:rsidRPr="00DA108A">
        <w:rPr>
          <w:rFonts w:ascii="Arial" w:eastAsia="Calibri" w:hAnsi="Arial" w:cs="Arial"/>
          <w:bCs/>
          <w:sz w:val="24"/>
          <w:szCs w:val="24"/>
        </w:rPr>
        <w:t xml:space="preserve">Bancos Centrales son responsables de brindar a los ciudadanos dinero confiable, como Bien Público; un medio para ofrecer una unidad de cuenta común, que sirve como depósito de valor y se utiliza como medio de intercambio. </w:t>
      </w:r>
      <w:r w:rsidR="00581130">
        <w:rPr>
          <w:rFonts w:ascii="Arial" w:eastAsia="Calibri" w:hAnsi="Arial" w:cs="Arial"/>
          <w:bCs/>
          <w:sz w:val="24"/>
          <w:szCs w:val="24"/>
        </w:rPr>
        <w:t>Es así que, l</w:t>
      </w:r>
      <w:r w:rsidRPr="00DA108A">
        <w:rPr>
          <w:rFonts w:ascii="Arial" w:eastAsia="Calibri" w:hAnsi="Arial" w:cs="Arial"/>
          <w:bCs/>
          <w:sz w:val="24"/>
          <w:szCs w:val="24"/>
        </w:rPr>
        <w:t xml:space="preserve">os cambios significativos de los últimos años han obligado a los Bancos Centrales a innovar y evolucionar en la forma en que cumplen sus objetivos. Actualmente, se está considerando una posible evolución adicional mediante la emisión de una nueva forma de dinero: </w:t>
      </w:r>
      <w:bookmarkStart w:id="4" w:name="_Hlk103091035"/>
      <w:r w:rsidRPr="00DA108A">
        <w:rPr>
          <w:rFonts w:ascii="Arial" w:eastAsia="Calibri" w:hAnsi="Arial" w:cs="Arial"/>
          <w:bCs/>
          <w:sz w:val="24"/>
          <w:szCs w:val="24"/>
        </w:rPr>
        <w:t>la Moneda Digital del Banco Central</w:t>
      </w:r>
      <w:bookmarkEnd w:id="4"/>
      <w:r w:rsidRPr="00DA108A">
        <w:rPr>
          <w:rFonts w:ascii="Arial" w:eastAsia="Calibri" w:hAnsi="Arial" w:cs="Arial"/>
          <w:bCs/>
          <w:sz w:val="24"/>
          <w:szCs w:val="24"/>
        </w:rPr>
        <w:t>.</w:t>
      </w:r>
    </w:p>
    <w:p w14:paraId="7750CE96" w14:textId="72123C03" w:rsidR="00DA108A" w:rsidRDefault="00DA108A" w:rsidP="00DA108A">
      <w:pPr>
        <w:tabs>
          <w:tab w:val="left" w:pos="567"/>
        </w:tabs>
        <w:spacing w:after="0" w:line="240" w:lineRule="auto"/>
        <w:jc w:val="both"/>
        <w:rPr>
          <w:rFonts w:ascii="Arial" w:eastAsia="Calibri" w:hAnsi="Arial" w:cs="Arial"/>
          <w:bCs/>
          <w:sz w:val="24"/>
          <w:szCs w:val="24"/>
        </w:rPr>
      </w:pPr>
    </w:p>
    <w:p w14:paraId="4B8C2442" w14:textId="6F7500F2" w:rsidR="006115BF" w:rsidRPr="00040123" w:rsidRDefault="00414574" w:rsidP="00040123">
      <w:pPr>
        <w:tabs>
          <w:tab w:val="left" w:pos="567"/>
        </w:tabs>
        <w:spacing w:after="0" w:line="240" w:lineRule="auto"/>
        <w:jc w:val="both"/>
        <w:rPr>
          <w:rFonts w:ascii="Arial" w:eastAsia="Calibri" w:hAnsi="Arial" w:cs="Arial"/>
          <w:bCs/>
          <w:sz w:val="24"/>
          <w:szCs w:val="24"/>
        </w:rPr>
      </w:pPr>
      <w:r>
        <w:rPr>
          <w:rFonts w:ascii="Arial" w:eastAsia="Calibri" w:hAnsi="Arial" w:cs="Arial"/>
          <w:bCs/>
          <w:sz w:val="24"/>
          <w:szCs w:val="24"/>
        </w:rPr>
        <w:tab/>
      </w:r>
      <w:r w:rsidR="00581130">
        <w:rPr>
          <w:rFonts w:ascii="Arial" w:eastAsia="Calibri" w:hAnsi="Arial" w:cs="Arial"/>
          <w:bCs/>
          <w:sz w:val="24"/>
          <w:szCs w:val="24"/>
        </w:rPr>
        <w:t xml:space="preserve">En ese marco </w:t>
      </w:r>
      <w:bookmarkStart w:id="5" w:name="_Hlk103093235"/>
      <w:r w:rsidR="00581130">
        <w:rPr>
          <w:rFonts w:ascii="Arial" w:eastAsia="Calibri" w:hAnsi="Arial" w:cs="Arial"/>
          <w:bCs/>
          <w:sz w:val="24"/>
          <w:szCs w:val="24"/>
        </w:rPr>
        <w:t xml:space="preserve">se llevará a cabo una </w:t>
      </w:r>
      <w:r w:rsidRPr="00414574">
        <w:rPr>
          <w:rFonts w:ascii="Arial" w:eastAsia="Calibri" w:hAnsi="Arial" w:cs="Arial"/>
          <w:bCs/>
          <w:sz w:val="24"/>
          <w:szCs w:val="24"/>
        </w:rPr>
        <w:t>conferencia de alto nivel</w:t>
      </w:r>
      <w:r w:rsidR="00581130">
        <w:rPr>
          <w:rFonts w:ascii="Arial" w:eastAsia="Calibri" w:hAnsi="Arial" w:cs="Arial"/>
          <w:bCs/>
          <w:sz w:val="24"/>
          <w:szCs w:val="24"/>
        </w:rPr>
        <w:t>,</w:t>
      </w:r>
      <w:r w:rsidRPr="00414574">
        <w:rPr>
          <w:rFonts w:ascii="Arial" w:eastAsia="Calibri" w:hAnsi="Arial" w:cs="Arial"/>
          <w:bCs/>
          <w:sz w:val="24"/>
          <w:szCs w:val="24"/>
        </w:rPr>
        <w:t xml:space="preserve"> en las instalaciones del Instituto BCP</w:t>
      </w:r>
      <w:r w:rsidR="00166267">
        <w:rPr>
          <w:rFonts w:ascii="Arial" w:eastAsia="Calibri" w:hAnsi="Arial" w:cs="Arial"/>
          <w:bCs/>
          <w:sz w:val="24"/>
          <w:szCs w:val="24"/>
        </w:rPr>
        <w:t>, el 18 de mayo de 2022</w:t>
      </w:r>
      <w:r w:rsidRPr="00414574">
        <w:rPr>
          <w:rFonts w:ascii="Arial" w:eastAsia="Calibri" w:hAnsi="Arial" w:cs="Arial"/>
          <w:bCs/>
          <w:sz w:val="24"/>
          <w:szCs w:val="24"/>
        </w:rPr>
        <w:t xml:space="preserve">, </w:t>
      </w:r>
      <w:r w:rsidR="00166267">
        <w:rPr>
          <w:rFonts w:ascii="Arial" w:eastAsia="Calibri" w:hAnsi="Arial" w:cs="Arial"/>
          <w:bCs/>
          <w:sz w:val="24"/>
          <w:szCs w:val="24"/>
        </w:rPr>
        <w:t xml:space="preserve">con modalidad </w:t>
      </w:r>
      <w:r w:rsidRPr="00414574">
        <w:rPr>
          <w:rFonts w:ascii="Arial" w:eastAsia="Calibri" w:hAnsi="Arial" w:cs="Arial"/>
          <w:bCs/>
          <w:sz w:val="24"/>
          <w:szCs w:val="24"/>
        </w:rPr>
        <w:t>híbrida</w:t>
      </w:r>
      <w:r w:rsidR="00166267">
        <w:rPr>
          <w:rFonts w:ascii="Arial" w:eastAsia="Calibri" w:hAnsi="Arial" w:cs="Arial"/>
          <w:bCs/>
          <w:sz w:val="24"/>
          <w:szCs w:val="24"/>
        </w:rPr>
        <w:t>. L</w:t>
      </w:r>
      <w:r w:rsidRPr="00414574">
        <w:rPr>
          <w:rFonts w:ascii="Arial" w:eastAsia="Calibri" w:hAnsi="Arial" w:cs="Arial"/>
          <w:bCs/>
          <w:sz w:val="24"/>
          <w:szCs w:val="24"/>
        </w:rPr>
        <w:t>a transmisión online será a través de las cuentas de redes sociales del Banco Central de Paraguay</w:t>
      </w:r>
      <w:bookmarkEnd w:id="5"/>
      <w:r w:rsidR="00040123">
        <w:rPr>
          <w:rFonts w:ascii="Arial" w:eastAsia="Calibri" w:hAnsi="Arial" w:cs="Arial"/>
          <w:bCs/>
          <w:sz w:val="24"/>
          <w:szCs w:val="24"/>
        </w:rPr>
        <w:t>.</w:t>
      </w:r>
    </w:p>
    <w:p w14:paraId="21A45642" w14:textId="6CB9BACB" w:rsidR="00581130" w:rsidRDefault="00581130" w:rsidP="00C37CDB">
      <w:pPr>
        <w:tabs>
          <w:tab w:val="left" w:pos="567"/>
        </w:tabs>
        <w:spacing w:after="0" w:line="240" w:lineRule="auto"/>
        <w:ind w:left="567" w:hanging="567"/>
        <w:rPr>
          <w:rFonts w:ascii="Arial" w:eastAsia="Calibri" w:hAnsi="Arial" w:cs="Arial"/>
          <w:b/>
          <w:bCs/>
          <w:sz w:val="24"/>
          <w:szCs w:val="24"/>
        </w:rPr>
      </w:pPr>
    </w:p>
    <w:p w14:paraId="2C3FE0CE" w14:textId="299FF769" w:rsidR="00E75353" w:rsidRDefault="00E75353" w:rsidP="00C37CDB">
      <w:pPr>
        <w:tabs>
          <w:tab w:val="left" w:pos="567"/>
        </w:tabs>
        <w:spacing w:after="0" w:line="240" w:lineRule="auto"/>
        <w:ind w:left="567" w:hanging="567"/>
        <w:rPr>
          <w:rFonts w:ascii="Arial" w:eastAsia="Calibri" w:hAnsi="Arial" w:cs="Arial"/>
          <w:b/>
          <w:bCs/>
          <w:sz w:val="24"/>
          <w:szCs w:val="24"/>
        </w:rPr>
      </w:pPr>
    </w:p>
    <w:p w14:paraId="78E32FF0" w14:textId="3EB2FE40" w:rsidR="00E75353" w:rsidRDefault="00E75353" w:rsidP="00C37CDB">
      <w:pPr>
        <w:tabs>
          <w:tab w:val="left" w:pos="567"/>
        </w:tabs>
        <w:spacing w:after="0" w:line="240" w:lineRule="auto"/>
        <w:ind w:left="567" w:hanging="567"/>
        <w:rPr>
          <w:rFonts w:ascii="Arial" w:eastAsia="Calibri" w:hAnsi="Arial" w:cs="Arial"/>
          <w:b/>
          <w:bCs/>
          <w:sz w:val="24"/>
          <w:szCs w:val="24"/>
        </w:rPr>
      </w:pPr>
    </w:p>
    <w:p w14:paraId="73D0C506" w14:textId="2B2366F9" w:rsidR="00E75353" w:rsidRDefault="00E75353" w:rsidP="00C37CDB">
      <w:pPr>
        <w:tabs>
          <w:tab w:val="left" w:pos="567"/>
        </w:tabs>
        <w:spacing w:after="0" w:line="240" w:lineRule="auto"/>
        <w:ind w:left="567" w:hanging="567"/>
        <w:rPr>
          <w:rFonts w:ascii="Arial" w:eastAsia="Calibri" w:hAnsi="Arial" w:cs="Arial"/>
          <w:b/>
          <w:bCs/>
          <w:sz w:val="24"/>
          <w:szCs w:val="24"/>
        </w:rPr>
      </w:pPr>
    </w:p>
    <w:p w14:paraId="08323899" w14:textId="09B20CC4" w:rsidR="00E75353" w:rsidRDefault="00E75353" w:rsidP="00C37CDB">
      <w:pPr>
        <w:tabs>
          <w:tab w:val="left" w:pos="567"/>
        </w:tabs>
        <w:spacing w:after="0" w:line="240" w:lineRule="auto"/>
        <w:ind w:left="567" w:hanging="567"/>
        <w:rPr>
          <w:rFonts w:ascii="Arial" w:eastAsia="Calibri" w:hAnsi="Arial" w:cs="Arial"/>
          <w:b/>
          <w:bCs/>
          <w:sz w:val="24"/>
          <w:szCs w:val="24"/>
        </w:rPr>
      </w:pPr>
    </w:p>
    <w:p w14:paraId="0EA0841D" w14:textId="3EF8F5E5" w:rsidR="00E75353" w:rsidRDefault="00E75353" w:rsidP="00C37CDB">
      <w:pPr>
        <w:tabs>
          <w:tab w:val="left" w:pos="567"/>
        </w:tabs>
        <w:spacing w:after="0" w:line="240" w:lineRule="auto"/>
        <w:ind w:left="567" w:hanging="567"/>
        <w:rPr>
          <w:rFonts w:ascii="Arial" w:eastAsia="Calibri" w:hAnsi="Arial" w:cs="Arial"/>
          <w:b/>
          <w:bCs/>
          <w:sz w:val="24"/>
          <w:szCs w:val="24"/>
        </w:rPr>
      </w:pPr>
    </w:p>
    <w:p w14:paraId="6FFE3638" w14:textId="77777777" w:rsidR="00E75353" w:rsidRDefault="00E75353" w:rsidP="00C37CDB">
      <w:pPr>
        <w:tabs>
          <w:tab w:val="left" w:pos="567"/>
        </w:tabs>
        <w:spacing w:after="0" w:line="240" w:lineRule="auto"/>
        <w:ind w:left="567" w:hanging="567"/>
        <w:rPr>
          <w:rFonts w:ascii="Arial" w:eastAsia="Calibri" w:hAnsi="Arial" w:cs="Arial"/>
          <w:b/>
          <w:bCs/>
          <w:sz w:val="24"/>
          <w:szCs w:val="24"/>
        </w:rPr>
      </w:pPr>
    </w:p>
    <w:p w14:paraId="066B7903" w14:textId="77777777" w:rsidR="00BB3257" w:rsidRDefault="00BB3257" w:rsidP="00C37CDB">
      <w:pPr>
        <w:tabs>
          <w:tab w:val="left" w:pos="567"/>
        </w:tabs>
        <w:spacing w:after="0" w:line="240" w:lineRule="auto"/>
        <w:ind w:left="567" w:hanging="567"/>
        <w:rPr>
          <w:rFonts w:ascii="Arial" w:eastAsia="Calibri" w:hAnsi="Arial" w:cs="Arial"/>
          <w:b/>
          <w:bCs/>
          <w:sz w:val="24"/>
          <w:szCs w:val="24"/>
        </w:rPr>
      </w:pPr>
    </w:p>
    <w:p w14:paraId="4B8C2443" w14:textId="684B08FA" w:rsidR="007E768F" w:rsidRPr="0000104C" w:rsidRDefault="00951231" w:rsidP="00C37CDB">
      <w:pPr>
        <w:tabs>
          <w:tab w:val="left" w:pos="567"/>
        </w:tabs>
        <w:spacing w:after="0" w:line="240" w:lineRule="auto"/>
        <w:ind w:left="567" w:hanging="567"/>
        <w:rPr>
          <w:rFonts w:ascii="Arial" w:eastAsia="Calibri" w:hAnsi="Arial" w:cs="Arial"/>
          <w:b/>
          <w:bCs/>
          <w:sz w:val="24"/>
          <w:szCs w:val="24"/>
        </w:rPr>
      </w:pPr>
      <w:r w:rsidRPr="0000104C">
        <w:rPr>
          <w:rFonts w:ascii="Arial" w:eastAsia="Calibri" w:hAnsi="Arial" w:cs="Arial"/>
          <w:b/>
          <w:bCs/>
          <w:sz w:val="24"/>
          <w:szCs w:val="24"/>
        </w:rPr>
        <w:lastRenderedPageBreak/>
        <w:t>8</w:t>
      </w:r>
      <w:r w:rsidR="00890193" w:rsidRPr="0000104C">
        <w:rPr>
          <w:rFonts w:ascii="Arial" w:eastAsia="Calibri" w:hAnsi="Arial" w:cs="Arial"/>
          <w:b/>
          <w:bCs/>
          <w:sz w:val="24"/>
          <w:szCs w:val="24"/>
        </w:rPr>
        <w:t xml:space="preserve">. OTROS ASUNTOS </w:t>
      </w:r>
    </w:p>
    <w:p w14:paraId="02474870" w14:textId="77777777" w:rsidR="00E75353" w:rsidRDefault="00E75353" w:rsidP="00C37CDB">
      <w:pPr>
        <w:tabs>
          <w:tab w:val="left" w:pos="567"/>
        </w:tabs>
        <w:spacing w:after="0" w:line="240" w:lineRule="auto"/>
        <w:ind w:left="567" w:hanging="567"/>
        <w:rPr>
          <w:rFonts w:ascii="Arial" w:eastAsia="Calibri" w:hAnsi="Arial" w:cs="Arial"/>
          <w:b/>
          <w:bCs/>
          <w:sz w:val="24"/>
          <w:szCs w:val="24"/>
        </w:rPr>
      </w:pPr>
    </w:p>
    <w:p w14:paraId="4B8C2445" w14:textId="0672EEFE" w:rsidR="007E768F" w:rsidRDefault="006808DB" w:rsidP="00C37CDB">
      <w:pPr>
        <w:tabs>
          <w:tab w:val="left" w:pos="567"/>
        </w:tabs>
        <w:spacing w:after="0" w:line="240" w:lineRule="auto"/>
        <w:ind w:left="567" w:hanging="567"/>
        <w:rPr>
          <w:rFonts w:ascii="Arial" w:eastAsia="Calibri" w:hAnsi="Arial" w:cs="Arial"/>
          <w:sz w:val="24"/>
          <w:szCs w:val="24"/>
        </w:rPr>
      </w:pPr>
      <w:r w:rsidRPr="0000104C">
        <w:rPr>
          <w:rFonts w:ascii="Arial" w:eastAsia="Calibri" w:hAnsi="Arial" w:cs="Arial"/>
          <w:b/>
          <w:bCs/>
          <w:sz w:val="24"/>
          <w:szCs w:val="24"/>
        </w:rPr>
        <w:tab/>
        <w:t>8.1. Elección del tema sobre el que tratará el Reporte Comparativo en el segundo encuentro del período</w:t>
      </w:r>
      <w:r w:rsidRPr="006115BF">
        <w:rPr>
          <w:rFonts w:ascii="Arial" w:eastAsia="Calibri" w:hAnsi="Arial" w:cs="Arial"/>
          <w:b/>
          <w:bCs/>
          <w:sz w:val="24"/>
          <w:szCs w:val="24"/>
        </w:rPr>
        <w:t xml:space="preserve"> 202</w:t>
      </w:r>
      <w:r w:rsidR="00965938">
        <w:rPr>
          <w:rFonts w:ascii="Arial" w:eastAsia="Calibri" w:hAnsi="Arial" w:cs="Arial"/>
          <w:b/>
          <w:bCs/>
          <w:sz w:val="24"/>
          <w:szCs w:val="24"/>
        </w:rPr>
        <w:t>2</w:t>
      </w:r>
      <w:r w:rsidRPr="006115BF">
        <w:rPr>
          <w:rFonts w:ascii="Arial" w:eastAsia="Calibri" w:hAnsi="Arial" w:cs="Arial"/>
          <w:b/>
          <w:bCs/>
          <w:sz w:val="24"/>
          <w:szCs w:val="24"/>
        </w:rPr>
        <w:t>.</w:t>
      </w:r>
      <w:r>
        <w:rPr>
          <w:rFonts w:ascii="Arial" w:eastAsia="Calibri" w:hAnsi="Arial" w:cs="Arial"/>
          <w:sz w:val="24"/>
          <w:szCs w:val="24"/>
        </w:rPr>
        <w:t xml:space="preserve"> </w:t>
      </w:r>
    </w:p>
    <w:p w14:paraId="4B8C2446" w14:textId="77777777" w:rsidR="006808DB" w:rsidRDefault="006808DB" w:rsidP="00C37CDB">
      <w:pPr>
        <w:tabs>
          <w:tab w:val="left" w:pos="567"/>
        </w:tabs>
        <w:spacing w:after="0" w:line="240" w:lineRule="auto"/>
        <w:ind w:left="567" w:hanging="567"/>
        <w:rPr>
          <w:rFonts w:ascii="Arial" w:eastAsia="Calibri" w:hAnsi="Arial" w:cs="Arial"/>
          <w:sz w:val="24"/>
          <w:szCs w:val="24"/>
        </w:rPr>
      </w:pPr>
    </w:p>
    <w:p w14:paraId="4B8C2447" w14:textId="2D1D46D3" w:rsidR="00295DFC" w:rsidRPr="00295DFC" w:rsidRDefault="00BB3257" w:rsidP="00295DFC">
      <w:pPr>
        <w:jc w:val="both"/>
        <w:rPr>
          <w:rFonts w:ascii="Arial" w:eastAsia="Times New Roman" w:hAnsi="Arial" w:cs="Arial"/>
          <w:sz w:val="24"/>
          <w:szCs w:val="24"/>
          <w:lang w:val="es-AR" w:eastAsia="es-ES_tradnl"/>
        </w:rPr>
      </w:pPr>
      <w:r>
        <w:rPr>
          <w:rFonts w:ascii="Arial" w:hAnsi="Arial" w:cs="Arial"/>
          <w:sz w:val="24"/>
          <w:szCs w:val="24"/>
        </w:rPr>
        <w:t>L</w:t>
      </w:r>
      <w:r w:rsidR="006808DB" w:rsidRPr="00295DFC">
        <w:rPr>
          <w:rFonts w:ascii="Arial" w:hAnsi="Arial" w:cs="Arial"/>
          <w:sz w:val="24"/>
          <w:szCs w:val="24"/>
        </w:rPr>
        <w:t>as delegaciones realizaron comentarios para definir la selección del tema específico del ámbito de la Subcomisión, sobre el cual se elaborará un reporte anual comparativo –a concretar en la última reunión de 202</w:t>
      </w:r>
      <w:r w:rsidR="00C0349F">
        <w:rPr>
          <w:rFonts w:ascii="Arial" w:hAnsi="Arial" w:cs="Arial"/>
          <w:sz w:val="24"/>
          <w:szCs w:val="24"/>
        </w:rPr>
        <w:t>2</w:t>
      </w:r>
      <w:r w:rsidR="006808DB" w:rsidRPr="00295DFC">
        <w:rPr>
          <w:rFonts w:ascii="Arial" w:hAnsi="Arial" w:cs="Arial"/>
          <w:sz w:val="24"/>
          <w:szCs w:val="24"/>
        </w:rPr>
        <w:t>-, que reflejará la situación de los países participantes</w:t>
      </w:r>
      <w:r w:rsidR="00CE7AA6" w:rsidRPr="00295DFC">
        <w:rPr>
          <w:rFonts w:ascii="Arial" w:hAnsi="Arial" w:cs="Arial"/>
          <w:sz w:val="24"/>
          <w:szCs w:val="24"/>
        </w:rPr>
        <w:t>, tal cual se dio a conocer a la Coordinación Nacional del SGT</w:t>
      </w:r>
      <w:r>
        <w:rPr>
          <w:rFonts w:ascii="Arial" w:hAnsi="Arial" w:cs="Arial"/>
          <w:sz w:val="24"/>
          <w:szCs w:val="24"/>
        </w:rPr>
        <w:t xml:space="preserve"> </w:t>
      </w:r>
      <w:proofErr w:type="spellStart"/>
      <w:r>
        <w:rPr>
          <w:rFonts w:ascii="Arial" w:hAnsi="Arial" w:cs="Arial"/>
          <w:sz w:val="24"/>
          <w:szCs w:val="24"/>
        </w:rPr>
        <w:t>N°</w:t>
      </w:r>
      <w:proofErr w:type="spellEnd"/>
      <w:r>
        <w:rPr>
          <w:rFonts w:ascii="Arial" w:hAnsi="Arial" w:cs="Arial"/>
          <w:sz w:val="24"/>
          <w:szCs w:val="24"/>
        </w:rPr>
        <w:t xml:space="preserve"> </w:t>
      </w:r>
      <w:r w:rsidR="00CE7AA6" w:rsidRPr="00295DFC">
        <w:rPr>
          <w:rFonts w:ascii="Arial" w:hAnsi="Arial" w:cs="Arial"/>
          <w:sz w:val="24"/>
          <w:szCs w:val="24"/>
        </w:rPr>
        <w:t>4 en el Anexo III del ACTA 02/2020</w:t>
      </w:r>
      <w:r w:rsidR="006808DB" w:rsidRPr="00295DFC">
        <w:rPr>
          <w:rFonts w:ascii="Arial" w:hAnsi="Arial" w:cs="Arial"/>
          <w:sz w:val="24"/>
          <w:szCs w:val="24"/>
        </w:rPr>
        <w:t>. En ese sentido</w:t>
      </w:r>
      <w:r w:rsidR="00887B8F">
        <w:rPr>
          <w:rFonts w:ascii="Arial" w:hAnsi="Arial" w:cs="Arial"/>
          <w:sz w:val="24"/>
          <w:szCs w:val="24"/>
        </w:rPr>
        <w:t>,</w:t>
      </w:r>
      <w:r w:rsidR="006808DB" w:rsidRPr="00295DFC">
        <w:rPr>
          <w:rFonts w:ascii="Arial" w:hAnsi="Arial" w:cs="Arial"/>
          <w:sz w:val="24"/>
          <w:szCs w:val="24"/>
        </w:rPr>
        <w:t xml:space="preserve"> las delegaciones </w:t>
      </w:r>
      <w:r w:rsidR="00CE7AA6" w:rsidRPr="00295DFC">
        <w:rPr>
          <w:rFonts w:ascii="Arial" w:hAnsi="Arial" w:cs="Arial"/>
          <w:sz w:val="24"/>
          <w:szCs w:val="24"/>
        </w:rPr>
        <w:t>acordaron</w:t>
      </w:r>
      <w:r w:rsidR="006808DB" w:rsidRPr="00295DFC">
        <w:rPr>
          <w:rFonts w:ascii="Arial" w:hAnsi="Arial" w:cs="Arial"/>
          <w:sz w:val="24"/>
          <w:szCs w:val="24"/>
        </w:rPr>
        <w:t xml:space="preserve"> que el tema </w:t>
      </w:r>
      <w:r w:rsidR="00971CEF">
        <w:rPr>
          <w:rFonts w:ascii="Arial" w:hAnsi="Arial" w:cs="Arial"/>
          <w:sz w:val="24"/>
          <w:szCs w:val="24"/>
        </w:rPr>
        <w:t>del reporte a</w:t>
      </w:r>
      <w:r w:rsidR="00295DFC" w:rsidRPr="00295DFC">
        <w:rPr>
          <w:rFonts w:ascii="Arial" w:hAnsi="Arial" w:cs="Arial"/>
          <w:sz w:val="24"/>
          <w:szCs w:val="24"/>
        </w:rPr>
        <w:t xml:space="preserve"> desarrollar versará sobre</w:t>
      </w:r>
      <w:r w:rsidR="00971CEF">
        <w:rPr>
          <w:rFonts w:ascii="Arial" w:hAnsi="Arial" w:cs="Arial"/>
          <w:sz w:val="24"/>
          <w:szCs w:val="24"/>
        </w:rPr>
        <w:t xml:space="preserve"> </w:t>
      </w:r>
      <w:r w:rsidR="005665B1">
        <w:rPr>
          <w:rFonts w:ascii="Arial" w:hAnsi="Arial" w:cs="Arial"/>
          <w:sz w:val="24"/>
          <w:szCs w:val="24"/>
        </w:rPr>
        <w:t>la</w:t>
      </w:r>
      <w:r w:rsidR="006808DB" w:rsidRPr="00295DFC">
        <w:rPr>
          <w:rFonts w:ascii="Arial" w:hAnsi="Arial" w:cs="Arial"/>
          <w:sz w:val="24"/>
          <w:szCs w:val="24"/>
        </w:rPr>
        <w:t xml:space="preserve"> </w:t>
      </w:r>
      <w:bookmarkStart w:id="6" w:name="_Hlk103093310"/>
      <w:r w:rsidR="00166267">
        <w:rPr>
          <w:rFonts w:ascii="Arial" w:hAnsi="Arial" w:cs="Arial"/>
          <w:sz w:val="24"/>
          <w:szCs w:val="24"/>
        </w:rPr>
        <w:t>“</w:t>
      </w:r>
      <w:r w:rsidR="00166267">
        <w:rPr>
          <w:rFonts w:ascii="Arial" w:eastAsia="Times New Roman" w:hAnsi="Arial" w:cs="Arial"/>
          <w:color w:val="000000"/>
          <w:sz w:val="24"/>
          <w:szCs w:val="24"/>
          <w:shd w:val="clear" w:color="auto" w:fill="FFFFFF"/>
          <w:lang w:val="es-AR" w:eastAsia="es-ES_tradnl"/>
        </w:rPr>
        <w:t xml:space="preserve">Presentación </w:t>
      </w:r>
      <w:r w:rsidR="00AA67FA">
        <w:rPr>
          <w:rFonts w:ascii="Arial" w:eastAsia="Times New Roman" w:hAnsi="Arial" w:cs="Arial"/>
          <w:color w:val="000000"/>
          <w:sz w:val="24"/>
          <w:szCs w:val="24"/>
          <w:shd w:val="clear" w:color="auto" w:fill="FFFFFF"/>
          <w:lang w:val="es-AR" w:eastAsia="es-ES_tradnl"/>
        </w:rPr>
        <w:t>del Estado de Resultados</w:t>
      </w:r>
      <w:r w:rsidR="00166267">
        <w:rPr>
          <w:rFonts w:ascii="Arial" w:eastAsia="Times New Roman" w:hAnsi="Arial" w:cs="Arial"/>
          <w:color w:val="000000"/>
          <w:sz w:val="24"/>
          <w:szCs w:val="24"/>
          <w:shd w:val="clear" w:color="auto" w:fill="FFFFFF"/>
          <w:lang w:val="es-AR" w:eastAsia="es-ES_tradnl"/>
        </w:rPr>
        <w:t>,</w:t>
      </w:r>
      <w:r w:rsidR="00AA67FA">
        <w:rPr>
          <w:rFonts w:ascii="Arial" w:eastAsia="Times New Roman" w:hAnsi="Arial" w:cs="Arial"/>
          <w:color w:val="000000"/>
          <w:sz w:val="24"/>
          <w:szCs w:val="24"/>
          <w:shd w:val="clear" w:color="auto" w:fill="FFFFFF"/>
          <w:lang w:val="es-AR" w:eastAsia="es-ES_tradnl"/>
        </w:rPr>
        <w:t xml:space="preserve"> conforme a los lineamientos de la NIC 1</w:t>
      </w:r>
      <w:r w:rsidR="00166267">
        <w:rPr>
          <w:rFonts w:ascii="Arial" w:eastAsia="Times New Roman" w:hAnsi="Arial" w:cs="Arial"/>
          <w:color w:val="000000"/>
          <w:sz w:val="24"/>
          <w:szCs w:val="24"/>
          <w:shd w:val="clear" w:color="auto" w:fill="FFFFFF"/>
          <w:lang w:val="es-AR" w:eastAsia="es-ES_tradnl"/>
        </w:rPr>
        <w:t>”</w:t>
      </w:r>
      <w:bookmarkEnd w:id="6"/>
      <w:r w:rsidR="00AA67FA">
        <w:rPr>
          <w:rFonts w:ascii="Arial" w:eastAsia="Times New Roman" w:hAnsi="Arial" w:cs="Arial"/>
          <w:color w:val="000000"/>
          <w:sz w:val="24"/>
          <w:szCs w:val="24"/>
          <w:shd w:val="clear" w:color="auto" w:fill="FFFFFF"/>
          <w:lang w:val="es-AR" w:eastAsia="es-ES_tradnl"/>
        </w:rPr>
        <w:t>.</w:t>
      </w:r>
    </w:p>
    <w:p w14:paraId="4B8C2448" w14:textId="77777777" w:rsidR="006808DB" w:rsidRPr="006808DB" w:rsidRDefault="006808DB" w:rsidP="00295DFC">
      <w:pPr>
        <w:pStyle w:val="Default"/>
        <w:jc w:val="both"/>
        <w:rPr>
          <w:rFonts w:eastAsia="Calibri"/>
        </w:rPr>
      </w:pPr>
    </w:p>
    <w:p w14:paraId="4B8C2449" w14:textId="77777777" w:rsidR="00F41AB9" w:rsidRPr="006139F5" w:rsidRDefault="00F41AB9" w:rsidP="00F41AB9">
      <w:pPr>
        <w:suppressLineNumbers/>
        <w:suppressAutoHyphens/>
        <w:spacing w:after="0" w:line="240" w:lineRule="auto"/>
        <w:jc w:val="both"/>
        <w:rPr>
          <w:rFonts w:ascii="Arial" w:eastAsia="Times New Roman" w:hAnsi="Arial" w:cs="Arial"/>
          <w:b/>
          <w:color w:val="000000"/>
          <w:sz w:val="24"/>
          <w:szCs w:val="24"/>
          <w:lang w:eastAsia="ar-SA"/>
        </w:rPr>
      </w:pPr>
    </w:p>
    <w:p w14:paraId="4B8C244A" w14:textId="77777777" w:rsidR="00F41AB9" w:rsidRPr="006139F5" w:rsidRDefault="00F41AB9" w:rsidP="00F41AB9">
      <w:pPr>
        <w:suppressLineNumbers/>
        <w:suppressAutoHyphens/>
        <w:spacing w:after="0" w:line="240" w:lineRule="auto"/>
        <w:jc w:val="both"/>
        <w:rPr>
          <w:rFonts w:ascii="Arial" w:eastAsia="Times New Roman" w:hAnsi="Arial" w:cs="Arial"/>
          <w:sz w:val="24"/>
          <w:szCs w:val="24"/>
          <w:lang w:eastAsia="ar-SA"/>
        </w:rPr>
      </w:pPr>
      <w:r w:rsidRPr="006139F5">
        <w:rPr>
          <w:rFonts w:ascii="Arial" w:eastAsia="Times New Roman" w:hAnsi="Arial" w:cs="Arial"/>
          <w:b/>
          <w:color w:val="000000"/>
          <w:sz w:val="24"/>
          <w:szCs w:val="24"/>
          <w:lang w:eastAsia="ar-SA"/>
        </w:rPr>
        <w:t>PRÓXIMA REUNIÓN</w:t>
      </w:r>
    </w:p>
    <w:p w14:paraId="4B8C244B" w14:textId="77777777" w:rsidR="00F41AB9" w:rsidRPr="006139F5" w:rsidRDefault="00F41AB9" w:rsidP="00F41AB9">
      <w:pPr>
        <w:suppressAutoHyphens/>
        <w:spacing w:after="0" w:line="240" w:lineRule="auto"/>
        <w:jc w:val="both"/>
        <w:rPr>
          <w:rFonts w:ascii="Arial" w:eastAsia="Times New Roman" w:hAnsi="Arial" w:cs="Arial"/>
          <w:sz w:val="24"/>
          <w:szCs w:val="24"/>
          <w:lang w:eastAsia="ar-SA"/>
        </w:rPr>
      </w:pPr>
    </w:p>
    <w:p w14:paraId="4B8C244C" w14:textId="77777777" w:rsidR="00F41AB9" w:rsidRPr="006139F5" w:rsidRDefault="00F41AB9" w:rsidP="00F41AB9">
      <w:pPr>
        <w:suppressAutoHyphens/>
        <w:spacing w:after="0" w:line="240" w:lineRule="auto"/>
        <w:jc w:val="both"/>
        <w:rPr>
          <w:rFonts w:ascii="Arial" w:eastAsia="Times New Roman" w:hAnsi="Arial" w:cs="Arial"/>
          <w:sz w:val="24"/>
          <w:szCs w:val="24"/>
          <w:lang w:eastAsia="ar-SA"/>
        </w:rPr>
      </w:pPr>
      <w:r w:rsidRPr="006139F5">
        <w:rPr>
          <w:rFonts w:ascii="Arial" w:eastAsia="Times New Roman" w:hAnsi="Arial" w:cs="Arial"/>
          <w:sz w:val="24"/>
          <w:szCs w:val="24"/>
          <w:lang w:eastAsia="ar-SA"/>
        </w:rPr>
        <w:t>La próxima reunión de</w:t>
      </w:r>
      <w:r w:rsidR="00890193" w:rsidRPr="006139F5">
        <w:rPr>
          <w:rFonts w:ascii="Arial" w:eastAsia="Times New Roman" w:hAnsi="Arial" w:cs="Arial"/>
          <w:sz w:val="24"/>
          <w:szCs w:val="24"/>
          <w:lang w:eastAsia="ar-SA"/>
        </w:rPr>
        <w:t xml:space="preserve"> </w:t>
      </w:r>
      <w:r w:rsidRPr="006139F5">
        <w:rPr>
          <w:rFonts w:ascii="Arial" w:eastAsia="Times New Roman" w:hAnsi="Arial" w:cs="Arial"/>
          <w:sz w:val="24"/>
          <w:szCs w:val="24"/>
          <w:lang w:eastAsia="ar-SA"/>
        </w:rPr>
        <w:t>l</w:t>
      </w:r>
      <w:r w:rsidR="00890193" w:rsidRPr="006139F5">
        <w:rPr>
          <w:rFonts w:ascii="Arial" w:eastAsia="Times New Roman" w:hAnsi="Arial" w:cs="Arial"/>
          <w:sz w:val="24"/>
          <w:szCs w:val="24"/>
          <w:lang w:eastAsia="ar-SA"/>
        </w:rPr>
        <w:t>a</w:t>
      </w:r>
      <w:r w:rsidRPr="006139F5">
        <w:rPr>
          <w:rFonts w:ascii="Arial" w:eastAsia="Times New Roman" w:hAnsi="Arial" w:cs="Arial"/>
          <w:sz w:val="24"/>
          <w:szCs w:val="24"/>
          <w:lang w:eastAsia="ar-SA"/>
        </w:rPr>
        <w:t xml:space="preserve"> </w:t>
      </w:r>
      <w:r w:rsidR="00890193" w:rsidRPr="006139F5">
        <w:rPr>
          <w:rFonts w:ascii="Arial" w:eastAsia="Times New Roman" w:hAnsi="Arial" w:cs="Arial"/>
          <w:sz w:val="24"/>
          <w:szCs w:val="24"/>
          <w:lang w:eastAsia="ar-SA"/>
        </w:rPr>
        <w:t>Subcomisión de Presentación de Estados Contables será convocada oportunamente durante la próxima PPT en ejercicio.</w:t>
      </w:r>
    </w:p>
    <w:p w14:paraId="4B8C244F" w14:textId="77777777" w:rsidR="00F41AB9" w:rsidRPr="006139F5" w:rsidRDefault="00F41AB9" w:rsidP="00F41AB9">
      <w:pPr>
        <w:suppressAutoHyphens/>
        <w:overflowPunct w:val="0"/>
        <w:spacing w:after="0" w:line="240" w:lineRule="auto"/>
        <w:jc w:val="both"/>
        <w:rPr>
          <w:rFonts w:ascii="Arial" w:eastAsia="Times New Roman" w:hAnsi="Arial" w:cs="Arial"/>
          <w:b/>
          <w:sz w:val="24"/>
          <w:szCs w:val="24"/>
          <w:lang w:eastAsia="ar-SA"/>
        </w:rPr>
      </w:pPr>
    </w:p>
    <w:p w14:paraId="4B8C2450" w14:textId="77777777" w:rsidR="00F41AB9" w:rsidRPr="006139F5" w:rsidRDefault="00F41AB9" w:rsidP="00F41AB9">
      <w:pPr>
        <w:suppressAutoHyphens/>
        <w:overflowPunct w:val="0"/>
        <w:spacing w:after="0" w:line="240" w:lineRule="auto"/>
        <w:jc w:val="both"/>
        <w:rPr>
          <w:rFonts w:ascii="Arial" w:eastAsia="Times New Roman" w:hAnsi="Arial" w:cs="Arial"/>
          <w:b/>
          <w:sz w:val="24"/>
          <w:szCs w:val="24"/>
          <w:lang w:eastAsia="ar-SA"/>
        </w:rPr>
      </w:pPr>
    </w:p>
    <w:p w14:paraId="4B8C2451" w14:textId="77777777" w:rsidR="00F41AB9" w:rsidRPr="006139F5" w:rsidRDefault="00F41AB9" w:rsidP="00F41AB9">
      <w:pPr>
        <w:suppressAutoHyphens/>
        <w:overflowPunct w:val="0"/>
        <w:spacing w:after="0" w:line="240" w:lineRule="auto"/>
        <w:jc w:val="both"/>
        <w:rPr>
          <w:rFonts w:ascii="Arial" w:eastAsia="Times New Roman" w:hAnsi="Arial" w:cs="Arial"/>
          <w:b/>
          <w:sz w:val="24"/>
          <w:szCs w:val="24"/>
          <w:lang w:eastAsia="ar-SA"/>
        </w:rPr>
      </w:pPr>
      <w:r w:rsidRPr="006139F5">
        <w:rPr>
          <w:rFonts w:ascii="Arial" w:eastAsia="Times New Roman" w:hAnsi="Arial" w:cs="Arial"/>
          <w:b/>
          <w:sz w:val="24"/>
          <w:szCs w:val="24"/>
          <w:lang w:eastAsia="ar-SA"/>
        </w:rPr>
        <w:t xml:space="preserve">LISTA DE ANEXOS </w:t>
      </w:r>
    </w:p>
    <w:p w14:paraId="4B8C2452" w14:textId="77777777" w:rsidR="00F41AB9" w:rsidRPr="006139F5" w:rsidRDefault="00F41AB9" w:rsidP="00F41AB9">
      <w:pPr>
        <w:suppressLineNumbers/>
        <w:tabs>
          <w:tab w:val="center" w:pos="4252"/>
          <w:tab w:val="right" w:pos="8504"/>
        </w:tabs>
        <w:suppressAutoHyphens/>
        <w:spacing w:after="0" w:line="240" w:lineRule="auto"/>
        <w:jc w:val="both"/>
        <w:rPr>
          <w:rFonts w:ascii="Arial" w:eastAsia="Times New Roman" w:hAnsi="Arial" w:cs="Arial"/>
          <w:sz w:val="24"/>
          <w:szCs w:val="24"/>
          <w:lang w:eastAsia="ar-SA"/>
        </w:rPr>
      </w:pPr>
    </w:p>
    <w:p w14:paraId="4B8C2453" w14:textId="77777777" w:rsidR="00F41AB9" w:rsidRPr="006139F5" w:rsidRDefault="00F41AB9" w:rsidP="00F41AB9">
      <w:pPr>
        <w:suppressLineNumbers/>
        <w:tabs>
          <w:tab w:val="center" w:pos="4252"/>
          <w:tab w:val="right" w:pos="8504"/>
        </w:tabs>
        <w:suppressAutoHyphens/>
        <w:spacing w:after="0" w:line="240" w:lineRule="auto"/>
        <w:jc w:val="both"/>
        <w:rPr>
          <w:rFonts w:ascii="Arial" w:eastAsia="Times New Roman" w:hAnsi="Arial" w:cs="Arial"/>
          <w:sz w:val="24"/>
          <w:szCs w:val="24"/>
          <w:lang w:eastAsia="ar-SA"/>
        </w:rPr>
      </w:pPr>
      <w:r w:rsidRPr="006139F5">
        <w:rPr>
          <w:rFonts w:ascii="Arial" w:eastAsia="Times New Roman" w:hAnsi="Arial" w:cs="Arial"/>
          <w:sz w:val="24"/>
          <w:szCs w:val="24"/>
          <w:lang w:eastAsia="ar-SA"/>
        </w:rPr>
        <w:t>Los Anexos que forman parte de la presente Acta son las siguientes:</w:t>
      </w:r>
    </w:p>
    <w:p w14:paraId="4B8C2454" w14:textId="77777777" w:rsidR="00F41AB9" w:rsidRDefault="00F41AB9" w:rsidP="00F41AB9">
      <w:pPr>
        <w:suppressLineNumbers/>
        <w:tabs>
          <w:tab w:val="center" w:pos="4252"/>
          <w:tab w:val="right" w:pos="8504"/>
        </w:tabs>
        <w:suppressAutoHyphens/>
        <w:spacing w:after="0" w:line="240" w:lineRule="auto"/>
        <w:jc w:val="both"/>
        <w:rPr>
          <w:rFonts w:ascii="Arial" w:eastAsia="Times New Roman" w:hAnsi="Arial" w:cs="Arial"/>
          <w:sz w:val="24"/>
          <w:szCs w:val="24"/>
          <w:lang w:eastAsia="ar-SA"/>
        </w:rPr>
      </w:pPr>
    </w:p>
    <w:p w14:paraId="4B8C2455" w14:textId="77777777" w:rsidR="006115BF" w:rsidRPr="006139F5" w:rsidRDefault="006115BF" w:rsidP="00F41AB9">
      <w:pPr>
        <w:suppressLineNumbers/>
        <w:tabs>
          <w:tab w:val="center" w:pos="4252"/>
          <w:tab w:val="right" w:pos="8504"/>
        </w:tabs>
        <w:suppressAutoHyphens/>
        <w:spacing w:after="0" w:line="240" w:lineRule="auto"/>
        <w:jc w:val="both"/>
        <w:rPr>
          <w:rFonts w:ascii="Arial" w:eastAsia="Times New Roman" w:hAnsi="Arial" w:cs="Arial"/>
          <w:sz w:val="24"/>
          <w:szCs w:val="24"/>
          <w:lang w:eastAsia="ar-SA"/>
        </w:rPr>
      </w:pPr>
    </w:p>
    <w:tbl>
      <w:tblPr>
        <w:tblStyle w:val="Tablaconcuadrcula"/>
        <w:tblW w:w="0" w:type="auto"/>
        <w:tblLook w:val="04A0" w:firstRow="1" w:lastRow="0" w:firstColumn="1" w:lastColumn="0" w:noHBand="0" w:noVBand="1"/>
      </w:tblPr>
      <w:tblGrid>
        <w:gridCol w:w="1271"/>
        <w:gridCol w:w="7745"/>
      </w:tblGrid>
      <w:tr w:rsidR="006115BF" w14:paraId="4B8C2458" w14:textId="77777777" w:rsidTr="007A58D6">
        <w:trPr>
          <w:trHeight w:val="340"/>
        </w:trPr>
        <w:tc>
          <w:tcPr>
            <w:tcW w:w="1271" w:type="dxa"/>
          </w:tcPr>
          <w:p w14:paraId="4B8C2456"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15BF">
              <w:rPr>
                <w:rFonts w:ascii="Arial" w:eastAsia="Times New Roman" w:hAnsi="Arial" w:cs="Arial"/>
                <w:b/>
                <w:bCs/>
                <w:sz w:val="24"/>
                <w:szCs w:val="24"/>
                <w:lang w:val="pt-BR" w:eastAsia="ar-SA"/>
              </w:rPr>
              <w:t>Anexo I</w:t>
            </w:r>
          </w:p>
        </w:tc>
        <w:tc>
          <w:tcPr>
            <w:tcW w:w="7745" w:type="dxa"/>
          </w:tcPr>
          <w:p w14:paraId="4B8C2457"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39F5">
              <w:rPr>
                <w:rFonts w:ascii="Arial" w:eastAsia="Times New Roman" w:hAnsi="Arial" w:cs="Arial"/>
                <w:sz w:val="24"/>
                <w:szCs w:val="24"/>
                <w:lang w:val="pt-BR" w:eastAsia="ar-SA"/>
              </w:rPr>
              <w:t>Lista de Participantes</w:t>
            </w:r>
          </w:p>
        </w:tc>
      </w:tr>
      <w:tr w:rsidR="006115BF" w14:paraId="4B8C245B" w14:textId="77777777" w:rsidTr="007A58D6">
        <w:trPr>
          <w:trHeight w:val="340"/>
        </w:trPr>
        <w:tc>
          <w:tcPr>
            <w:tcW w:w="1271" w:type="dxa"/>
          </w:tcPr>
          <w:p w14:paraId="4B8C2459"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15BF">
              <w:rPr>
                <w:rFonts w:ascii="Arial" w:eastAsia="Times New Roman" w:hAnsi="Arial" w:cs="Arial"/>
                <w:b/>
                <w:bCs/>
                <w:sz w:val="24"/>
                <w:szCs w:val="24"/>
                <w:lang w:val="pt-BR" w:eastAsia="ar-SA"/>
              </w:rPr>
              <w:t>Anexo II</w:t>
            </w:r>
          </w:p>
        </w:tc>
        <w:tc>
          <w:tcPr>
            <w:tcW w:w="7745" w:type="dxa"/>
          </w:tcPr>
          <w:p w14:paraId="4B8C245A"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39F5">
              <w:rPr>
                <w:rFonts w:ascii="Arial" w:eastAsia="Times New Roman" w:hAnsi="Arial" w:cs="Arial"/>
                <w:sz w:val="24"/>
                <w:szCs w:val="24"/>
                <w:lang w:val="pt-BR" w:eastAsia="ar-SA"/>
              </w:rPr>
              <w:t>Agenda</w:t>
            </w:r>
          </w:p>
        </w:tc>
      </w:tr>
      <w:tr w:rsidR="006115BF" w14:paraId="4B8C245E" w14:textId="77777777" w:rsidTr="007A58D6">
        <w:trPr>
          <w:trHeight w:val="340"/>
        </w:trPr>
        <w:tc>
          <w:tcPr>
            <w:tcW w:w="1271" w:type="dxa"/>
          </w:tcPr>
          <w:p w14:paraId="4B8C245C"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15BF">
              <w:rPr>
                <w:rFonts w:ascii="Arial" w:eastAsia="Times New Roman" w:hAnsi="Arial" w:cs="Arial"/>
                <w:b/>
                <w:bCs/>
                <w:sz w:val="24"/>
                <w:szCs w:val="24"/>
                <w:lang w:val="es-PY" w:eastAsia="ar-SA"/>
              </w:rPr>
              <w:t>Anexo III</w:t>
            </w:r>
          </w:p>
        </w:tc>
        <w:tc>
          <w:tcPr>
            <w:tcW w:w="7745" w:type="dxa"/>
          </w:tcPr>
          <w:p w14:paraId="4B8C245D"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39F5">
              <w:rPr>
                <w:rFonts w:ascii="Arial" w:eastAsia="Times New Roman" w:hAnsi="Arial" w:cs="Arial"/>
                <w:sz w:val="24"/>
                <w:szCs w:val="24"/>
                <w:lang w:val="es-PY" w:eastAsia="ar-SA"/>
              </w:rPr>
              <w:t>Resumen del Acta</w:t>
            </w:r>
          </w:p>
        </w:tc>
      </w:tr>
    </w:tbl>
    <w:p w14:paraId="4B8C245F" w14:textId="77777777" w:rsidR="00F41AB9" w:rsidRPr="006139F5" w:rsidRDefault="00F41AB9" w:rsidP="00F41AB9">
      <w:pPr>
        <w:suppressAutoHyphens/>
        <w:spacing w:after="0" w:line="240" w:lineRule="auto"/>
        <w:rPr>
          <w:rFonts w:ascii="Arial" w:eastAsia="Times New Roman" w:hAnsi="Arial" w:cs="Arial"/>
          <w:sz w:val="24"/>
          <w:szCs w:val="24"/>
          <w:lang w:eastAsia="ar-SA"/>
        </w:rPr>
      </w:pPr>
    </w:p>
    <w:p w14:paraId="4B8C2461" w14:textId="77777777" w:rsidR="00F41AB9" w:rsidRDefault="00F41AB9" w:rsidP="00F41AB9">
      <w:pPr>
        <w:suppressAutoHyphens/>
        <w:spacing w:after="0" w:line="240" w:lineRule="auto"/>
        <w:rPr>
          <w:rFonts w:ascii="Arial" w:eastAsia="Times New Roman" w:hAnsi="Arial" w:cs="Arial"/>
          <w:sz w:val="24"/>
          <w:szCs w:val="24"/>
          <w:lang w:eastAsia="ar-SA"/>
        </w:rPr>
      </w:pPr>
      <w:bookmarkStart w:id="7" w:name="_GoBack"/>
      <w:bookmarkEnd w:id="7"/>
    </w:p>
    <w:p w14:paraId="4B8C2462" w14:textId="77777777" w:rsidR="007A58D6" w:rsidRPr="006139F5" w:rsidRDefault="007A58D6" w:rsidP="00F41AB9">
      <w:pPr>
        <w:suppressAutoHyphens/>
        <w:spacing w:after="0" w:line="240" w:lineRule="auto"/>
        <w:rPr>
          <w:rFonts w:ascii="Arial" w:eastAsia="Times New Roman" w:hAnsi="Arial" w:cs="Arial"/>
          <w:sz w:val="24"/>
          <w:szCs w:val="24"/>
          <w:lang w:eastAsia="ar-SA"/>
        </w:rPr>
      </w:pPr>
    </w:p>
    <w:p w14:paraId="4B8C2463" w14:textId="77777777" w:rsidR="00F41AB9" w:rsidRPr="006139F5" w:rsidRDefault="00F41AB9" w:rsidP="00F41AB9">
      <w:pPr>
        <w:tabs>
          <w:tab w:val="left" w:pos="1227"/>
        </w:tabs>
        <w:suppressAutoHyphens/>
        <w:spacing w:after="0" w:line="240" w:lineRule="auto"/>
        <w:rPr>
          <w:rFonts w:ascii="Arial" w:eastAsia="Times New Roman" w:hAnsi="Arial" w:cs="Arial"/>
          <w:sz w:val="24"/>
          <w:szCs w:val="24"/>
          <w:lang w:eastAsia="ar-SA"/>
        </w:rPr>
      </w:pPr>
    </w:p>
    <w:tbl>
      <w:tblPr>
        <w:tblW w:w="0" w:type="auto"/>
        <w:jc w:val="center"/>
        <w:tblLook w:val="04A0" w:firstRow="1" w:lastRow="0" w:firstColumn="1" w:lastColumn="0" w:noHBand="0" w:noVBand="1"/>
      </w:tblPr>
      <w:tblGrid>
        <w:gridCol w:w="4511"/>
        <w:gridCol w:w="4515"/>
      </w:tblGrid>
      <w:tr w:rsidR="00F41AB9" w:rsidRPr="006139F5" w14:paraId="4B8C2470" w14:textId="77777777" w:rsidTr="00352664">
        <w:trPr>
          <w:jc w:val="center"/>
        </w:trPr>
        <w:tc>
          <w:tcPr>
            <w:tcW w:w="4511" w:type="dxa"/>
            <w:shd w:val="clear" w:color="auto" w:fill="auto"/>
          </w:tcPr>
          <w:p w14:paraId="4B8C2464" w14:textId="77777777"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r w:rsidRPr="00D42E2C">
              <w:rPr>
                <w:rFonts w:ascii="Arial" w:eastAsia="Times New Roman" w:hAnsi="Arial" w:cs="Arial"/>
                <w:b/>
                <w:sz w:val="24"/>
                <w:szCs w:val="24"/>
                <w:lang w:eastAsia="ar-SA"/>
              </w:rPr>
              <w:t>___________________________</w:t>
            </w:r>
          </w:p>
          <w:p w14:paraId="4B8C2465" w14:textId="5732CA78"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b/>
                <w:bCs/>
                <w:sz w:val="24"/>
                <w:szCs w:val="24"/>
                <w:shd w:val="clear" w:color="auto" w:fill="FFFF00"/>
                <w:lang w:eastAsia="ar-SA"/>
              </w:rPr>
            </w:pPr>
            <w:r w:rsidRPr="00D42E2C">
              <w:rPr>
                <w:rFonts w:ascii="Arial" w:eastAsia="Times New Roman" w:hAnsi="Arial" w:cs="Arial"/>
                <w:b/>
                <w:bCs/>
                <w:sz w:val="24"/>
                <w:szCs w:val="24"/>
                <w:lang w:eastAsia="ar-SA"/>
              </w:rPr>
              <w:t xml:space="preserve">Por la </w:t>
            </w:r>
            <w:r w:rsidR="00E53D04">
              <w:rPr>
                <w:rFonts w:ascii="Arial" w:eastAsia="Times New Roman" w:hAnsi="Arial" w:cs="Arial"/>
                <w:b/>
                <w:bCs/>
                <w:sz w:val="24"/>
                <w:szCs w:val="24"/>
                <w:lang w:eastAsia="ar-SA"/>
              </w:rPr>
              <w:t>d</w:t>
            </w:r>
            <w:r w:rsidRPr="00D42E2C">
              <w:rPr>
                <w:rFonts w:ascii="Arial" w:eastAsia="Times New Roman" w:hAnsi="Arial" w:cs="Arial"/>
                <w:b/>
                <w:bCs/>
                <w:sz w:val="24"/>
                <w:szCs w:val="24"/>
                <w:lang w:eastAsia="ar-SA"/>
              </w:rPr>
              <w:t>elegación de Argentina</w:t>
            </w:r>
          </w:p>
          <w:p w14:paraId="4B8C2466" w14:textId="77777777" w:rsidR="00F41AB9" w:rsidRPr="00D42E2C" w:rsidRDefault="00F41AB9" w:rsidP="00F41AB9">
            <w:pPr>
              <w:suppressAutoHyphens/>
              <w:spacing w:after="0" w:line="240" w:lineRule="auto"/>
              <w:ind w:left="709"/>
              <w:rPr>
                <w:rFonts w:ascii="Arial" w:eastAsia="Times New Roman" w:hAnsi="Arial" w:cs="Arial"/>
                <w:sz w:val="24"/>
                <w:szCs w:val="24"/>
                <w:lang w:eastAsia="ar-SA"/>
              </w:rPr>
            </w:pPr>
            <w:r w:rsidRPr="00D42E2C">
              <w:rPr>
                <w:rFonts w:ascii="Arial" w:eastAsia="Times New Roman" w:hAnsi="Arial" w:cs="Arial"/>
                <w:sz w:val="24"/>
                <w:szCs w:val="24"/>
                <w:lang w:eastAsia="ar-SA"/>
              </w:rPr>
              <w:t xml:space="preserve">       Silvia Fernández</w:t>
            </w:r>
          </w:p>
          <w:p w14:paraId="4B8C2467" w14:textId="77777777" w:rsidR="00F41AB9" w:rsidRPr="00D42E2C" w:rsidRDefault="00F41AB9" w:rsidP="00F41AB9">
            <w:pPr>
              <w:suppressAutoHyphens/>
              <w:spacing w:after="0" w:line="240" w:lineRule="auto"/>
              <w:ind w:left="709"/>
              <w:jc w:val="center"/>
              <w:rPr>
                <w:rFonts w:ascii="Arial" w:eastAsia="Times New Roman" w:hAnsi="Arial" w:cs="Arial"/>
                <w:b/>
                <w:sz w:val="24"/>
                <w:szCs w:val="24"/>
                <w:shd w:val="clear" w:color="auto" w:fill="FFFF00"/>
                <w:lang w:eastAsia="ar-SA"/>
              </w:rPr>
            </w:pPr>
          </w:p>
          <w:p w14:paraId="4B8C2468" w14:textId="77777777" w:rsidR="00F41AB9" w:rsidRPr="00D42E2C" w:rsidRDefault="00F41AB9" w:rsidP="00F41AB9">
            <w:pPr>
              <w:suppressAutoHyphens/>
              <w:spacing w:after="0" w:line="240" w:lineRule="auto"/>
              <w:ind w:left="709"/>
              <w:jc w:val="center"/>
              <w:rPr>
                <w:rFonts w:ascii="Arial" w:eastAsia="Times New Roman" w:hAnsi="Arial" w:cs="Arial"/>
                <w:sz w:val="24"/>
                <w:szCs w:val="24"/>
                <w:lang w:eastAsia="ar-SA"/>
              </w:rPr>
            </w:pPr>
          </w:p>
          <w:p w14:paraId="4B8C2469" w14:textId="77777777" w:rsidR="00F41AB9" w:rsidRPr="00D42E2C" w:rsidRDefault="00F41AB9" w:rsidP="00F41AB9">
            <w:pPr>
              <w:suppressAutoHyphens/>
              <w:spacing w:after="0" w:line="240" w:lineRule="auto"/>
              <w:ind w:left="709"/>
              <w:jc w:val="center"/>
              <w:rPr>
                <w:rFonts w:ascii="Arial" w:eastAsia="Times New Roman" w:hAnsi="Arial" w:cs="Arial"/>
                <w:sz w:val="24"/>
                <w:szCs w:val="24"/>
                <w:lang w:eastAsia="ar-SA"/>
              </w:rPr>
            </w:pPr>
          </w:p>
          <w:p w14:paraId="4B8C246A" w14:textId="77777777" w:rsidR="0026550E" w:rsidRPr="00D42E2C" w:rsidRDefault="0026550E" w:rsidP="00F41AB9">
            <w:pPr>
              <w:suppressAutoHyphens/>
              <w:spacing w:after="0" w:line="240" w:lineRule="auto"/>
              <w:ind w:left="709"/>
              <w:jc w:val="center"/>
              <w:rPr>
                <w:rFonts w:ascii="Arial" w:eastAsia="Times New Roman" w:hAnsi="Arial" w:cs="Arial"/>
                <w:sz w:val="24"/>
                <w:szCs w:val="24"/>
                <w:lang w:eastAsia="ar-SA"/>
              </w:rPr>
            </w:pPr>
          </w:p>
          <w:p w14:paraId="4B8C246B" w14:textId="77777777" w:rsidR="0026550E" w:rsidRPr="00D42E2C" w:rsidRDefault="0026550E" w:rsidP="00F41AB9">
            <w:pPr>
              <w:suppressAutoHyphens/>
              <w:spacing w:after="0" w:line="240" w:lineRule="auto"/>
              <w:ind w:left="709"/>
              <w:jc w:val="center"/>
              <w:rPr>
                <w:rFonts w:ascii="Arial" w:eastAsia="Times New Roman" w:hAnsi="Arial" w:cs="Arial"/>
                <w:sz w:val="24"/>
                <w:szCs w:val="24"/>
                <w:lang w:eastAsia="ar-SA"/>
              </w:rPr>
            </w:pPr>
          </w:p>
          <w:p w14:paraId="4B8C246C" w14:textId="77777777" w:rsidR="0026550E" w:rsidRPr="00D42E2C" w:rsidRDefault="0026550E" w:rsidP="00F41AB9">
            <w:pPr>
              <w:suppressAutoHyphens/>
              <w:spacing w:after="0" w:line="240" w:lineRule="auto"/>
              <w:ind w:left="709"/>
              <w:jc w:val="center"/>
              <w:rPr>
                <w:rFonts w:ascii="Arial" w:eastAsia="Times New Roman" w:hAnsi="Arial" w:cs="Arial"/>
                <w:sz w:val="24"/>
                <w:szCs w:val="24"/>
                <w:lang w:eastAsia="ar-SA"/>
              </w:rPr>
            </w:pPr>
          </w:p>
        </w:tc>
        <w:tc>
          <w:tcPr>
            <w:tcW w:w="4515" w:type="dxa"/>
            <w:shd w:val="clear" w:color="auto" w:fill="auto"/>
          </w:tcPr>
          <w:p w14:paraId="4B8C246D" w14:textId="77777777"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r w:rsidRPr="00D42E2C">
              <w:rPr>
                <w:rFonts w:ascii="Arial" w:eastAsia="Times New Roman" w:hAnsi="Arial" w:cs="Arial"/>
                <w:b/>
                <w:sz w:val="24"/>
                <w:szCs w:val="24"/>
                <w:lang w:eastAsia="ar-SA"/>
              </w:rPr>
              <w:t>____________________________</w:t>
            </w:r>
          </w:p>
          <w:p w14:paraId="56F569B7" w14:textId="528E31D0" w:rsidR="00E6280E" w:rsidRPr="00D42E2C" w:rsidRDefault="00E6280E" w:rsidP="00E6280E">
            <w:pPr>
              <w:suppressLineNumbers/>
              <w:tabs>
                <w:tab w:val="center" w:pos="4252"/>
                <w:tab w:val="right" w:pos="8504"/>
              </w:tabs>
              <w:suppressAutoHyphens/>
              <w:spacing w:after="0" w:line="240" w:lineRule="auto"/>
              <w:ind w:left="38"/>
              <w:jc w:val="center"/>
              <w:rPr>
                <w:rFonts w:ascii="Arial" w:eastAsia="Times New Roman" w:hAnsi="Arial" w:cs="Arial"/>
                <w:b/>
                <w:bCs/>
                <w:sz w:val="24"/>
                <w:szCs w:val="24"/>
                <w:shd w:val="clear" w:color="auto" w:fill="FFFF00"/>
                <w:lang w:eastAsia="ar-SA"/>
              </w:rPr>
            </w:pPr>
            <w:r w:rsidRPr="00D42E2C">
              <w:rPr>
                <w:rFonts w:ascii="Arial" w:eastAsia="Times New Roman" w:hAnsi="Arial" w:cs="Arial"/>
                <w:b/>
                <w:bCs/>
                <w:sz w:val="24"/>
                <w:szCs w:val="24"/>
                <w:lang w:eastAsia="ar-SA"/>
              </w:rPr>
              <w:t xml:space="preserve">Por la </w:t>
            </w:r>
            <w:r w:rsidR="00E53D04">
              <w:rPr>
                <w:rFonts w:ascii="Arial" w:eastAsia="Times New Roman" w:hAnsi="Arial" w:cs="Arial"/>
                <w:b/>
                <w:bCs/>
                <w:sz w:val="24"/>
                <w:szCs w:val="24"/>
                <w:lang w:eastAsia="ar-SA"/>
              </w:rPr>
              <w:t>d</w:t>
            </w:r>
            <w:r w:rsidRPr="00D42E2C">
              <w:rPr>
                <w:rFonts w:ascii="Arial" w:eastAsia="Times New Roman" w:hAnsi="Arial" w:cs="Arial"/>
                <w:b/>
                <w:bCs/>
                <w:sz w:val="24"/>
                <w:szCs w:val="24"/>
                <w:lang w:eastAsia="ar-SA"/>
              </w:rPr>
              <w:t>elegación de Paraguay</w:t>
            </w:r>
          </w:p>
          <w:p w14:paraId="1FE5725D" w14:textId="77777777" w:rsidR="00E6280E" w:rsidRPr="00D42E2C" w:rsidRDefault="00E6280E" w:rsidP="00E6280E">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r w:rsidRPr="00D42E2C">
              <w:rPr>
                <w:rFonts w:ascii="Arial" w:eastAsia="Times New Roman" w:hAnsi="Arial" w:cs="Arial"/>
                <w:sz w:val="24"/>
                <w:szCs w:val="24"/>
                <w:lang w:eastAsia="ar-SA"/>
              </w:rPr>
              <w:t xml:space="preserve">Hugo Centurión </w:t>
            </w:r>
          </w:p>
          <w:p w14:paraId="4B8C246F" w14:textId="6CBE2DF1" w:rsidR="00F41AB9" w:rsidRPr="006139F5" w:rsidRDefault="00F41AB9" w:rsidP="00F41AB9">
            <w:pPr>
              <w:suppressAutoHyphens/>
              <w:spacing w:after="0" w:line="240" w:lineRule="auto"/>
              <w:jc w:val="center"/>
              <w:rPr>
                <w:rFonts w:ascii="Arial" w:eastAsia="Times New Roman" w:hAnsi="Arial" w:cs="Arial"/>
                <w:sz w:val="24"/>
                <w:szCs w:val="24"/>
                <w:lang w:eastAsia="ar-SA"/>
              </w:rPr>
            </w:pPr>
          </w:p>
        </w:tc>
      </w:tr>
      <w:tr w:rsidR="00F41AB9" w:rsidRPr="006139F5" w14:paraId="4B8C247C" w14:textId="77777777" w:rsidTr="00352664">
        <w:trPr>
          <w:jc w:val="center"/>
        </w:trPr>
        <w:tc>
          <w:tcPr>
            <w:tcW w:w="4511" w:type="dxa"/>
            <w:shd w:val="clear" w:color="auto" w:fill="auto"/>
          </w:tcPr>
          <w:p w14:paraId="4B8C2471" w14:textId="77777777"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r w:rsidRPr="00D42E2C">
              <w:rPr>
                <w:rFonts w:ascii="Arial" w:eastAsia="Times New Roman" w:hAnsi="Arial" w:cs="Arial"/>
                <w:b/>
                <w:sz w:val="24"/>
                <w:szCs w:val="24"/>
                <w:lang w:eastAsia="ar-SA"/>
              </w:rPr>
              <w:t>_________________________</w:t>
            </w:r>
          </w:p>
          <w:p w14:paraId="253A6850" w14:textId="3419D8B2" w:rsidR="00E6280E" w:rsidRPr="00D42E2C" w:rsidRDefault="00E6280E" w:rsidP="00E6280E">
            <w:pPr>
              <w:suppressLineNumbers/>
              <w:tabs>
                <w:tab w:val="center" w:pos="4252"/>
                <w:tab w:val="right" w:pos="8504"/>
              </w:tabs>
              <w:suppressAutoHyphens/>
              <w:spacing w:after="0" w:line="240" w:lineRule="auto"/>
              <w:ind w:left="38"/>
              <w:jc w:val="center"/>
              <w:rPr>
                <w:rFonts w:ascii="Arial" w:eastAsia="Times New Roman" w:hAnsi="Arial" w:cs="Arial"/>
                <w:b/>
                <w:bCs/>
                <w:sz w:val="24"/>
                <w:szCs w:val="24"/>
                <w:shd w:val="clear" w:color="auto" w:fill="FFFF00"/>
                <w:lang w:eastAsia="ar-SA"/>
              </w:rPr>
            </w:pPr>
            <w:r w:rsidRPr="00D42E2C">
              <w:rPr>
                <w:rFonts w:ascii="Arial" w:eastAsia="Times New Roman" w:hAnsi="Arial" w:cs="Arial"/>
                <w:b/>
                <w:bCs/>
                <w:sz w:val="24"/>
                <w:szCs w:val="24"/>
                <w:lang w:eastAsia="ar-SA"/>
              </w:rPr>
              <w:t xml:space="preserve">Por la </w:t>
            </w:r>
            <w:r w:rsidR="00E53D04">
              <w:rPr>
                <w:rFonts w:ascii="Arial" w:eastAsia="Times New Roman" w:hAnsi="Arial" w:cs="Arial"/>
                <w:b/>
                <w:bCs/>
                <w:sz w:val="24"/>
                <w:szCs w:val="24"/>
                <w:lang w:eastAsia="ar-SA"/>
              </w:rPr>
              <w:t>d</w:t>
            </w:r>
            <w:r w:rsidRPr="00D42E2C">
              <w:rPr>
                <w:rFonts w:ascii="Arial" w:eastAsia="Times New Roman" w:hAnsi="Arial" w:cs="Arial"/>
                <w:b/>
                <w:bCs/>
                <w:sz w:val="24"/>
                <w:szCs w:val="24"/>
                <w:lang w:eastAsia="ar-SA"/>
              </w:rPr>
              <w:t>elegación de Uruguay</w:t>
            </w:r>
          </w:p>
          <w:p w14:paraId="4B8C2474" w14:textId="4CC082BA" w:rsidR="00F41AB9" w:rsidRPr="00D42E2C" w:rsidRDefault="00E6280E" w:rsidP="00E6280E">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r w:rsidRPr="00D42E2C">
              <w:rPr>
                <w:rFonts w:ascii="Arial" w:eastAsia="Times New Roman" w:hAnsi="Arial" w:cs="Arial"/>
                <w:sz w:val="24"/>
                <w:szCs w:val="24"/>
                <w:lang w:eastAsia="ar-SA"/>
              </w:rPr>
              <w:t>Fernando Crescente</w:t>
            </w:r>
          </w:p>
          <w:p w14:paraId="4B8C2475" w14:textId="77777777" w:rsidR="00F41AB9" w:rsidRPr="00D42E2C" w:rsidRDefault="00F41AB9" w:rsidP="00F41AB9">
            <w:pPr>
              <w:tabs>
                <w:tab w:val="center" w:pos="2278"/>
                <w:tab w:val="right" w:pos="3989"/>
              </w:tabs>
              <w:suppressAutoHyphens/>
              <w:spacing w:after="0" w:line="240" w:lineRule="auto"/>
              <w:ind w:left="567"/>
              <w:rPr>
                <w:rFonts w:ascii="Arial" w:eastAsia="Times New Roman" w:hAnsi="Arial" w:cs="Arial"/>
                <w:sz w:val="24"/>
                <w:szCs w:val="24"/>
                <w:lang w:eastAsia="ar-SA"/>
              </w:rPr>
            </w:pPr>
          </w:p>
          <w:p w14:paraId="4B8C2476" w14:textId="77777777" w:rsidR="00F41AB9" w:rsidRPr="00D42E2C" w:rsidRDefault="00F41AB9" w:rsidP="00F41AB9">
            <w:pPr>
              <w:tabs>
                <w:tab w:val="center" w:pos="2278"/>
                <w:tab w:val="right" w:pos="3989"/>
              </w:tabs>
              <w:suppressAutoHyphens/>
              <w:spacing w:after="0" w:line="240" w:lineRule="auto"/>
              <w:ind w:left="567"/>
              <w:jc w:val="center"/>
              <w:rPr>
                <w:rFonts w:ascii="Arial" w:eastAsia="Times New Roman" w:hAnsi="Arial" w:cs="Arial"/>
                <w:b/>
                <w:sz w:val="24"/>
                <w:szCs w:val="24"/>
                <w:shd w:val="clear" w:color="auto" w:fill="FFFF00"/>
                <w:lang w:eastAsia="ar-SA"/>
              </w:rPr>
            </w:pPr>
          </w:p>
          <w:p w14:paraId="4B8C2478" w14:textId="77777777" w:rsidR="00F41AB9" w:rsidRPr="00D42E2C" w:rsidRDefault="00F41AB9" w:rsidP="00F41AB9">
            <w:pPr>
              <w:tabs>
                <w:tab w:val="center" w:pos="2278"/>
                <w:tab w:val="right" w:pos="3989"/>
              </w:tabs>
              <w:suppressAutoHyphens/>
              <w:spacing w:after="0" w:line="240" w:lineRule="auto"/>
              <w:ind w:left="567"/>
              <w:jc w:val="center"/>
              <w:rPr>
                <w:rFonts w:ascii="Arial" w:eastAsia="Times New Roman" w:hAnsi="Arial" w:cs="Arial"/>
                <w:b/>
                <w:sz w:val="24"/>
                <w:szCs w:val="24"/>
                <w:lang w:eastAsia="ar-SA"/>
              </w:rPr>
            </w:pPr>
          </w:p>
        </w:tc>
        <w:tc>
          <w:tcPr>
            <w:tcW w:w="4515" w:type="dxa"/>
            <w:shd w:val="clear" w:color="auto" w:fill="auto"/>
          </w:tcPr>
          <w:p w14:paraId="4B8C247B" w14:textId="3230700A" w:rsidR="00F41AB9" w:rsidRPr="006139F5"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p>
        </w:tc>
      </w:tr>
    </w:tbl>
    <w:p w14:paraId="798CB731" w14:textId="77777777" w:rsidR="00E75353" w:rsidRPr="006139F5" w:rsidRDefault="00E75353" w:rsidP="00E75353">
      <w:pPr>
        <w:suppressAutoHyphens/>
        <w:spacing w:after="0" w:line="240" w:lineRule="auto"/>
        <w:rPr>
          <w:rFonts w:ascii="Arial" w:hAnsi="Arial" w:cs="Arial"/>
          <w:sz w:val="24"/>
          <w:szCs w:val="24"/>
        </w:rPr>
      </w:pPr>
    </w:p>
    <w:sectPr w:rsidR="00E75353" w:rsidRPr="006139F5" w:rsidSect="00BD192C">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B344C" w14:textId="77777777" w:rsidR="00D708A0" w:rsidRDefault="00D708A0" w:rsidP="00F41AB9">
      <w:pPr>
        <w:spacing w:after="0" w:line="240" w:lineRule="auto"/>
      </w:pPr>
      <w:r>
        <w:separator/>
      </w:r>
    </w:p>
  </w:endnote>
  <w:endnote w:type="continuationSeparator" w:id="0">
    <w:p w14:paraId="5ECC3C47" w14:textId="77777777" w:rsidR="00D708A0" w:rsidRDefault="00D708A0" w:rsidP="00F41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849041"/>
      <w:docPartObj>
        <w:docPartGallery w:val="Page Numbers (Bottom of Page)"/>
        <w:docPartUnique/>
      </w:docPartObj>
    </w:sdtPr>
    <w:sdtEndPr/>
    <w:sdtContent>
      <w:p w14:paraId="4B8C2487" w14:textId="77777777" w:rsidR="00BD192C" w:rsidRDefault="0057498C">
        <w:pPr>
          <w:pStyle w:val="Piedepgina"/>
          <w:jc w:val="right"/>
        </w:pPr>
        <w:r>
          <w:fldChar w:fldCharType="begin"/>
        </w:r>
        <w:r w:rsidR="00BD192C">
          <w:instrText>PAGE   \* MERGEFORMAT</w:instrText>
        </w:r>
        <w:r>
          <w:fldChar w:fldCharType="separate"/>
        </w:r>
        <w:r w:rsidR="001A42A9" w:rsidRPr="001A42A9">
          <w:rPr>
            <w:noProof/>
            <w:lang w:val="es-ES"/>
          </w:rPr>
          <w:t>9</w:t>
        </w:r>
        <w:r>
          <w:fldChar w:fldCharType="end"/>
        </w:r>
      </w:p>
    </w:sdtContent>
  </w:sdt>
  <w:p w14:paraId="4B8C2488" w14:textId="77777777" w:rsidR="00F41AB9" w:rsidRDefault="00F41A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484326"/>
      <w:docPartObj>
        <w:docPartGallery w:val="Page Numbers (Bottom of Page)"/>
        <w:docPartUnique/>
      </w:docPartObj>
    </w:sdtPr>
    <w:sdtEndPr/>
    <w:sdtContent>
      <w:p w14:paraId="4B8C248B" w14:textId="77777777" w:rsidR="00BD192C" w:rsidRDefault="0057498C">
        <w:pPr>
          <w:pStyle w:val="Piedepgina"/>
          <w:jc w:val="right"/>
        </w:pPr>
        <w:r>
          <w:fldChar w:fldCharType="begin"/>
        </w:r>
        <w:r w:rsidR="00BD192C">
          <w:instrText>PAGE   \* MERGEFORMAT</w:instrText>
        </w:r>
        <w:r>
          <w:fldChar w:fldCharType="separate"/>
        </w:r>
        <w:r w:rsidR="00EF5DC1" w:rsidRPr="00EF5DC1">
          <w:rPr>
            <w:noProof/>
            <w:lang w:val="es-ES"/>
          </w:rPr>
          <w:t>1</w:t>
        </w:r>
        <w:r>
          <w:fldChar w:fldCharType="end"/>
        </w:r>
      </w:p>
    </w:sdtContent>
  </w:sdt>
  <w:p w14:paraId="4B8C248C" w14:textId="77777777" w:rsidR="000716E0" w:rsidRPr="00BA6337" w:rsidRDefault="000716E0" w:rsidP="000716E0">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4B8C248D" w14:textId="77777777" w:rsidR="000716E0" w:rsidRPr="00BA6337" w:rsidRDefault="000716E0" w:rsidP="000716E0">
    <w:pPr>
      <w:pStyle w:val="Piedepgina"/>
      <w:jc w:val="center"/>
      <w:rPr>
        <w:rFonts w:ascii="Arial" w:hAnsi="Arial" w:cs="Arial"/>
        <w:b/>
        <w:sz w:val="16"/>
      </w:rPr>
    </w:pPr>
    <w:r w:rsidRPr="00BA6337">
      <w:rPr>
        <w:rFonts w:ascii="Arial" w:hAnsi="Arial" w:cs="Arial"/>
        <w:b/>
        <w:sz w:val="16"/>
      </w:rPr>
      <w:t xml:space="preserve">        Archivo Oficial</w:t>
    </w:r>
  </w:p>
  <w:p w14:paraId="4B8C248E" w14:textId="77777777" w:rsidR="000716E0" w:rsidRPr="00BA6337" w:rsidRDefault="000716E0" w:rsidP="000716E0">
    <w:pPr>
      <w:pStyle w:val="Piedepgina"/>
      <w:jc w:val="center"/>
      <w:rPr>
        <w:rFonts w:ascii="Arial" w:hAnsi="Arial" w:cs="Arial"/>
        <w:b/>
        <w:i/>
        <w:sz w:val="16"/>
        <w:lang w:val="es-ES"/>
      </w:rPr>
    </w:pPr>
    <w:r w:rsidRPr="00BA6337">
      <w:rPr>
        <w:rFonts w:ascii="Arial" w:hAnsi="Arial" w:cs="Arial"/>
        <w:sz w:val="16"/>
      </w:rPr>
      <w:t xml:space="preserve">      </w:t>
    </w:r>
    <w:r w:rsidRPr="00405F51">
      <w:rPr>
        <w:rFonts w:ascii="Arial" w:hAnsi="Arial" w:cs="Arial"/>
        <w:sz w:val="16"/>
        <w:lang w:val="es-PY"/>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36EBB" w14:textId="77777777" w:rsidR="00D708A0" w:rsidRDefault="00D708A0" w:rsidP="00F41AB9">
      <w:pPr>
        <w:spacing w:after="0" w:line="240" w:lineRule="auto"/>
      </w:pPr>
      <w:r>
        <w:separator/>
      </w:r>
    </w:p>
  </w:footnote>
  <w:footnote w:type="continuationSeparator" w:id="0">
    <w:p w14:paraId="1993AFEF" w14:textId="77777777" w:rsidR="00D708A0" w:rsidRDefault="00D708A0" w:rsidP="00F41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2486" w14:textId="77777777" w:rsidR="000716E0" w:rsidRDefault="000716E0">
    <w:pPr>
      <w:pStyle w:val="Encabezado"/>
    </w:pPr>
    <w:r>
      <w:rPr>
        <w:noProof/>
        <w:lang w:val="es-AR" w:eastAsia="es-AR"/>
      </w:rPr>
      <w:drawing>
        <wp:anchor distT="0" distB="0" distL="114300" distR="114300" simplePos="0" relativeHeight="251661312" behindDoc="1" locked="0" layoutInCell="0" allowOverlap="1" wp14:anchorId="4B8C248F" wp14:editId="4B8C2490">
          <wp:simplePos x="0" y="0"/>
          <wp:positionH relativeFrom="margin">
            <wp:align>left</wp:align>
          </wp:positionH>
          <wp:positionV relativeFrom="margin">
            <wp:posOffset>1849120</wp:posOffset>
          </wp:positionV>
          <wp:extent cx="5886450" cy="3940175"/>
          <wp:effectExtent l="0" t="0" r="0" b="3175"/>
          <wp:wrapNone/>
          <wp:docPr id="2" name="Imagen 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2489" w14:textId="77777777" w:rsidR="0026550E" w:rsidRPr="0026550E" w:rsidRDefault="0026550E" w:rsidP="0026550E">
    <w:pPr>
      <w:suppressLineNumbers/>
      <w:tabs>
        <w:tab w:val="left" w:pos="2610"/>
        <w:tab w:val="center" w:pos="4252"/>
        <w:tab w:val="right" w:pos="8504"/>
      </w:tabs>
      <w:suppressAutoHyphens/>
      <w:spacing w:after="0" w:line="240" w:lineRule="auto"/>
      <w:rPr>
        <w:rFonts w:ascii="Arial" w:eastAsia="Times New Roman" w:hAnsi="Arial" w:cs="Times New Roman"/>
        <w:sz w:val="24"/>
        <w:szCs w:val="20"/>
        <w:lang w:eastAsia="ar-SA"/>
      </w:rPr>
    </w:pPr>
    <w:r w:rsidRPr="0026550E">
      <w:rPr>
        <w:rFonts w:ascii="Arial" w:eastAsia="Times New Roman" w:hAnsi="Arial" w:cs="Times New Roman"/>
        <w:noProof/>
        <w:sz w:val="24"/>
        <w:szCs w:val="20"/>
        <w:lang w:val="es-AR" w:eastAsia="es-AR"/>
      </w:rPr>
      <w:drawing>
        <wp:inline distT="0" distB="0" distL="0" distR="0" wp14:anchorId="4B8C2491" wp14:editId="4B8C2492">
          <wp:extent cx="1200785" cy="8959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895985"/>
                  </a:xfrm>
                  <a:prstGeom prst="rect">
                    <a:avLst/>
                  </a:prstGeom>
                  <a:noFill/>
                </pic:spPr>
              </pic:pic>
            </a:graphicData>
          </a:graphic>
        </wp:inline>
      </w:drawing>
    </w:r>
    <w:r w:rsidRPr="0026550E">
      <w:rPr>
        <w:rFonts w:ascii="Arial" w:eastAsia="Times New Roman" w:hAnsi="Arial" w:cs="Times New Roman"/>
        <w:sz w:val="24"/>
        <w:szCs w:val="20"/>
        <w:lang w:eastAsia="ar-SA"/>
      </w:rPr>
      <w:tab/>
    </w:r>
    <w:r w:rsidRPr="0026550E">
      <w:rPr>
        <w:rFonts w:ascii="Arial" w:eastAsia="Times New Roman" w:hAnsi="Arial" w:cs="Times New Roman"/>
        <w:sz w:val="24"/>
        <w:szCs w:val="20"/>
        <w:lang w:eastAsia="ar-SA"/>
      </w:rPr>
      <w:tab/>
    </w:r>
    <w:r w:rsidRPr="0026550E">
      <w:rPr>
        <w:rFonts w:ascii="Arial" w:eastAsia="Times New Roman" w:hAnsi="Arial" w:cs="Times New Roman"/>
        <w:sz w:val="24"/>
        <w:szCs w:val="20"/>
        <w:lang w:eastAsia="ar-SA"/>
      </w:rPr>
      <w:tab/>
    </w:r>
    <w:r w:rsidRPr="0026550E">
      <w:rPr>
        <w:rFonts w:ascii="Arial" w:eastAsia="Times New Roman" w:hAnsi="Arial" w:cs="Times New Roman"/>
        <w:noProof/>
        <w:sz w:val="24"/>
        <w:szCs w:val="20"/>
        <w:lang w:val="es-AR" w:eastAsia="es-AR"/>
      </w:rPr>
      <w:drawing>
        <wp:inline distT="0" distB="0" distL="0" distR="0" wp14:anchorId="4B8C2493" wp14:editId="4B8C2494">
          <wp:extent cx="1231265" cy="895985"/>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265" cy="895985"/>
                  </a:xfrm>
                  <a:prstGeom prst="rect">
                    <a:avLst/>
                  </a:prstGeom>
                  <a:noFill/>
                </pic:spPr>
              </pic:pic>
            </a:graphicData>
          </a:graphic>
        </wp:inline>
      </w:drawing>
    </w:r>
  </w:p>
  <w:p w14:paraId="4B8C248A" w14:textId="77777777" w:rsidR="0026550E" w:rsidRDefault="000716E0">
    <w:pPr>
      <w:pStyle w:val="Encabezado"/>
    </w:pPr>
    <w:r>
      <w:rPr>
        <w:noProof/>
        <w:lang w:val="es-AR" w:eastAsia="es-AR"/>
      </w:rPr>
      <w:drawing>
        <wp:anchor distT="0" distB="0" distL="114300" distR="114300" simplePos="0" relativeHeight="251659264" behindDoc="1" locked="0" layoutInCell="0" allowOverlap="1" wp14:anchorId="4B8C2495" wp14:editId="4B8C2496">
          <wp:simplePos x="0" y="0"/>
          <wp:positionH relativeFrom="margin">
            <wp:align>right</wp:align>
          </wp:positionH>
          <wp:positionV relativeFrom="margin">
            <wp:align>center</wp:align>
          </wp:positionV>
          <wp:extent cx="5886450" cy="3940175"/>
          <wp:effectExtent l="0" t="0" r="0" b="317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33"/>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1283" w:hanging="432"/>
      </w:pPr>
      <w:rPr>
        <w: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28700865"/>
    <w:multiLevelType w:val="hybridMultilevel"/>
    <w:tmpl w:val="D9F89730"/>
    <w:lvl w:ilvl="0" w:tplc="04090001">
      <w:start w:val="1"/>
      <w:numFmt w:val="bullet"/>
      <w:lvlText w:val=""/>
      <w:lvlJc w:val="left"/>
      <w:pPr>
        <w:ind w:left="720" w:hanging="360"/>
      </w:pPr>
      <w:rPr>
        <w:rFonts w:ascii="Symbol" w:hAnsi="Symbol" w:hint="default"/>
      </w:rPr>
    </w:lvl>
    <w:lvl w:ilvl="1" w:tplc="B288B92A">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CE2CA9"/>
    <w:multiLevelType w:val="hybridMultilevel"/>
    <w:tmpl w:val="2E388AC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5D513B44"/>
    <w:multiLevelType w:val="hybridMultilevel"/>
    <w:tmpl w:val="C89232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5F371A6E"/>
    <w:multiLevelType w:val="hybridMultilevel"/>
    <w:tmpl w:val="1850F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AC72EE"/>
    <w:multiLevelType w:val="multilevel"/>
    <w:tmpl w:val="E086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AB9"/>
    <w:rsid w:val="0000104C"/>
    <w:rsid w:val="000219DC"/>
    <w:rsid w:val="00033CDD"/>
    <w:rsid w:val="00040123"/>
    <w:rsid w:val="00062295"/>
    <w:rsid w:val="000716E0"/>
    <w:rsid w:val="00076867"/>
    <w:rsid w:val="0008744D"/>
    <w:rsid w:val="000B4F90"/>
    <w:rsid w:val="000B7B7C"/>
    <w:rsid w:val="000C7A08"/>
    <w:rsid w:val="000F3757"/>
    <w:rsid w:val="00120A6F"/>
    <w:rsid w:val="00156E80"/>
    <w:rsid w:val="00162865"/>
    <w:rsid w:val="00166267"/>
    <w:rsid w:val="001A42A9"/>
    <w:rsid w:val="001B2E39"/>
    <w:rsid w:val="001C3FBE"/>
    <w:rsid w:val="001E7A41"/>
    <w:rsid w:val="001F6ACE"/>
    <w:rsid w:val="00203ED3"/>
    <w:rsid w:val="00216541"/>
    <w:rsid w:val="0024163C"/>
    <w:rsid w:val="00242A54"/>
    <w:rsid w:val="002455E6"/>
    <w:rsid w:val="0026335C"/>
    <w:rsid w:val="0026550E"/>
    <w:rsid w:val="00295DFC"/>
    <w:rsid w:val="002B7A99"/>
    <w:rsid w:val="00352664"/>
    <w:rsid w:val="00362A30"/>
    <w:rsid w:val="00375838"/>
    <w:rsid w:val="00397EB7"/>
    <w:rsid w:val="003A002A"/>
    <w:rsid w:val="003D084C"/>
    <w:rsid w:val="003F4785"/>
    <w:rsid w:val="00405F51"/>
    <w:rsid w:val="00414574"/>
    <w:rsid w:val="0042008C"/>
    <w:rsid w:val="00440743"/>
    <w:rsid w:val="004549B4"/>
    <w:rsid w:val="004800D3"/>
    <w:rsid w:val="004815F1"/>
    <w:rsid w:val="00490CAA"/>
    <w:rsid w:val="004D27D7"/>
    <w:rsid w:val="00506263"/>
    <w:rsid w:val="005310FA"/>
    <w:rsid w:val="005553C4"/>
    <w:rsid w:val="00563625"/>
    <w:rsid w:val="005665B1"/>
    <w:rsid w:val="00570638"/>
    <w:rsid w:val="0057498C"/>
    <w:rsid w:val="00581130"/>
    <w:rsid w:val="005A1ED7"/>
    <w:rsid w:val="005C6EC8"/>
    <w:rsid w:val="005D35D4"/>
    <w:rsid w:val="005D387A"/>
    <w:rsid w:val="00601BE7"/>
    <w:rsid w:val="00602DBD"/>
    <w:rsid w:val="00610B06"/>
    <w:rsid w:val="006115BF"/>
    <w:rsid w:val="006139F5"/>
    <w:rsid w:val="00614D23"/>
    <w:rsid w:val="00621425"/>
    <w:rsid w:val="00646115"/>
    <w:rsid w:val="006708C0"/>
    <w:rsid w:val="006770FC"/>
    <w:rsid w:val="00677C0D"/>
    <w:rsid w:val="006808DB"/>
    <w:rsid w:val="006815F8"/>
    <w:rsid w:val="00696124"/>
    <w:rsid w:val="006B7993"/>
    <w:rsid w:val="006C50E5"/>
    <w:rsid w:val="006E023D"/>
    <w:rsid w:val="006F673E"/>
    <w:rsid w:val="007027A7"/>
    <w:rsid w:val="00741332"/>
    <w:rsid w:val="00774662"/>
    <w:rsid w:val="00782432"/>
    <w:rsid w:val="007A58D6"/>
    <w:rsid w:val="007E24EF"/>
    <w:rsid w:val="007E768F"/>
    <w:rsid w:val="00840343"/>
    <w:rsid w:val="00861EBC"/>
    <w:rsid w:val="008831B2"/>
    <w:rsid w:val="00887B8F"/>
    <w:rsid w:val="00890193"/>
    <w:rsid w:val="008A2C46"/>
    <w:rsid w:val="008B4722"/>
    <w:rsid w:val="00922279"/>
    <w:rsid w:val="009405D8"/>
    <w:rsid w:val="0094796F"/>
    <w:rsid w:val="00951231"/>
    <w:rsid w:val="00965938"/>
    <w:rsid w:val="00970C6C"/>
    <w:rsid w:val="009717D5"/>
    <w:rsid w:val="00971CEF"/>
    <w:rsid w:val="00975E70"/>
    <w:rsid w:val="00991D8F"/>
    <w:rsid w:val="009C1D96"/>
    <w:rsid w:val="009D1589"/>
    <w:rsid w:val="009D6761"/>
    <w:rsid w:val="00A1204F"/>
    <w:rsid w:val="00A313B0"/>
    <w:rsid w:val="00A40045"/>
    <w:rsid w:val="00A80411"/>
    <w:rsid w:val="00AA67FA"/>
    <w:rsid w:val="00AA7B98"/>
    <w:rsid w:val="00B0465E"/>
    <w:rsid w:val="00B22E7D"/>
    <w:rsid w:val="00B23E02"/>
    <w:rsid w:val="00B46D78"/>
    <w:rsid w:val="00BB3257"/>
    <w:rsid w:val="00BB4FF0"/>
    <w:rsid w:val="00BD192C"/>
    <w:rsid w:val="00BF54E9"/>
    <w:rsid w:val="00C0349F"/>
    <w:rsid w:val="00C13A9F"/>
    <w:rsid w:val="00C205B6"/>
    <w:rsid w:val="00C3127B"/>
    <w:rsid w:val="00C37CDB"/>
    <w:rsid w:val="00C45F1F"/>
    <w:rsid w:val="00C676B4"/>
    <w:rsid w:val="00C85CB7"/>
    <w:rsid w:val="00C93B93"/>
    <w:rsid w:val="00CA0DFB"/>
    <w:rsid w:val="00CE7AA6"/>
    <w:rsid w:val="00CF232A"/>
    <w:rsid w:val="00CF44B1"/>
    <w:rsid w:val="00D42E2C"/>
    <w:rsid w:val="00D51527"/>
    <w:rsid w:val="00D554A6"/>
    <w:rsid w:val="00D61A23"/>
    <w:rsid w:val="00D708A0"/>
    <w:rsid w:val="00D7337B"/>
    <w:rsid w:val="00D86CD1"/>
    <w:rsid w:val="00DA108A"/>
    <w:rsid w:val="00DA47C1"/>
    <w:rsid w:val="00DE592B"/>
    <w:rsid w:val="00DF123B"/>
    <w:rsid w:val="00E07E0C"/>
    <w:rsid w:val="00E165C4"/>
    <w:rsid w:val="00E53D04"/>
    <w:rsid w:val="00E6280E"/>
    <w:rsid w:val="00E645A7"/>
    <w:rsid w:val="00E75353"/>
    <w:rsid w:val="00E83AF6"/>
    <w:rsid w:val="00E86DD9"/>
    <w:rsid w:val="00E872DC"/>
    <w:rsid w:val="00EF5DC1"/>
    <w:rsid w:val="00F23AAE"/>
    <w:rsid w:val="00F2503C"/>
    <w:rsid w:val="00F41AB9"/>
    <w:rsid w:val="00F71B23"/>
    <w:rsid w:val="00F73A2F"/>
    <w:rsid w:val="00F74D2A"/>
    <w:rsid w:val="00F93C27"/>
    <w:rsid w:val="00FA4BD0"/>
    <w:rsid w:val="00FA5183"/>
    <w:rsid w:val="00FD34F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C23CE"/>
  <w15:docId w15:val="{695FF8C0-49EB-45FA-AB34-21A41FE1C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1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1AB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41AB9"/>
  </w:style>
  <w:style w:type="paragraph" w:styleId="Piedepgina">
    <w:name w:val="footer"/>
    <w:basedOn w:val="Normal"/>
    <w:link w:val="PiedepginaCar"/>
    <w:uiPriority w:val="99"/>
    <w:unhideWhenUsed/>
    <w:rsid w:val="00F41AB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41AB9"/>
  </w:style>
  <w:style w:type="paragraph" w:styleId="Textodeglobo">
    <w:name w:val="Balloon Text"/>
    <w:basedOn w:val="Normal"/>
    <w:link w:val="TextodegloboCar"/>
    <w:uiPriority w:val="99"/>
    <w:semiHidden/>
    <w:unhideWhenUsed/>
    <w:rsid w:val="001F6A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ACE"/>
    <w:rPr>
      <w:rFonts w:ascii="Tahoma" w:hAnsi="Tahoma" w:cs="Tahoma"/>
      <w:sz w:val="16"/>
      <w:szCs w:val="16"/>
    </w:rPr>
  </w:style>
  <w:style w:type="paragraph" w:styleId="Prrafodelista">
    <w:name w:val="List Paragraph"/>
    <w:basedOn w:val="Normal"/>
    <w:uiPriority w:val="34"/>
    <w:qFormat/>
    <w:rsid w:val="000F3757"/>
    <w:pPr>
      <w:ind w:left="720"/>
      <w:contextualSpacing/>
    </w:pPr>
  </w:style>
  <w:style w:type="paragraph" w:styleId="NormalWeb">
    <w:name w:val="Normal (Web)"/>
    <w:basedOn w:val="Normal"/>
    <w:uiPriority w:val="99"/>
    <w:unhideWhenUsed/>
    <w:rsid w:val="000219DC"/>
    <w:pPr>
      <w:spacing w:before="100" w:beforeAutospacing="1" w:after="100" w:afterAutospacing="1" w:line="240" w:lineRule="auto"/>
    </w:pPr>
    <w:rPr>
      <w:rFonts w:ascii="Times New Roman" w:eastAsia="Times New Roman" w:hAnsi="Times New Roman" w:cs="Times New Roman"/>
      <w:sz w:val="24"/>
      <w:szCs w:val="24"/>
      <w:lang w:val="es-AR" w:eastAsia="es-ES_tradnl"/>
    </w:rPr>
  </w:style>
  <w:style w:type="paragraph" w:customStyle="1" w:styleId="Default">
    <w:name w:val="Default"/>
    <w:rsid w:val="00951231"/>
    <w:pPr>
      <w:autoSpaceDE w:val="0"/>
      <w:autoSpaceDN w:val="0"/>
      <w:adjustRightInd w:val="0"/>
      <w:spacing w:after="0" w:line="240" w:lineRule="auto"/>
    </w:pPr>
    <w:rPr>
      <w:rFonts w:ascii="Arial" w:hAnsi="Arial" w:cs="Arial"/>
      <w:color w:val="000000"/>
      <w:sz w:val="24"/>
      <w:szCs w:val="24"/>
    </w:rPr>
  </w:style>
  <w:style w:type="paragraph" w:customStyle="1" w:styleId="xxxmsonormal">
    <w:name w:val="x_x_x_msonormal"/>
    <w:basedOn w:val="Normal"/>
    <w:rsid w:val="00774662"/>
    <w:pPr>
      <w:spacing w:before="100" w:beforeAutospacing="1" w:after="100" w:afterAutospacing="1" w:line="240" w:lineRule="auto"/>
    </w:pPr>
    <w:rPr>
      <w:rFonts w:ascii="Times New Roman" w:eastAsia="Times New Roman" w:hAnsi="Times New Roman" w:cs="Times New Roman"/>
      <w:sz w:val="24"/>
      <w:szCs w:val="24"/>
      <w:lang w:val="es-AR" w:eastAsia="es-ES_tradnl"/>
    </w:rPr>
  </w:style>
  <w:style w:type="table" w:styleId="Tablaconcuadrcula">
    <w:name w:val="Table Grid"/>
    <w:basedOn w:val="Tablanormal"/>
    <w:uiPriority w:val="39"/>
    <w:rsid w:val="0061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B2E39"/>
    <w:rPr>
      <w:color w:val="0000FF"/>
      <w:u w:val="single"/>
    </w:rPr>
  </w:style>
  <w:style w:type="character" w:styleId="Mencinsinresolver">
    <w:name w:val="Unresolved Mention"/>
    <w:basedOn w:val="Fuentedeprrafopredeter"/>
    <w:uiPriority w:val="99"/>
    <w:semiHidden/>
    <w:unhideWhenUsed/>
    <w:rsid w:val="001E7A41"/>
    <w:rPr>
      <w:color w:val="605E5C"/>
      <w:shd w:val="clear" w:color="auto" w:fill="E1DFDD"/>
    </w:rPr>
  </w:style>
  <w:style w:type="paragraph" w:styleId="Revisin">
    <w:name w:val="Revision"/>
    <w:hidden/>
    <w:uiPriority w:val="99"/>
    <w:semiHidden/>
    <w:rsid w:val="00BB32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63036">
      <w:bodyDiv w:val="1"/>
      <w:marLeft w:val="0"/>
      <w:marRight w:val="0"/>
      <w:marTop w:val="0"/>
      <w:marBottom w:val="0"/>
      <w:divBdr>
        <w:top w:val="none" w:sz="0" w:space="0" w:color="auto"/>
        <w:left w:val="none" w:sz="0" w:space="0" w:color="auto"/>
        <w:bottom w:val="none" w:sz="0" w:space="0" w:color="auto"/>
        <w:right w:val="none" w:sz="0" w:space="0" w:color="auto"/>
      </w:divBdr>
    </w:div>
    <w:div w:id="206989635">
      <w:bodyDiv w:val="1"/>
      <w:marLeft w:val="0"/>
      <w:marRight w:val="0"/>
      <w:marTop w:val="0"/>
      <w:marBottom w:val="0"/>
      <w:divBdr>
        <w:top w:val="none" w:sz="0" w:space="0" w:color="auto"/>
        <w:left w:val="none" w:sz="0" w:space="0" w:color="auto"/>
        <w:bottom w:val="none" w:sz="0" w:space="0" w:color="auto"/>
        <w:right w:val="none" w:sz="0" w:space="0" w:color="auto"/>
      </w:divBdr>
    </w:div>
    <w:div w:id="302085269">
      <w:bodyDiv w:val="1"/>
      <w:marLeft w:val="0"/>
      <w:marRight w:val="0"/>
      <w:marTop w:val="0"/>
      <w:marBottom w:val="0"/>
      <w:divBdr>
        <w:top w:val="none" w:sz="0" w:space="0" w:color="auto"/>
        <w:left w:val="none" w:sz="0" w:space="0" w:color="auto"/>
        <w:bottom w:val="none" w:sz="0" w:space="0" w:color="auto"/>
        <w:right w:val="none" w:sz="0" w:space="0" w:color="auto"/>
      </w:divBdr>
    </w:div>
    <w:div w:id="361899605">
      <w:bodyDiv w:val="1"/>
      <w:marLeft w:val="0"/>
      <w:marRight w:val="0"/>
      <w:marTop w:val="0"/>
      <w:marBottom w:val="0"/>
      <w:divBdr>
        <w:top w:val="none" w:sz="0" w:space="0" w:color="auto"/>
        <w:left w:val="none" w:sz="0" w:space="0" w:color="auto"/>
        <w:bottom w:val="none" w:sz="0" w:space="0" w:color="auto"/>
        <w:right w:val="none" w:sz="0" w:space="0" w:color="auto"/>
      </w:divBdr>
    </w:div>
    <w:div w:id="383989463">
      <w:bodyDiv w:val="1"/>
      <w:marLeft w:val="0"/>
      <w:marRight w:val="0"/>
      <w:marTop w:val="0"/>
      <w:marBottom w:val="0"/>
      <w:divBdr>
        <w:top w:val="none" w:sz="0" w:space="0" w:color="auto"/>
        <w:left w:val="none" w:sz="0" w:space="0" w:color="auto"/>
        <w:bottom w:val="none" w:sz="0" w:space="0" w:color="auto"/>
        <w:right w:val="none" w:sz="0" w:space="0" w:color="auto"/>
      </w:divBdr>
    </w:div>
    <w:div w:id="439376814">
      <w:bodyDiv w:val="1"/>
      <w:marLeft w:val="0"/>
      <w:marRight w:val="0"/>
      <w:marTop w:val="0"/>
      <w:marBottom w:val="0"/>
      <w:divBdr>
        <w:top w:val="none" w:sz="0" w:space="0" w:color="auto"/>
        <w:left w:val="none" w:sz="0" w:space="0" w:color="auto"/>
        <w:bottom w:val="none" w:sz="0" w:space="0" w:color="auto"/>
        <w:right w:val="none" w:sz="0" w:space="0" w:color="auto"/>
      </w:divBdr>
    </w:div>
    <w:div w:id="485711406">
      <w:bodyDiv w:val="1"/>
      <w:marLeft w:val="0"/>
      <w:marRight w:val="0"/>
      <w:marTop w:val="0"/>
      <w:marBottom w:val="0"/>
      <w:divBdr>
        <w:top w:val="none" w:sz="0" w:space="0" w:color="auto"/>
        <w:left w:val="none" w:sz="0" w:space="0" w:color="auto"/>
        <w:bottom w:val="none" w:sz="0" w:space="0" w:color="auto"/>
        <w:right w:val="none" w:sz="0" w:space="0" w:color="auto"/>
      </w:divBdr>
    </w:div>
    <w:div w:id="560947055">
      <w:bodyDiv w:val="1"/>
      <w:marLeft w:val="0"/>
      <w:marRight w:val="0"/>
      <w:marTop w:val="0"/>
      <w:marBottom w:val="0"/>
      <w:divBdr>
        <w:top w:val="none" w:sz="0" w:space="0" w:color="auto"/>
        <w:left w:val="none" w:sz="0" w:space="0" w:color="auto"/>
        <w:bottom w:val="none" w:sz="0" w:space="0" w:color="auto"/>
        <w:right w:val="none" w:sz="0" w:space="0" w:color="auto"/>
      </w:divBdr>
    </w:div>
    <w:div w:id="589123362">
      <w:bodyDiv w:val="1"/>
      <w:marLeft w:val="0"/>
      <w:marRight w:val="0"/>
      <w:marTop w:val="0"/>
      <w:marBottom w:val="0"/>
      <w:divBdr>
        <w:top w:val="none" w:sz="0" w:space="0" w:color="auto"/>
        <w:left w:val="none" w:sz="0" w:space="0" w:color="auto"/>
        <w:bottom w:val="none" w:sz="0" w:space="0" w:color="auto"/>
        <w:right w:val="none" w:sz="0" w:space="0" w:color="auto"/>
      </w:divBdr>
    </w:div>
    <w:div w:id="716011620">
      <w:bodyDiv w:val="1"/>
      <w:marLeft w:val="0"/>
      <w:marRight w:val="0"/>
      <w:marTop w:val="0"/>
      <w:marBottom w:val="0"/>
      <w:divBdr>
        <w:top w:val="none" w:sz="0" w:space="0" w:color="auto"/>
        <w:left w:val="none" w:sz="0" w:space="0" w:color="auto"/>
        <w:bottom w:val="none" w:sz="0" w:space="0" w:color="auto"/>
        <w:right w:val="none" w:sz="0" w:space="0" w:color="auto"/>
      </w:divBdr>
    </w:div>
    <w:div w:id="776296741">
      <w:bodyDiv w:val="1"/>
      <w:marLeft w:val="0"/>
      <w:marRight w:val="0"/>
      <w:marTop w:val="0"/>
      <w:marBottom w:val="0"/>
      <w:divBdr>
        <w:top w:val="none" w:sz="0" w:space="0" w:color="auto"/>
        <w:left w:val="none" w:sz="0" w:space="0" w:color="auto"/>
        <w:bottom w:val="none" w:sz="0" w:space="0" w:color="auto"/>
        <w:right w:val="none" w:sz="0" w:space="0" w:color="auto"/>
      </w:divBdr>
    </w:div>
    <w:div w:id="845175866">
      <w:bodyDiv w:val="1"/>
      <w:marLeft w:val="0"/>
      <w:marRight w:val="0"/>
      <w:marTop w:val="0"/>
      <w:marBottom w:val="0"/>
      <w:divBdr>
        <w:top w:val="none" w:sz="0" w:space="0" w:color="auto"/>
        <w:left w:val="none" w:sz="0" w:space="0" w:color="auto"/>
        <w:bottom w:val="none" w:sz="0" w:space="0" w:color="auto"/>
        <w:right w:val="none" w:sz="0" w:space="0" w:color="auto"/>
      </w:divBdr>
    </w:div>
    <w:div w:id="877164691">
      <w:bodyDiv w:val="1"/>
      <w:marLeft w:val="0"/>
      <w:marRight w:val="0"/>
      <w:marTop w:val="0"/>
      <w:marBottom w:val="0"/>
      <w:divBdr>
        <w:top w:val="none" w:sz="0" w:space="0" w:color="auto"/>
        <w:left w:val="none" w:sz="0" w:space="0" w:color="auto"/>
        <w:bottom w:val="none" w:sz="0" w:space="0" w:color="auto"/>
        <w:right w:val="none" w:sz="0" w:space="0" w:color="auto"/>
      </w:divBdr>
    </w:div>
    <w:div w:id="915944028">
      <w:bodyDiv w:val="1"/>
      <w:marLeft w:val="0"/>
      <w:marRight w:val="0"/>
      <w:marTop w:val="0"/>
      <w:marBottom w:val="0"/>
      <w:divBdr>
        <w:top w:val="none" w:sz="0" w:space="0" w:color="auto"/>
        <w:left w:val="none" w:sz="0" w:space="0" w:color="auto"/>
        <w:bottom w:val="none" w:sz="0" w:space="0" w:color="auto"/>
        <w:right w:val="none" w:sz="0" w:space="0" w:color="auto"/>
      </w:divBdr>
      <w:divsChild>
        <w:div w:id="82725647">
          <w:marLeft w:val="0"/>
          <w:marRight w:val="0"/>
          <w:marTop w:val="0"/>
          <w:marBottom w:val="0"/>
          <w:divBdr>
            <w:top w:val="none" w:sz="0" w:space="0" w:color="auto"/>
            <w:left w:val="none" w:sz="0" w:space="0" w:color="auto"/>
            <w:bottom w:val="none" w:sz="0" w:space="0" w:color="auto"/>
            <w:right w:val="none" w:sz="0" w:space="0" w:color="auto"/>
          </w:divBdr>
        </w:div>
        <w:div w:id="626350244">
          <w:marLeft w:val="0"/>
          <w:marRight w:val="0"/>
          <w:marTop w:val="0"/>
          <w:marBottom w:val="0"/>
          <w:divBdr>
            <w:top w:val="none" w:sz="0" w:space="0" w:color="auto"/>
            <w:left w:val="none" w:sz="0" w:space="0" w:color="auto"/>
            <w:bottom w:val="none" w:sz="0" w:space="0" w:color="auto"/>
            <w:right w:val="none" w:sz="0" w:space="0" w:color="auto"/>
          </w:divBdr>
        </w:div>
        <w:div w:id="642392938">
          <w:marLeft w:val="0"/>
          <w:marRight w:val="0"/>
          <w:marTop w:val="0"/>
          <w:marBottom w:val="0"/>
          <w:divBdr>
            <w:top w:val="none" w:sz="0" w:space="0" w:color="auto"/>
            <w:left w:val="none" w:sz="0" w:space="0" w:color="auto"/>
            <w:bottom w:val="none" w:sz="0" w:space="0" w:color="auto"/>
            <w:right w:val="none" w:sz="0" w:space="0" w:color="auto"/>
          </w:divBdr>
        </w:div>
        <w:div w:id="1102457806">
          <w:marLeft w:val="0"/>
          <w:marRight w:val="0"/>
          <w:marTop w:val="0"/>
          <w:marBottom w:val="0"/>
          <w:divBdr>
            <w:top w:val="none" w:sz="0" w:space="0" w:color="auto"/>
            <w:left w:val="none" w:sz="0" w:space="0" w:color="auto"/>
            <w:bottom w:val="none" w:sz="0" w:space="0" w:color="auto"/>
            <w:right w:val="none" w:sz="0" w:space="0" w:color="auto"/>
          </w:divBdr>
        </w:div>
        <w:div w:id="1562206066">
          <w:marLeft w:val="0"/>
          <w:marRight w:val="0"/>
          <w:marTop w:val="0"/>
          <w:marBottom w:val="0"/>
          <w:divBdr>
            <w:top w:val="none" w:sz="0" w:space="0" w:color="auto"/>
            <w:left w:val="none" w:sz="0" w:space="0" w:color="auto"/>
            <w:bottom w:val="none" w:sz="0" w:space="0" w:color="auto"/>
            <w:right w:val="none" w:sz="0" w:space="0" w:color="auto"/>
          </w:divBdr>
        </w:div>
      </w:divsChild>
    </w:div>
    <w:div w:id="1012758170">
      <w:bodyDiv w:val="1"/>
      <w:marLeft w:val="0"/>
      <w:marRight w:val="0"/>
      <w:marTop w:val="0"/>
      <w:marBottom w:val="0"/>
      <w:divBdr>
        <w:top w:val="none" w:sz="0" w:space="0" w:color="auto"/>
        <w:left w:val="none" w:sz="0" w:space="0" w:color="auto"/>
        <w:bottom w:val="none" w:sz="0" w:space="0" w:color="auto"/>
        <w:right w:val="none" w:sz="0" w:space="0" w:color="auto"/>
      </w:divBdr>
    </w:div>
    <w:div w:id="1018889210">
      <w:bodyDiv w:val="1"/>
      <w:marLeft w:val="0"/>
      <w:marRight w:val="0"/>
      <w:marTop w:val="0"/>
      <w:marBottom w:val="0"/>
      <w:divBdr>
        <w:top w:val="none" w:sz="0" w:space="0" w:color="auto"/>
        <w:left w:val="none" w:sz="0" w:space="0" w:color="auto"/>
        <w:bottom w:val="none" w:sz="0" w:space="0" w:color="auto"/>
        <w:right w:val="none" w:sz="0" w:space="0" w:color="auto"/>
      </w:divBdr>
    </w:div>
    <w:div w:id="1129974665">
      <w:bodyDiv w:val="1"/>
      <w:marLeft w:val="0"/>
      <w:marRight w:val="0"/>
      <w:marTop w:val="0"/>
      <w:marBottom w:val="0"/>
      <w:divBdr>
        <w:top w:val="none" w:sz="0" w:space="0" w:color="auto"/>
        <w:left w:val="none" w:sz="0" w:space="0" w:color="auto"/>
        <w:bottom w:val="none" w:sz="0" w:space="0" w:color="auto"/>
        <w:right w:val="none" w:sz="0" w:space="0" w:color="auto"/>
      </w:divBdr>
    </w:div>
    <w:div w:id="1364212424">
      <w:bodyDiv w:val="1"/>
      <w:marLeft w:val="0"/>
      <w:marRight w:val="0"/>
      <w:marTop w:val="0"/>
      <w:marBottom w:val="0"/>
      <w:divBdr>
        <w:top w:val="none" w:sz="0" w:space="0" w:color="auto"/>
        <w:left w:val="none" w:sz="0" w:space="0" w:color="auto"/>
        <w:bottom w:val="none" w:sz="0" w:space="0" w:color="auto"/>
        <w:right w:val="none" w:sz="0" w:space="0" w:color="auto"/>
      </w:divBdr>
    </w:div>
    <w:div w:id="1384212611">
      <w:bodyDiv w:val="1"/>
      <w:marLeft w:val="0"/>
      <w:marRight w:val="0"/>
      <w:marTop w:val="0"/>
      <w:marBottom w:val="0"/>
      <w:divBdr>
        <w:top w:val="none" w:sz="0" w:space="0" w:color="auto"/>
        <w:left w:val="none" w:sz="0" w:space="0" w:color="auto"/>
        <w:bottom w:val="none" w:sz="0" w:space="0" w:color="auto"/>
        <w:right w:val="none" w:sz="0" w:space="0" w:color="auto"/>
      </w:divBdr>
    </w:div>
    <w:div w:id="1524248505">
      <w:bodyDiv w:val="1"/>
      <w:marLeft w:val="0"/>
      <w:marRight w:val="0"/>
      <w:marTop w:val="0"/>
      <w:marBottom w:val="0"/>
      <w:divBdr>
        <w:top w:val="none" w:sz="0" w:space="0" w:color="auto"/>
        <w:left w:val="none" w:sz="0" w:space="0" w:color="auto"/>
        <w:bottom w:val="none" w:sz="0" w:space="0" w:color="auto"/>
        <w:right w:val="none" w:sz="0" w:space="0" w:color="auto"/>
      </w:divBdr>
    </w:div>
    <w:div w:id="1667512248">
      <w:bodyDiv w:val="1"/>
      <w:marLeft w:val="0"/>
      <w:marRight w:val="0"/>
      <w:marTop w:val="0"/>
      <w:marBottom w:val="0"/>
      <w:divBdr>
        <w:top w:val="none" w:sz="0" w:space="0" w:color="auto"/>
        <w:left w:val="none" w:sz="0" w:space="0" w:color="auto"/>
        <w:bottom w:val="none" w:sz="0" w:space="0" w:color="auto"/>
        <w:right w:val="none" w:sz="0" w:space="0" w:color="auto"/>
      </w:divBdr>
    </w:div>
    <w:div w:id="1769111043">
      <w:bodyDiv w:val="1"/>
      <w:marLeft w:val="0"/>
      <w:marRight w:val="0"/>
      <w:marTop w:val="0"/>
      <w:marBottom w:val="0"/>
      <w:divBdr>
        <w:top w:val="none" w:sz="0" w:space="0" w:color="auto"/>
        <w:left w:val="none" w:sz="0" w:space="0" w:color="auto"/>
        <w:bottom w:val="none" w:sz="0" w:space="0" w:color="auto"/>
        <w:right w:val="none" w:sz="0" w:space="0" w:color="auto"/>
      </w:divBdr>
    </w:div>
    <w:div w:id="1856070358">
      <w:bodyDiv w:val="1"/>
      <w:marLeft w:val="0"/>
      <w:marRight w:val="0"/>
      <w:marTop w:val="0"/>
      <w:marBottom w:val="0"/>
      <w:divBdr>
        <w:top w:val="none" w:sz="0" w:space="0" w:color="auto"/>
        <w:left w:val="none" w:sz="0" w:space="0" w:color="auto"/>
        <w:bottom w:val="none" w:sz="0" w:space="0" w:color="auto"/>
        <w:right w:val="none" w:sz="0" w:space="0" w:color="auto"/>
      </w:divBdr>
    </w:div>
    <w:div w:id="1887833183">
      <w:bodyDiv w:val="1"/>
      <w:marLeft w:val="0"/>
      <w:marRight w:val="0"/>
      <w:marTop w:val="0"/>
      <w:marBottom w:val="0"/>
      <w:divBdr>
        <w:top w:val="none" w:sz="0" w:space="0" w:color="auto"/>
        <w:left w:val="none" w:sz="0" w:space="0" w:color="auto"/>
        <w:bottom w:val="none" w:sz="0" w:space="0" w:color="auto"/>
        <w:right w:val="none" w:sz="0" w:space="0" w:color="auto"/>
      </w:divBdr>
    </w:div>
    <w:div w:id="1919317015">
      <w:bodyDiv w:val="1"/>
      <w:marLeft w:val="0"/>
      <w:marRight w:val="0"/>
      <w:marTop w:val="0"/>
      <w:marBottom w:val="0"/>
      <w:divBdr>
        <w:top w:val="none" w:sz="0" w:space="0" w:color="auto"/>
        <w:left w:val="none" w:sz="0" w:space="0" w:color="auto"/>
        <w:bottom w:val="none" w:sz="0" w:space="0" w:color="auto"/>
        <w:right w:val="none" w:sz="0" w:space="0" w:color="auto"/>
      </w:divBdr>
    </w:div>
    <w:div w:id="1934821110">
      <w:bodyDiv w:val="1"/>
      <w:marLeft w:val="0"/>
      <w:marRight w:val="0"/>
      <w:marTop w:val="0"/>
      <w:marBottom w:val="0"/>
      <w:divBdr>
        <w:top w:val="none" w:sz="0" w:space="0" w:color="auto"/>
        <w:left w:val="none" w:sz="0" w:space="0" w:color="auto"/>
        <w:bottom w:val="none" w:sz="0" w:space="0" w:color="auto"/>
        <w:right w:val="none" w:sz="0" w:space="0" w:color="auto"/>
      </w:divBdr>
    </w:div>
    <w:div w:id="2040740741">
      <w:bodyDiv w:val="1"/>
      <w:marLeft w:val="0"/>
      <w:marRight w:val="0"/>
      <w:marTop w:val="0"/>
      <w:marBottom w:val="0"/>
      <w:divBdr>
        <w:top w:val="none" w:sz="0" w:space="0" w:color="auto"/>
        <w:left w:val="none" w:sz="0" w:space="0" w:color="auto"/>
        <w:bottom w:val="none" w:sz="0" w:space="0" w:color="auto"/>
        <w:right w:val="none" w:sz="0" w:space="0" w:color="auto"/>
      </w:divBdr>
    </w:div>
    <w:div w:id="2074426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6</Pages>
  <Words>2234</Words>
  <Characters>12293</Characters>
  <Application>Microsoft Office Word</Application>
  <DocSecurity>0</DocSecurity>
  <Lines>102</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Cassia Pires</dc:creator>
  <cp:keywords/>
  <dc:description/>
  <cp:lastModifiedBy>Mario Melgarejo</cp:lastModifiedBy>
  <cp:revision>17</cp:revision>
  <dcterms:created xsi:type="dcterms:W3CDTF">2022-05-10T17:56:00Z</dcterms:created>
  <dcterms:modified xsi:type="dcterms:W3CDTF">2022-06-09T16:42:00Z</dcterms:modified>
</cp:coreProperties>
</file>