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B4C2B" w14:textId="2A702818" w:rsidR="00F70320" w:rsidRPr="00617CA9" w:rsidRDefault="00F70320" w:rsidP="00F70320">
      <w:pPr>
        <w:pStyle w:val="Default"/>
        <w:jc w:val="center"/>
        <w:rPr>
          <w:rFonts w:asciiTheme="minorHAnsi" w:hAnsiTheme="minorHAnsi"/>
        </w:rPr>
      </w:pPr>
    </w:p>
    <w:p w14:paraId="6A15DE34" w14:textId="77777777" w:rsidR="005A1153" w:rsidRDefault="005A1153" w:rsidP="00B809FE">
      <w:pPr>
        <w:pStyle w:val="Default"/>
        <w:jc w:val="both"/>
        <w:rPr>
          <w:b/>
          <w:bCs/>
          <w:lang w:val="pt-BR"/>
        </w:rPr>
      </w:pPr>
    </w:p>
    <w:p w14:paraId="1A35CF30" w14:textId="1CD67366" w:rsidR="005632DB" w:rsidRDefault="00AE16E7" w:rsidP="00B809FE">
      <w:pPr>
        <w:pStyle w:val="Default"/>
        <w:jc w:val="both"/>
        <w:rPr>
          <w:b/>
          <w:bCs/>
          <w:lang w:val="pt-BR"/>
        </w:rPr>
      </w:pPr>
      <w:r>
        <w:rPr>
          <w:b/>
          <w:bCs/>
          <w:lang w:val="pt-BR"/>
        </w:rPr>
        <w:t>MERCOSUL/</w:t>
      </w:r>
      <w:proofErr w:type="spellStart"/>
      <w:r>
        <w:rPr>
          <w:b/>
          <w:bCs/>
          <w:lang w:val="pt-BR"/>
        </w:rPr>
        <w:t>RECyT</w:t>
      </w:r>
      <w:proofErr w:type="spellEnd"/>
      <w:r>
        <w:rPr>
          <w:b/>
          <w:bCs/>
          <w:lang w:val="pt-BR"/>
        </w:rPr>
        <w:t>/</w:t>
      </w:r>
      <w:r w:rsidR="00D95EB3">
        <w:rPr>
          <w:b/>
          <w:bCs/>
          <w:lang w:val="pt-BR"/>
        </w:rPr>
        <w:t>A</w:t>
      </w:r>
      <w:r w:rsidR="0054576B" w:rsidRPr="003B24C5">
        <w:rPr>
          <w:b/>
          <w:bCs/>
          <w:lang w:val="pt-BR"/>
        </w:rPr>
        <w:t>TA Nº 02/21</w:t>
      </w:r>
      <w:r w:rsidR="005632DB" w:rsidRPr="003B24C5">
        <w:rPr>
          <w:b/>
          <w:bCs/>
          <w:lang w:val="pt-BR"/>
        </w:rPr>
        <w:t xml:space="preserve"> </w:t>
      </w:r>
    </w:p>
    <w:p w14:paraId="1D5A1571" w14:textId="77777777" w:rsidR="003B24C5" w:rsidRPr="003B24C5" w:rsidRDefault="003B24C5" w:rsidP="00B809FE">
      <w:pPr>
        <w:pStyle w:val="Default"/>
        <w:jc w:val="both"/>
        <w:rPr>
          <w:b/>
          <w:bCs/>
          <w:lang w:val="pt-BR"/>
        </w:rPr>
      </w:pPr>
    </w:p>
    <w:p w14:paraId="23F561F3" w14:textId="77777777" w:rsidR="005632DB" w:rsidRPr="003B24C5" w:rsidRDefault="005632DB" w:rsidP="00B809FE">
      <w:pPr>
        <w:pStyle w:val="Default"/>
        <w:jc w:val="both"/>
        <w:rPr>
          <w:b/>
          <w:bCs/>
          <w:lang w:val="pt-BR"/>
        </w:rPr>
      </w:pPr>
    </w:p>
    <w:p w14:paraId="17BB6F36" w14:textId="0086A879" w:rsidR="005632DB" w:rsidRPr="003B24C5" w:rsidRDefault="00AE16E7" w:rsidP="0064066B">
      <w:pPr>
        <w:pStyle w:val="Default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 xml:space="preserve">LXIV REUNIÃO </w:t>
      </w:r>
      <w:r w:rsidR="0064066B">
        <w:rPr>
          <w:b/>
          <w:bCs/>
          <w:lang w:val="pt-BR"/>
        </w:rPr>
        <w:t xml:space="preserve">ORDINÁRIA DA REUNIÃO </w:t>
      </w:r>
      <w:r>
        <w:rPr>
          <w:b/>
          <w:bCs/>
          <w:lang w:val="pt-BR"/>
        </w:rPr>
        <w:t>ESPECIALIZADA DE CIÊNCIA E TECNOLOGIA (</w:t>
      </w:r>
      <w:proofErr w:type="spellStart"/>
      <w:r>
        <w:rPr>
          <w:b/>
          <w:bCs/>
          <w:lang w:val="pt-BR"/>
        </w:rPr>
        <w:t>RECyT</w:t>
      </w:r>
      <w:proofErr w:type="spellEnd"/>
      <w:r>
        <w:rPr>
          <w:b/>
          <w:bCs/>
          <w:lang w:val="pt-BR"/>
        </w:rPr>
        <w:t>)</w:t>
      </w:r>
    </w:p>
    <w:p w14:paraId="0CA62C7C" w14:textId="77777777" w:rsidR="005632DB" w:rsidRDefault="005632DB" w:rsidP="00B809FE">
      <w:pPr>
        <w:pStyle w:val="Default"/>
        <w:jc w:val="both"/>
        <w:rPr>
          <w:b/>
          <w:bCs/>
          <w:lang w:val="pt-BR"/>
        </w:rPr>
      </w:pPr>
    </w:p>
    <w:p w14:paraId="5E05378F" w14:textId="77777777" w:rsidR="003B24C5" w:rsidRPr="00914FDE" w:rsidRDefault="003B24C5" w:rsidP="00B809FE">
      <w:pPr>
        <w:pStyle w:val="Default"/>
        <w:jc w:val="both"/>
        <w:rPr>
          <w:bCs/>
          <w:lang w:val="pt-BR"/>
        </w:rPr>
      </w:pPr>
    </w:p>
    <w:p w14:paraId="093150BB" w14:textId="71408B6C" w:rsidR="004317D9" w:rsidRPr="0047435C" w:rsidRDefault="0054576B" w:rsidP="00B809FE">
      <w:pPr>
        <w:pStyle w:val="Default"/>
        <w:tabs>
          <w:tab w:val="left" w:pos="1478"/>
        </w:tabs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 xml:space="preserve">No exercício da Presidência </w:t>
      </w:r>
      <w:r w:rsidRPr="00914FDE">
        <w:rPr>
          <w:bCs/>
          <w:i/>
          <w:lang w:val="pt-BR"/>
        </w:rPr>
        <w:t>Pro Tempore</w:t>
      </w:r>
      <w:r w:rsidR="00AE16E7">
        <w:rPr>
          <w:bCs/>
          <w:lang w:val="pt-BR"/>
        </w:rPr>
        <w:t xml:space="preserve"> do Brasil (PPTB), no dia 28</w:t>
      </w:r>
      <w:r w:rsidRPr="00914FDE">
        <w:rPr>
          <w:bCs/>
          <w:lang w:val="pt-BR"/>
        </w:rPr>
        <w:t xml:space="preserve"> de outubro de 2021, se realizou por meio do sistema de videoconferência, conforme se estabelece na Resolução GMC Nº 19/12 “Reu</w:t>
      </w:r>
      <w:r w:rsidR="00503112" w:rsidRPr="00914FDE">
        <w:rPr>
          <w:bCs/>
          <w:lang w:val="pt-BR"/>
        </w:rPr>
        <w:t>niões pelo sistema de videoconferência</w:t>
      </w:r>
      <w:r w:rsidRPr="00914FDE">
        <w:rPr>
          <w:bCs/>
          <w:lang w:val="pt-BR"/>
        </w:rPr>
        <w:t>”</w:t>
      </w:r>
      <w:r w:rsidR="00F56DEE">
        <w:rPr>
          <w:bCs/>
          <w:lang w:val="pt-BR"/>
        </w:rPr>
        <w:t xml:space="preserve"> a LXIV Reunião </w:t>
      </w:r>
      <w:r w:rsidR="0064066B">
        <w:rPr>
          <w:bCs/>
          <w:lang w:val="pt-BR"/>
        </w:rPr>
        <w:t xml:space="preserve">Ordinária da Reunião </w:t>
      </w:r>
      <w:r w:rsidR="00F56DEE">
        <w:rPr>
          <w:bCs/>
          <w:lang w:val="pt-BR"/>
        </w:rPr>
        <w:t>Especializada de</w:t>
      </w:r>
      <w:r w:rsidRPr="00914FDE">
        <w:rPr>
          <w:bCs/>
          <w:lang w:val="pt-BR"/>
        </w:rPr>
        <w:t xml:space="preserve"> Ciência e Tecnologia</w:t>
      </w:r>
      <w:r w:rsidR="00503112" w:rsidRPr="00914FDE">
        <w:rPr>
          <w:bCs/>
          <w:lang w:val="pt-BR"/>
        </w:rPr>
        <w:t xml:space="preserve"> com a participação das Delegações da Argentina, Brasil, Paraguai e Uruguai.</w:t>
      </w:r>
      <w:r w:rsidR="00617CA9" w:rsidRPr="00914FDE">
        <w:rPr>
          <w:bCs/>
          <w:lang w:val="pt-BR"/>
        </w:rPr>
        <w:t xml:space="preserve"> </w:t>
      </w:r>
    </w:p>
    <w:p w14:paraId="43F2B900" w14:textId="0F7E45F5" w:rsidR="00E11B7F" w:rsidRPr="00914FDE" w:rsidRDefault="00485F60" w:rsidP="00B809FE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 xml:space="preserve">A </w:t>
      </w:r>
      <w:r w:rsidR="00503112" w:rsidRPr="00914FDE">
        <w:rPr>
          <w:bCs/>
          <w:lang w:val="pt-BR"/>
        </w:rPr>
        <w:t>Lista de Participantes consta como</w:t>
      </w:r>
      <w:r w:rsidR="00275D4F">
        <w:rPr>
          <w:bCs/>
          <w:lang w:val="pt-BR"/>
        </w:rPr>
        <w:t xml:space="preserve"> </w:t>
      </w:r>
      <w:r w:rsidR="00896A20">
        <w:rPr>
          <w:b/>
          <w:bCs/>
          <w:lang w:val="pt-BR"/>
        </w:rPr>
        <w:t>Anexo</w:t>
      </w:r>
      <w:r w:rsidR="00896A20" w:rsidRPr="0047435C">
        <w:rPr>
          <w:b/>
          <w:bCs/>
          <w:lang w:val="pt-BR"/>
        </w:rPr>
        <w:t xml:space="preserve"> </w:t>
      </w:r>
      <w:r w:rsidR="00503112" w:rsidRPr="0047435C">
        <w:rPr>
          <w:b/>
          <w:bCs/>
          <w:lang w:val="pt-BR"/>
        </w:rPr>
        <w:t>I</w:t>
      </w:r>
    </w:p>
    <w:p w14:paraId="51B00F23" w14:textId="6383C6C1" w:rsidR="00503112" w:rsidRDefault="00485F60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Cs/>
          <w:lang w:val="pt-BR"/>
        </w:rPr>
        <w:t xml:space="preserve">A </w:t>
      </w:r>
      <w:r w:rsidR="00503112" w:rsidRPr="00914FDE">
        <w:rPr>
          <w:bCs/>
          <w:lang w:val="pt-BR"/>
        </w:rPr>
        <w:t xml:space="preserve">Pauta consta como </w:t>
      </w:r>
      <w:r w:rsidR="00896A20">
        <w:rPr>
          <w:b/>
          <w:bCs/>
          <w:lang w:val="pt-BR"/>
        </w:rPr>
        <w:t>Anexo</w:t>
      </w:r>
      <w:r w:rsidR="00896A20" w:rsidRPr="0047435C">
        <w:rPr>
          <w:b/>
          <w:bCs/>
          <w:lang w:val="pt-BR"/>
        </w:rPr>
        <w:t xml:space="preserve"> </w:t>
      </w:r>
      <w:r w:rsidR="00503112" w:rsidRPr="0047435C">
        <w:rPr>
          <w:b/>
          <w:bCs/>
          <w:lang w:val="pt-BR"/>
        </w:rPr>
        <w:t>II</w:t>
      </w:r>
    </w:p>
    <w:p w14:paraId="1F375C56" w14:textId="6A97CBBD" w:rsidR="00AE16E7" w:rsidRPr="00914FDE" w:rsidRDefault="00AE16E7" w:rsidP="00B809FE">
      <w:pPr>
        <w:pStyle w:val="Default"/>
        <w:spacing w:after="240"/>
        <w:jc w:val="both"/>
        <w:rPr>
          <w:bCs/>
          <w:lang w:val="pt-BR"/>
        </w:rPr>
      </w:pPr>
      <w:r w:rsidRPr="00AE16E7">
        <w:rPr>
          <w:bCs/>
          <w:lang w:val="pt-BR"/>
        </w:rPr>
        <w:t>O Resumo da Ata como</w:t>
      </w:r>
      <w:r>
        <w:rPr>
          <w:b/>
          <w:bCs/>
          <w:lang w:val="pt-BR"/>
        </w:rPr>
        <w:t xml:space="preserve"> </w:t>
      </w:r>
      <w:r w:rsidR="00896A20">
        <w:rPr>
          <w:b/>
          <w:bCs/>
          <w:lang w:val="pt-BR"/>
        </w:rPr>
        <w:t>Anexo</w:t>
      </w:r>
      <w:r w:rsidR="00896A20" w:rsidRPr="0047435C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>III</w:t>
      </w:r>
    </w:p>
    <w:p w14:paraId="00DD5B00" w14:textId="77777777" w:rsidR="002314B7" w:rsidRDefault="002314B7" w:rsidP="00B809FE">
      <w:pPr>
        <w:pStyle w:val="Default"/>
        <w:spacing w:after="240"/>
        <w:jc w:val="both"/>
        <w:rPr>
          <w:bCs/>
          <w:lang w:val="pt-BR"/>
        </w:rPr>
      </w:pPr>
    </w:p>
    <w:p w14:paraId="7287963E" w14:textId="6F2F33A6" w:rsidR="00F8137F" w:rsidRPr="00914FDE" w:rsidRDefault="00F8137F" w:rsidP="00B809FE">
      <w:pPr>
        <w:pStyle w:val="Default"/>
        <w:spacing w:after="240"/>
        <w:jc w:val="both"/>
        <w:rPr>
          <w:bCs/>
          <w:lang w:val="pt-BR"/>
        </w:rPr>
      </w:pPr>
      <w:r w:rsidRPr="00914FDE">
        <w:rPr>
          <w:bCs/>
          <w:lang w:val="pt-BR"/>
        </w:rPr>
        <w:t>Foram tratados os seguintes temas:</w:t>
      </w:r>
    </w:p>
    <w:p w14:paraId="569BBE9C" w14:textId="77777777" w:rsidR="003B24C5" w:rsidRPr="00B91E74" w:rsidRDefault="003B24C5" w:rsidP="00B809FE">
      <w:pPr>
        <w:pStyle w:val="Default"/>
        <w:spacing w:after="240"/>
        <w:jc w:val="both"/>
        <w:rPr>
          <w:bCs/>
          <w:lang w:val="pt-BR"/>
        </w:rPr>
      </w:pPr>
    </w:p>
    <w:p w14:paraId="2FEC4AB4" w14:textId="4FA10734" w:rsidR="00F8137F" w:rsidRPr="003B24C5" w:rsidRDefault="002314B7" w:rsidP="00A53C28">
      <w:pPr>
        <w:pStyle w:val="Default"/>
        <w:numPr>
          <w:ilvl w:val="0"/>
          <w:numId w:val="19"/>
        </w:numPr>
        <w:spacing w:after="240"/>
        <w:ind w:left="284" w:hanging="284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  </w:t>
      </w:r>
      <w:r>
        <w:rPr>
          <w:b/>
          <w:bCs/>
          <w:lang w:val="pt-BR"/>
        </w:rPr>
        <w:tab/>
      </w:r>
      <w:r w:rsidR="005E6808" w:rsidRPr="003B24C5">
        <w:rPr>
          <w:b/>
          <w:bCs/>
          <w:lang w:val="pt-BR"/>
        </w:rPr>
        <w:t>ABERTURA E APROVAÇÃO DA PAUTA</w:t>
      </w:r>
    </w:p>
    <w:p w14:paraId="16FAA1AD" w14:textId="6A31E17E" w:rsidR="00F8137F" w:rsidRDefault="009A0613" w:rsidP="00B809FE">
      <w:pPr>
        <w:pStyle w:val="Default"/>
        <w:spacing w:after="240"/>
        <w:jc w:val="both"/>
        <w:rPr>
          <w:bCs/>
          <w:lang w:val="pt-BR"/>
        </w:rPr>
      </w:pPr>
      <w:r w:rsidRPr="0047435C">
        <w:rPr>
          <w:bCs/>
          <w:lang w:val="pt-BR"/>
        </w:rPr>
        <w:t>A Delegação do B</w:t>
      </w:r>
      <w:r w:rsidR="00F8137F" w:rsidRPr="0047435C">
        <w:rPr>
          <w:bCs/>
          <w:lang w:val="pt-BR"/>
        </w:rPr>
        <w:t xml:space="preserve">rasil na qualidade da Presidência </w:t>
      </w:r>
      <w:r w:rsidR="00F8137F" w:rsidRPr="0047435C">
        <w:rPr>
          <w:bCs/>
          <w:i/>
          <w:lang w:val="pt-BR"/>
        </w:rPr>
        <w:t>Pro Tempore</w:t>
      </w:r>
      <w:r w:rsidR="00A818EF">
        <w:rPr>
          <w:bCs/>
          <w:lang w:val="pt-BR"/>
        </w:rPr>
        <w:t xml:space="preserve"> </w:t>
      </w:r>
      <w:r w:rsidR="00F8137F" w:rsidRPr="0047435C">
        <w:rPr>
          <w:bCs/>
          <w:lang w:val="pt-BR"/>
        </w:rPr>
        <w:t xml:space="preserve">deu as </w:t>
      </w:r>
      <w:r w:rsidRPr="0047435C">
        <w:rPr>
          <w:bCs/>
          <w:lang w:val="pt-BR"/>
        </w:rPr>
        <w:t>boas-vindas</w:t>
      </w:r>
      <w:r w:rsidR="00F8137F" w:rsidRPr="0047435C">
        <w:rPr>
          <w:bCs/>
          <w:lang w:val="pt-BR"/>
        </w:rPr>
        <w:t xml:space="preserve"> aos demais membros</w:t>
      </w:r>
      <w:r w:rsidR="003B24C5" w:rsidRPr="0047435C">
        <w:rPr>
          <w:bCs/>
          <w:lang w:val="pt-BR"/>
        </w:rPr>
        <w:t>,</w:t>
      </w:r>
      <w:r w:rsidRPr="0047435C">
        <w:rPr>
          <w:bCs/>
          <w:lang w:val="pt-BR"/>
        </w:rPr>
        <w:t xml:space="preserve"> desejando um bom andamento dos trabalhos e colocou em votação a pauta </w:t>
      </w:r>
      <w:r w:rsidR="0061430A">
        <w:rPr>
          <w:bCs/>
          <w:lang w:val="pt-BR"/>
        </w:rPr>
        <w:t>apresentada.</w:t>
      </w:r>
      <w:r w:rsidR="003B24C5" w:rsidRPr="0047435C">
        <w:rPr>
          <w:bCs/>
          <w:lang w:val="pt-BR"/>
        </w:rPr>
        <w:t xml:space="preserve"> </w:t>
      </w:r>
      <w:r w:rsidR="00551EB8">
        <w:rPr>
          <w:bCs/>
          <w:lang w:val="pt-BR"/>
        </w:rPr>
        <w:t>A</w:t>
      </w:r>
      <w:r w:rsidR="003B24C5" w:rsidRPr="0047435C">
        <w:rPr>
          <w:bCs/>
          <w:lang w:val="pt-BR"/>
        </w:rPr>
        <w:t xml:space="preserve"> pauta</w:t>
      </w:r>
      <w:r w:rsidR="00551EB8">
        <w:rPr>
          <w:bCs/>
          <w:lang w:val="pt-BR"/>
        </w:rPr>
        <w:t xml:space="preserve"> foi aprovada</w:t>
      </w:r>
      <w:r w:rsidRPr="0047435C">
        <w:rPr>
          <w:bCs/>
          <w:lang w:val="pt-BR"/>
        </w:rPr>
        <w:t xml:space="preserve"> </w:t>
      </w:r>
      <w:r w:rsidR="00E56EE6">
        <w:rPr>
          <w:bCs/>
          <w:lang w:val="pt-BR"/>
        </w:rPr>
        <w:t xml:space="preserve">e </w:t>
      </w:r>
      <w:r w:rsidRPr="0047435C">
        <w:rPr>
          <w:bCs/>
          <w:lang w:val="pt-BR"/>
        </w:rPr>
        <w:t xml:space="preserve">consta como </w:t>
      </w:r>
      <w:r w:rsidR="00896A20">
        <w:rPr>
          <w:b/>
          <w:bCs/>
          <w:lang w:val="pt-BR"/>
        </w:rPr>
        <w:t>Anexo</w:t>
      </w:r>
      <w:r w:rsidR="00896A20" w:rsidRPr="0047435C">
        <w:rPr>
          <w:b/>
          <w:bCs/>
          <w:lang w:val="pt-BR"/>
        </w:rPr>
        <w:t xml:space="preserve"> </w:t>
      </w:r>
      <w:r w:rsidRPr="00885F0A">
        <w:rPr>
          <w:b/>
          <w:bCs/>
          <w:lang w:val="pt-BR"/>
        </w:rPr>
        <w:t>II.</w:t>
      </w:r>
    </w:p>
    <w:p w14:paraId="28192BDC" w14:textId="647CDA65" w:rsidR="0047435C" w:rsidRDefault="0047435C" w:rsidP="00B809FE">
      <w:pPr>
        <w:pStyle w:val="Default"/>
        <w:spacing w:after="240"/>
        <w:jc w:val="both"/>
        <w:rPr>
          <w:bCs/>
          <w:lang w:val="pt-BR"/>
        </w:rPr>
      </w:pPr>
    </w:p>
    <w:p w14:paraId="24D34B15" w14:textId="3A364926" w:rsidR="00D35B78" w:rsidRDefault="0064066B" w:rsidP="00B809FE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 xml:space="preserve">2. </w:t>
      </w:r>
      <w:r w:rsidR="002314B7">
        <w:rPr>
          <w:b/>
          <w:bCs/>
          <w:lang w:val="pt-BR"/>
        </w:rPr>
        <w:t xml:space="preserve">  R</w:t>
      </w:r>
      <w:r>
        <w:rPr>
          <w:b/>
          <w:bCs/>
          <w:lang w:val="pt-BR"/>
        </w:rPr>
        <w:t>ELATÓRIO</w:t>
      </w:r>
      <w:r w:rsidR="00D35B78" w:rsidRPr="00D35B78">
        <w:rPr>
          <w:b/>
          <w:bCs/>
          <w:lang w:val="pt-BR"/>
        </w:rPr>
        <w:t xml:space="preserve"> DAS PRINCIPAIS AÇÕES DAS COMIS</w:t>
      </w:r>
      <w:r w:rsidR="00885F0A">
        <w:rPr>
          <w:b/>
          <w:bCs/>
          <w:lang w:val="pt-BR"/>
        </w:rPr>
        <w:t>SÕES E APROVAÇÃO DAS</w:t>
      </w:r>
      <w:r w:rsidR="00D35B78" w:rsidRPr="00D35B78">
        <w:rPr>
          <w:b/>
          <w:bCs/>
          <w:lang w:val="pt-BR"/>
        </w:rPr>
        <w:t xml:space="preserve"> ATAS</w:t>
      </w:r>
    </w:p>
    <w:p w14:paraId="273302A7" w14:textId="4D69EAF1" w:rsidR="00D35B78" w:rsidRPr="00D35B78" w:rsidRDefault="00D35B78" w:rsidP="00A818EF">
      <w:pPr>
        <w:spacing w:after="0" w:line="240" w:lineRule="auto"/>
        <w:ind w:left="708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</w:pPr>
      <w:r w:rsidRPr="00D35B78">
        <w:rPr>
          <w:rFonts w:ascii="Arial" w:hAnsi="Arial" w:cs="Arial"/>
          <w:b/>
          <w:bCs/>
          <w:sz w:val="24"/>
          <w:szCs w:val="24"/>
          <w:lang w:val="pt-BR"/>
        </w:rPr>
        <w:t>2.1.</w:t>
      </w:r>
      <w:r w:rsidRPr="00D35B78"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 xml:space="preserve"> Comissão de Apoio ao Desenvolvimento Científico e Tecnológico – CADCYT</w:t>
      </w:r>
    </w:p>
    <w:p w14:paraId="6AF979E9" w14:textId="77777777" w:rsidR="00D35B78" w:rsidRPr="00D35B78" w:rsidRDefault="00D35B78" w:rsidP="00D35B78">
      <w:pPr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</w:pPr>
    </w:p>
    <w:p w14:paraId="7FC6D727" w14:textId="5B367613" w:rsidR="00D35B78" w:rsidRDefault="00D35B78" w:rsidP="00D35B78">
      <w:pPr>
        <w:jc w:val="both"/>
        <w:rPr>
          <w:rFonts w:ascii="Arial" w:hAnsi="Arial" w:cs="Arial"/>
          <w:b/>
          <w:iCs/>
          <w:sz w:val="24"/>
          <w:szCs w:val="24"/>
          <w:lang w:val="pt-BR"/>
        </w:rPr>
      </w:pPr>
      <w:bookmarkStart w:id="0" w:name="_Hlk86322426"/>
      <w:r w:rsidRPr="00D35B78">
        <w:rPr>
          <w:rFonts w:ascii="Arial" w:hAnsi="Arial" w:cs="Arial"/>
          <w:bCs/>
          <w:iCs/>
          <w:sz w:val="24"/>
          <w:szCs w:val="24"/>
          <w:lang w:val="pt-BR"/>
        </w:rPr>
        <w:lastRenderedPageBreak/>
        <w:t>Os Coordenadores Nacionais</w:t>
      </w:r>
      <w:r>
        <w:rPr>
          <w:rFonts w:ascii="Arial" w:hAnsi="Arial" w:cs="Arial"/>
          <w:bCs/>
          <w:iCs/>
          <w:sz w:val="24"/>
          <w:szCs w:val="24"/>
          <w:lang w:val="pt-BR"/>
        </w:rPr>
        <w:t xml:space="preserve"> da Argentina,</w:t>
      </w:r>
      <w:r w:rsidR="00A53C28">
        <w:rPr>
          <w:rFonts w:ascii="Arial" w:hAnsi="Arial" w:cs="Arial"/>
          <w:bCs/>
          <w:iCs/>
          <w:sz w:val="24"/>
          <w:szCs w:val="24"/>
          <w:lang w:val="pt-BR"/>
        </w:rPr>
        <w:t xml:space="preserve"> B</w:t>
      </w:r>
      <w:r>
        <w:rPr>
          <w:rFonts w:ascii="Arial" w:hAnsi="Arial" w:cs="Arial"/>
          <w:bCs/>
          <w:iCs/>
          <w:sz w:val="24"/>
          <w:szCs w:val="24"/>
          <w:lang w:val="pt-BR"/>
        </w:rPr>
        <w:t>rasil, Paraguai e Uruguai</w:t>
      </w:r>
      <w:r w:rsidRPr="00D35B78">
        <w:rPr>
          <w:rFonts w:ascii="Arial" w:hAnsi="Arial" w:cs="Arial"/>
          <w:bCs/>
          <w:iCs/>
          <w:sz w:val="24"/>
          <w:szCs w:val="24"/>
          <w:lang w:val="pt-BR"/>
        </w:rPr>
        <w:t xml:space="preserve"> aprovaram a Ata N° 02/21 da reunião da </w:t>
      </w:r>
      <w:r w:rsidRPr="00D35B78">
        <w:rPr>
          <w:rFonts w:ascii="Arial" w:eastAsia="Trebuchet MS" w:hAnsi="Arial" w:cs="Arial"/>
          <w:bCs/>
          <w:color w:val="000000"/>
          <w:sz w:val="24"/>
          <w:szCs w:val="24"/>
          <w:lang w:val="pt-BR" w:eastAsia="pt-BR"/>
        </w:rPr>
        <w:t>CADCYT</w:t>
      </w:r>
      <w:r w:rsidRPr="00D35B78">
        <w:rPr>
          <w:rFonts w:ascii="Arial" w:hAnsi="Arial" w:cs="Arial"/>
          <w:bCs/>
          <w:iCs/>
          <w:sz w:val="24"/>
          <w:szCs w:val="24"/>
          <w:lang w:val="pt-BR"/>
        </w:rPr>
        <w:t>, realizada n</w:t>
      </w:r>
      <w:r>
        <w:rPr>
          <w:rFonts w:ascii="Arial" w:hAnsi="Arial" w:cs="Arial"/>
          <w:bCs/>
          <w:sz w:val="24"/>
          <w:szCs w:val="24"/>
          <w:lang w:val="pt-BR"/>
        </w:rPr>
        <w:t xml:space="preserve">o dia 18 de outubro </w:t>
      </w:r>
      <w:r w:rsidRPr="00D35B78">
        <w:rPr>
          <w:rFonts w:ascii="Arial" w:hAnsi="Arial" w:cs="Arial"/>
          <w:bCs/>
          <w:sz w:val="24"/>
          <w:szCs w:val="24"/>
          <w:lang w:val="pt-BR"/>
        </w:rPr>
        <w:t xml:space="preserve">de 2021, </w:t>
      </w:r>
      <w:r w:rsidRPr="00D35B78">
        <w:rPr>
          <w:rFonts w:ascii="Arial" w:hAnsi="Arial" w:cs="Arial"/>
          <w:bCs/>
          <w:iCs/>
          <w:sz w:val="24"/>
          <w:szCs w:val="24"/>
          <w:lang w:val="pt-BR"/>
        </w:rPr>
        <w:t xml:space="preserve">pelo sistema de videoconferência, conforme o estabelecido na Resolução GMC N° 19/12 “Reuniões pelo sistema de videoconferência”. </w:t>
      </w:r>
      <w:bookmarkStart w:id="1" w:name="_Hlk86322513"/>
      <w:r w:rsidR="00B226F8">
        <w:rPr>
          <w:rFonts w:ascii="Arial" w:hAnsi="Arial" w:cs="Arial"/>
          <w:bCs/>
          <w:iCs/>
          <w:sz w:val="24"/>
          <w:szCs w:val="24"/>
          <w:lang w:val="pt-BR"/>
        </w:rPr>
        <w:t>A ATA consta</w:t>
      </w:r>
      <w:r w:rsidRPr="00D35B78">
        <w:rPr>
          <w:rFonts w:ascii="Arial" w:hAnsi="Arial" w:cs="Arial"/>
          <w:bCs/>
          <w:iCs/>
          <w:sz w:val="24"/>
          <w:szCs w:val="24"/>
          <w:lang w:val="pt-BR"/>
        </w:rPr>
        <w:t xml:space="preserve"> no </w:t>
      </w:r>
      <w:r w:rsidR="00896A20" w:rsidRPr="00615D1E">
        <w:rPr>
          <w:rFonts w:ascii="Arial" w:hAnsi="Arial" w:cs="Arial"/>
          <w:b/>
          <w:bCs/>
          <w:iCs/>
          <w:sz w:val="24"/>
          <w:szCs w:val="24"/>
          <w:lang w:val="pt-BR"/>
        </w:rPr>
        <w:t>Anexo</w:t>
      </w:r>
      <w:r w:rsidR="00896A20" w:rsidRPr="0047435C">
        <w:rPr>
          <w:b/>
          <w:bCs/>
          <w:lang w:val="pt-BR"/>
        </w:rPr>
        <w:t xml:space="preserve"> </w:t>
      </w:r>
      <w:r w:rsidR="00AF4215">
        <w:rPr>
          <w:rFonts w:ascii="Arial" w:hAnsi="Arial" w:cs="Arial"/>
          <w:b/>
          <w:iCs/>
          <w:sz w:val="24"/>
          <w:szCs w:val="24"/>
          <w:lang w:val="pt-BR"/>
        </w:rPr>
        <w:t>IV.</w:t>
      </w:r>
    </w:p>
    <w:p w14:paraId="7075AA42" w14:textId="502E414B" w:rsidR="00AF4215" w:rsidRDefault="0054071E" w:rsidP="00D35B7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A Delegação B</w:t>
      </w:r>
      <w:r w:rsidR="00AF4215">
        <w:rPr>
          <w:rFonts w:ascii="Arial" w:hAnsi="Arial" w:cs="Arial"/>
          <w:iCs/>
          <w:sz w:val="24"/>
          <w:szCs w:val="24"/>
          <w:lang w:val="pt-BR"/>
        </w:rPr>
        <w:t>rasileira informou que o Prêmio Mercosul de Ciência e Tecnologia</w:t>
      </w:r>
      <w:r w:rsidR="00866A04">
        <w:rPr>
          <w:rFonts w:ascii="Arial" w:hAnsi="Arial" w:cs="Arial"/>
          <w:iCs/>
          <w:sz w:val="24"/>
          <w:szCs w:val="24"/>
          <w:lang w:val="pt-BR"/>
        </w:rPr>
        <w:t>- Edição 2021,</w:t>
      </w:r>
      <w:r w:rsidR="00AF4215">
        <w:rPr>
          <w:rFonts w:ascii="Arial" w:hAnsi="Arial" w:cs="Arial"/>
          <w:iCs/>
          <w:sz w:val="24"/>
          <w:szCs w:val="24"/>
          <w:lang w:val="pt-BR"/>
        </w:rPr>
        <w:t xml:space="preserve"> será lançado nos próximos dias com o tema, já aprovado por todas as delegações, “Tecnologia </w:t>
      </w:r>
      <w:proofErr w:type="spellStart"/>
      <w:r w:rsidR="00AF4215">
        <w:rPr>
          <w:rFonts w:ascii="Arial" w:hAnsi="Arial" w:cs="Arial"/>
          <w:iCs/>
          <w:sz w:val="24"/>
          <w:szCs w:val="24"/>
          <w:lang w:val="pt-BR"/>
        </w:rPr>
        <w:t>Assistiva</w:t>
      </w:r>
      <w:proofErr w:type="spellEnd"/>
      <w:r w:rsidR="00AF4215">
        <w:rPr>
          <w:rFonts w:ascii="Arial" w:hAnsi="Arial" w:cs="Arial"/>
          <w:iCs/>
          <w:sz w:val="24"/>
          <w:szCs w:val="24"/>
          <w:lang w:val="pt-BR"/>
        </w:rPr>
        <w:t>”.</w:t>
      </w:r>
    </w:p>
    <w:p w14:paraId="307C29D2" w14:textId="3A77D2F9" w:rsidR="00AF4215" w:rsidRDefault="00AF4215" w:rsidP="00D35B7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Informou ainda que apresentou o Projeto da Plataforma Nacional de Infraestrutura de Pesquisa – PNIPE do MCTI, que constitui uma ferramenta para apoiar políticas públicas e agendas de desenvolvimento de Infraestrutura de Pesquisa no País. Pode ser uma ferramenta importante para a criação de uma infraestrutura de pesquisa que seja compartilhada entre os países do bloco.</w:t>
      </w:r>
    </w:p>
    <w:p w14:paraId="6E7BB723" w14:textId="2E736C51" w:rsidR="00AF4215" w:rsidRDefault="00AF4215" w:rsidP="00D35B7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>Apresentou ainda um resumo da Portaria MCTI nº 1.122/2020, alterada pela Portaria MCTI</w:t>
      </w:r>
      <w:r w:rsidR="0054071E">
        <w:rPr>
          <w:rFonts w:ascii="Arial" w:hAnsi="Arial" w:cs="Arial"/>
          <w:iCs/>
          <w:sz w:val="24"/>
          <w:szCs w:val="24"/>
          <w:lang w:val="pt-BR"/>
        </w:rPr>
        <w:t xml:space="preserve"> </w:t>
      </w:r>
      <w:r>
        <w:rPr>
          <w:rFonts w:ascii="Arial" w:hAnsi="Arial" w:cs="Arial"/>
          <w:iCs/>
          <w:sz w:val="24"/>
          <w:szCs w:val="24"/>
          <w:lang w:val="pt-BR"/>
        </w:rPr>
        <w:t>1.329/2020, que definem as áreas de tecnologias prioritárias para projetos de pesquisa, de desenvolvimento e inovações para o período de 2020 a 2023.</w:t>
      </w:r>
    </w:p>
    <w:p w14:paraId="1BEBA827" w14:textId="677453DE" w:rsidR="008A5037" w:rsidRDefault="008A5037" w:rsidP="00D35B7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8A5037">
        <w:rPr>
          <w:rFonts w:ascii="Arial" w:hAnsi="Arial" w:cs="Arial"/>
          <w:iCs/>
          <w:sz w:val="24"/>
          <w:szCs w:val="24"/>
          <w:lang w:val="pt-BR"/>
        </w:rPr>
        <w:t>A Delegação do Paraguai apresentou os resultados do Prêmio de Jornalismo Científico do Mercosul em sua IV Edição sobre o tema “COVID-19</w:t>
      </w:r>
      <w:r>
        <w:rPr>
          <w:rFonts w:ascii="Arial" w:hAnsi="Arial" w:cs="Arial"/>
          <w:iCs/>
          <w:sz w:val="24"/>
          <w:szCs w:val="24"/>
          <w:lang w:val="pt-BR"/>
        </w:rPr>
        <w:t xml:space="preserve">. </w:t>
      </w:r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 próxima Edição do Prêmio deverá ser discutida na próxima reunião da PPT da </w:t>
      </w:r>
      <w:proofErr w:type="spellStart"/>
      <w:r w:rsidRPr="0047435C"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RECyT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.</w:t>
      </w:r>
    </w:p>
    <w:p w14:paraId="4D8FBD64" w14:textId="3A9E93CB" w:rsidR="009C604F" w:rsidRDefault="009C604F" w:rsidP="00D35B78">
      <w:pPr>
        <w:jc w:val="both"/>
        <w:rPr>
          <w:rFonts w:ascii="Arial" w:hAnsi="Arial" w:cs="Arial"/>
          <w:bCs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 xml:space="preserve">A Delegação </w:t>
      </w:r>
      <w:r>
        <w:rPr>
          <w:rFonts w:ascii="Arial" w:hAnsi="Arial" w:cs="Arial"/>
          <w:bCs/>
          <w:iCs/>
          <w:sz w:val="24"/>
          <w:szCs w:val="24"/>
          <w:lang w:val="pt-BR"/>
        </w:rPr>
        <w:t xml:space="preserve">Argentina expressou o interesse em realizar um </w:t>
      </w:r>
      <w:r w:rsidRPr="009C604F">
        <w:rPr>
          <w:rFonts w:ascii="Arial" w:hAnsi="Arial" w:cs="Arial"/>
          <w:bCs/>
          <w:iCs/>
          <w:sz w:val="24"/>
          <w:szCs w:val="24"/>
          <w:lang w:val="pt-BR"/>
        </w:rPr>
        <w:t xml:space="preserve">seminário </w:t>
      </w:r>
      <w:r>
        <w:rPr>
          <w:rFonts w:ascii="Arial" w:hAnsi="Arial" w:cs="Arial"/>
          <w:bCs/>
          <w:iCs/>
          <w:sz w:val="24"/>
          <w:szCs w:val="24"/>
          <w:lang w:val="pt-BR"/>
        </w:rPr>
        <w:t>cujo tema seria a</w:t>
      </w:r>
      <w:r w:rsidRPr="009C604F">
        <w:rPr>
          <w:rFonts w:ascii="Arial" w:hAnsi="Arial" w:cs="Arial"/>
          <w:bCs/>
          <w:iCs/>
          <w:sz w:val="24"/>
          <w:szCs w:val="24"/>
          <w:lang w:val="pt-BR"/>
        </w:rPr>
        <w:t xml:space="preserve"> vigilância epidemiológica em zonas de fronteira</w:t>
      </w:r>
      <w:r>
        <w:rPr>
          <w:rFonts w:ascii="Arial" w:hAnsi="Arial" w:cs="Arial"/>
          <w:bCs/>
          <w:iCs/>
          <w:sz w:val="24"/>
          <w:szCs w:val="24"/>
          <w:lang w:val="pt-BR"/>
        </w:rPr>
        <w:t>.</w:t>
      </w:r>
    </w:p>
    <w:p w14:paraId="6D1FC345" w14:textId="77777777" w:rsidR="009C604F" w:rsidRDefault="009C604F" w:rsidP="00D35B78">
      <w:pPr>
        <w:jc w:val="both"/>
        <w:rPr>
          <w:rFonts w:ascii="Arial" w:hAnsi="Arial" w:cs="Arial"/>
          <w:iCs/>
          <w:sz w:val="24"/>
          <w:szCs w:val="24"/>
          <w:lang w:val="pt-BR"/>
        </w:rPr>
      </w:pPr>
    </w:p>
    <w:p w14:paraId="64F72542" w14:textId="2DB3EF58" w:rsidR="009024F1" w:rsidRDefault="0093187B" w:rsidP="00A23C71">
      <w:pPr>
        <w:ind w:left="708"/>
        <w:jc w:val="both"/>
        <w:rPr>
          <w:rFonts w:ascii="Arial" w:hAnsi="Arial" w:cs="Arial"/>
          <w:b/>
          <w:iCs/>
          <w:sz w:val="24"/>
          <w:szCs w:val="24"/>
          <w:lang w:val="pt-BR"/>
        </w:rPr>
      </w:pPr>
      <w:r w:rsidRPr="0093187B">
        <w:rPr>
          <w:rFonts w:ascii="Arial" w:hAnsi="Arial" w:cs="Arial"/>
          <w:b/>
          <w:iCs/>
          <w:sz w:val="24"/>
          <w:szCs w:val="24"/>
          <w:lang w:val="pt-BR"/>
        </w:rPr>
        <w:t>2.2</w:t>
      </w:r>
      <w:r w:rsidR="00125F7A">
        <w:rPr>
          <w:rFonts w:ascii="Arial" w:hAnsi="Arial" w:cs="Arial"/>
          <w:b/>
          <w:iCs/>
          <w:sz w:val="24"/>
          <w:szCs w:val="24"/>
          <w:lang w:val="pt-BR"/>
        </w:rPr>
        <w:t>.</w:t>
      </w:r>
      <w:r w:rsidRPr="0093187B">
        <w:rPr>
          <w:rFonts w:ascii="Arial" w:hAnsi="Arial" w:cs="Arial"/>
          <w:b/>
          <w:iCs/>
          <w:sz w:val="24"/>
          <w:szCs w:val="24"/>
          <w:lang w:val="pt-BR"/>
        </w:rPr>
        <w:t xml:space="preserve"> Comissão da Sociedade do Conhecimento, Inovação e Tecnologias Emergentes</w:t>
      </w:r>
      <w:r>
        <w:rPr>
          <w:rFonts w:ascii="Arial" w:hAnsi="Arial" w:cs="Arial"/>
          <w:b/>
          <w:iCs/>
          <w:sz w:val="24"/>
          <w:szCs w:val="24"/>
          <w:lang w:val="pt-BR"/>
        </w:rPr>
        <w:t xml:space="preserve"> – CSCITE</w:t>
      </w:r>
    </w:p>
    <w:p w14:paraId="09AA4E33" w14:textId="58ED772A" w:rsidR="00B226F8" w:rsidRDefault="00B226F8" w:rsidP="00B226F8">
      <w:pPr>
        <w:jc w:val="both"/>
        <w:rPr>
          <w:rFonts w:ascii="Arial" w:hAnsi="Arial" w:cs="Arial"/>
          <w:b/>
          <w:iCs/>
          <w:sz w:val="24"/>
          <w:szCs w:val="24"/>
          <w:lang w:val="pt-BR"/>
        </w:rPr>
      </w:pPr>
      <w:r w:rsidRPr="00B226F8">
        <w:rPr>
          <w:rFonts w:ascii="Arial" w:hAnsi="Arial" w:cs="Arial"/>
          <w:bCs/>
          <w:iCs/>
          <w:sz w:val="24"/>
          <w:szCs w:val="24"/>
          <w:lang w:val="pt-BR"/>
        </w:rPr>
        <w:t xml:space="preserve">Os Coordenadores Nacionais </w:t>
      </w:r>
      <w:r>
        <w:rPr>
          <w:rFonts w:ascii="Arial" w:hAnsi="Arial" w:cs="Arial"/>
          <w:bCs/>
          <w:iCs/>
          <w:sz w:val="24"/>
          <w:szCs w:val="24"/>
          <w:lang w:val="pt-BR"/>
        </w:rPr>
        <w:t xml:space="preserve">da Argentina, Brasil, Paraguai e Uruguai </w:t>
      </w:r>
      <w:r w:rsidRPr="00B226F8">
        <w:rPr>
          <w:rFonts w:ascii="Arial" w:hAnsi="Arial" w:cs="Arial"/>
          <w:bCs/>
          <w:iCs/>
          <w:sz w:val="24"/>
          <w:szCs w:val="24"/>
          <w:lang w:val="pt-BR"/>
        </w:rPr>
        <w:t xml:space="preserve">aprovaram a Ata N° 02/21 da reunião da </w:t>
      </w:r>
      <w:r w:rsidRPr="00B226F8">
        <w:rPr>
          <w:rFonts w:ascii="Arial" w:eastAsia="Trebuchet MS" w:hAnsi="Arial" w:cs="Arial"/>
          <w:bCs/>
          <w:color w:val="000000"/>
          <w:sz w:val="24"/>
          <w:szCs w:val="24"/>
          <w:lang w:val="pt-BR" w:eastAsia="pt-BR"/>
        </w:rPr>
        <w:t>CSCITE</w:t>
      </w:r>
      <w:r w:rsidRPr="00B226F8">
        <w:rPr>
          <w:rFonts w:ascii="Arial" w:hAnsi="Arial" w:cs="Arial"/>
          <w:bCs/>
          <w:iCs/>
          <w:sz w:val="24"/>
          <w:szCs w:val="24"/>
          <w:lang w:val="pt-BR"/>
        </w:rPr>
        <w:t>, realizada n</w:t>
      </w:r>
      <w:r>
        <w:rPr>
          <w:rFonts w:ascii="Arial" w:hAnsi="Arial" w:cs="Arial"/>
          <w:bCs/>
          <w:sz w:val="24"/>
          <w:szCs w:val="24"/>
          <w:lang w:val="pt-BR"/>
        </w:rPr>
        <w:t>o dia 22 de outubro de 2021</w:t>
      </w:r>
      <w:r w:rsidRPr="00B226F8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r w:rsidRPr="00B226F8">
        <w:rPr>
          <w:rFonts w:ascii="Arial" w:hAnsi="Arial" w:cs="Arial"/>
          <w:bCs/>
          <w:iCs/>
          <w:sz w:val="24"/>
          <w:szCs w:val="24"/>
          <w:lang w:val="pt-BR"/>
        </w:rPr>
        <w:t xml:space="preserve">pelo sistema de videoconferência, conforme o estabelecido na Resolução GMC N° 19/12 “Reuniões pelo sistema de videoconferência”.  </w:t>
      </w:r>
      <w:r>
        <w:rPr>
          <w:rFonts w:ascii="Arial" w:hAnsi="Arial" w:cs="Arial"/>
          <w:bCs/>
          <w:iCs/>
          <w:sz w:val="24"/>
          <w:szCs w:val="24"/>
          <w:lang w:val="pt-BR"/>
        </w:rPr>
        <w:t>A ATA consta como</w:t>
      </w:r>
      <w:r w:rsidRPr="00B226F8">
        <w:rPr>
          <w:rFonts w:ascii="Arial" w:hAnsi="Arial" w:cs="Arial"/>
          <w:bCs/>
          <w:iCs/>
          <w:sz w:val="24"/>
          <w:szCs w:val="24"/>
          <w:lang w:val="pt-BR"/>
        </w:rPr>
        <w:t xml:space="preserve"> </w:t>
      </w:r>
      <w:r w:rsidR="00896A20" w:rsidRPr="00896A20">
        <w:rPr>
          <w:rFonts w:ascii="Arial" w:hAnsi="Arial" w:cs="Arial"/>
          <w:b/>
          <w:iCs/>
          <w:sz w:val="24"/>
          <w:szCs w:val="24"/>
          <w:lang w:val="pt-BR"/>
        </w:rPr>
        <w:t xml:space="preserve">Anexo </w:t>
      </w:r>
      <w:r>
        <w:rPr>
          <w:rFonts w:ascii="Arial" w:hAnsi="Arial" w:cs="Arial"/>
          <w:b/>
          <w:iCs/>
          <w:sz w:val="24"/>
          <w:szCs w:val="24"/>
          <w:lang w:val="pt-BR"/>
        </w:rPr>
        <w:t>V.</w:t>
      </w:r>
    </w:p>
    <w:p w14:paraId="324BE66A" w14:textId="2048428F" w:rsidR="00866A04" w:rsidRDefault="00866A04" w:rsidP="00B226F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 w:rsidRPr="00866A04">
        <w:rPr>
          <w:rFonts w:ascii="Arial" w:hAnsi="Arial" w:cs="Arial"/>
          <w:iCs/>
          <w:sz w:val="24"/>
          <w:szCs w:val="24"/>
          <w:lang w:val="pt-BR"/>
        </w:rPr>
        <w:t>A Delegação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do Paraguai informou que o </w:t>
      </w:r>
      <w:r>
        <w:rPr>
          <w:rFonts w:ascii="Arial" w:hAnsi="Arial" w:cs="Arial"/>
          <w:i/>
          <w:iCs/>
          <w:sz w:val="24"/>
          <w:szCs w:val="24"/>
          <w:lang w:val="pt-BR"/>
        </w:rPr>
        <w:t xml:space="preserve">webservice </w:t>
      </w:r>
      <w:r>
        <w:rPr>
          <w:rFonts w:ascii="Arial" w:hAnsi="Arial" w:cs="Arial"/>
          <w:iCs/>
          <w:sz w:val="24"/>
          <w:szCs w:val="24"/>
          <w:lang w:val="pt-BR"/>
        </w:rPr>
        <w:t>que permitirá a integração das plataformas de C.V. dos pesquisadores dos países membros do MERCOSUL encontra-se em desenvolvimento, com previsão de conclusão para janeiro de 2022.</w:t>
      </w:r>
    </w:p>
    <w:p w14:paraId="0303BD7B" w14:textId="432EC519" w:rsidR="00866A04" w:rsidRDefault="00866A04" w:rsidP="00B226F8">
      <w:pPr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lastRenderedPageBreak/>
        <w:t>Com relação ao tema de Inteligência Artificial e Ciência de Dados e a importância do i</w:t>
      </w:r>
      <w:r w:rsidR="008B36E6">
        <w:rPr>
          <w:rFonts w:ascii="Arial" w:hAnsi="Arial" w:cs="Arial"/>
          <w:iCs/>
          <w:sz w:val="24"/>
          <w:szCs w:val="24"/>
          <w:lang w:val="pt-BR"/>
        </w:rPr>
        <w:t>ntercâmbio de experiências nesta</w:t>
      </w:r>
      <w:r w:rsidR="0054071E">
        <w:rPr>
          <w:rFonts w:ascii="Arial" w:hAnsi="Arial" w:cs="Arial"/>
          <w:iCs/>
          <w:sz w:val="24"/>
          <w:szCs w:val="24"/>
          <w:lang w:val="pt-BR"/>
        </w:rPr>
        <w:t xml:space="preserve"> área, a D</w:t>
      </w:r>
      <w:r>
        <w:rPr>
          <w:rFonts w:ascii="Arial" w:hAnsi="Arial" w:cs="Arial"/>
          <w:iCs/>
          <w:sz w:val="24"/>
          <w:szCs w:val="24"/>
          <w:lang w:val="pt-BR"/>
        </w:rPr>
        <w:t>elegação da Argentina convidou o professor Gerardo Demarco, Diretor do Centro Internacional de Ciência de Dados da Universidade de Buenos Aires</w:t>
      </w:r>
      <w:r w:rsidR="008B36E6">
        <w:rPr>
          <w:rFonts w:ascii="Arial" w:hAnsi="Arial" w:cs="Arial"/>
          <w:iCs/>
          <w:sz w:val="24"/>
          <w:szCs w:val="24"/>
          <w:lang w:val="pt-BR"/>
        </w:rPr>
        <w:t xml:space="preserve"> que fez um relato sobre as ações de Inteligência Artificial do recém-criado Centro, que tem como missão a articulação com empresas, outros institutos acadêmicos e centros de pesquisa. Ressaltou a importância de se trabalhar </w:t>
      </w:r>
      <w:r w:rsidR="0054071E">
        <w:rPr>
          <w:rFonts w:ascii="Arial" w:hAnsi="Arial" w:cs="Arial"/>
          <w:iCs/>
          <w:sz w:val="24"/>
          <w:szCs w:val="24"/>
          <w:lang w:val="pt-BR"/>
        </w:rPr>
        <w:t>n</w:t>
      </w:r>
      <w:r w:rsidR="008B36E6">
        <w:rPr>
          <w:rFonts w:ascii="Arial" w:hAnsi="Arial" w:cs="Arial"/>
          <w:iCs/>
          <w:sz w:val="24"/>
          <w:szCs w:val="24"/>
          <w:lang w:val="pt-BR"/>
        </w:rPr>
        <w:t>a formação de recursos humanos, carentes nessa área, e do supercomputador TUPAC, uma plataforma de alta tecnologia que dará suporte para ações de assistência no setor acadêmico e fornecimento de habilidades para capacitação por meio da potência computacional.</w:t>
      </w:r>
    </w:p>
    <w:p w14:paraId="156AE3AE" w14:textId="719ACB34" w:rsidR="008B36E6" w:rsidRPr="00866A04" w:rsidRDefault="008B36E6" w:rsidP="00B226F8">
      <w:pPr>
        <w:jc w:val="both"/>
        <w:rPr>
          <w:rFonts w:ascii="Arial" w:hAnsi="Arial" w:cs="Arial"/>
          <w:bCs/>
          <w:iCs/>
          <w:color w:val="FF0000"/>
          <w:sz w:val="24"/>
          <w:szCs w:val="24"/>
          <w:lang w:val="pt-BR"/>
        </w:rPr>
      </w:pPr>
      <w:r>
        <w:rPr>
          <w:rFonts w:ascii="Arial" w:hAnsi="Arial" w:cs="Arial"/>
          <w:iCs/>
          <w:sz w:val="24"/>
          <w:szCs w:val="24"/>
          <w:lang w:val="pt-BR"/>
        </w:rPr>
        <w:t xml:space="preserve">Com relação a proposta de uma </w:t>
      </w:r>
      <w:proofErr w:type="spellStart"/>
      <w:r>
        <w:rPr>
          <w:rFonts w:ascii="Arial" w:hAnsi="Arial" w:cs="Arial"/>
          <w:iCs/>
          <w:sz w:val="24"/>
          <w:szCs w:val="24"/>
          <w:lang w:val="pt-BR"/>
        </w:rPr>
        <w:t>Webinar</w:t>
      </w:r>
      <w:proofErr w:type="spellEnd"/>
      <w:r>
        <w:rPr>
          <w:rFonts w:ascii="Arial" w:hAnsi="Arial" w:cs="Arial"/>
          <w:iCs/>
          <w:sz w:val="24"/>
          <w:szCs w:val="24"/>
          <w:lang w:val="pt-BR"/>
        </w:rPr>
        <w:t xml:space="preserve"> sobre iniciativas de impulso a Startups na área de ciê</w:t>
      </w:r>
      <w:r w:rsidR="0054071E">
        <w:rPr>
          <w:rFonts w:ascii="Arial" w:hAnsi="Arial" w:cs="Arial"/>
          <w:iCs/>
          <w:sz w:val="24"/>
          <w:szCs w:val="24"/>
          <w:lang w:val="pt-BR"/>
        </w:rPr>
        <w:t>ncia, tecnologia e inovação, a D</w:t>
      </w:r>
      <w:r>
        <w:rPr>
          <w:rFonts w:ascii="Arial" w:hAnsi="Arial" w:cs="Arial"/>
          <w:iCs/>
          <w:sz w:val="24"/>
          <w:szCs w:val="24"/>
          <w:lang w:val="pt-BR"/>
        </w:rPr>
        <w:t xml:space="preserve">elegação </w:t>
      </w:r>
      <w:r w:rsidR="0054071E">
        <w:rPr>
          <w:rFonts w:ascii="Arial" w:hAnsi="Arial" w:cs="Arial"/>
          <w:iCs/>
          <w:sz w:val="24"/>
          <w:szCs w:val="24"/>
          <w:lang w:val="pt-BR"/>
        </w:rPr>
        <w:t>do Brasil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propôs a realização de um evento na primeira semana de dezembro</w:t>
      </w:r>
      <w:r w:rsidR="00885F0A">
        <w:rPr>
          <w:rFonts w:ascii="Arial" w:hAnsi="Arial" w:cs="Arial"/>
          <w:iCs/>
          <w:sz w:val="24"/>
          <w:szCs w:val="24"/>
          <w:lang w:val="pt-BR"/>
        </w:rPr>
        <w:t xml:space="preserve"> de 2021,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no sentido de trocar experiências </w:t>
      </w:r>
      <w:r w:rsidR="00EF3EF6">
        <w:rPr>
          <w:rFonts w:ascii="Arial" w:hAnsi="Arial" w:cs="Arial"/>
          <w:iCs/>
          <w:sz w:val="24"/>
          <w:szCs w:val="24"/>
          <w:lang w:val="pt-BR"/>
        </w:rPr>
        <w:t>e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conhecimentos sobre projetos </w:t>
      </w:r>
      <w:r w:rsidR="00EF3EF6">
        <w:rPr>
          <w:rFonts w:ascii="Arial" w:hAnsi="Arial" w:cs="Arial"/>
          <w:iCs/>
          <w:sz w:val="24"/>
          <w:szCs w:val="24"/>
          <w:lang w:val="pt-BR"/>
        </w:rPr>
        <w:t>que vem sendo desenvolvidos nesta área pelos países do bloco.</w:t>
      </w:r>
    </w:p>
    <w:p w14:paraId="779EEE16" w14:textId="0AB62A19" w:rsidR="00125F7A" w:rsidRPr="00885F0A" w:rsidRDefault="00125F7A" w:rsidP="00125F7A">
      <w:pPr>
        <w:contextualSpacing/>
        <w:rPr>
          <w:rFonts w:eastAsia="Calibri" w:cs="Arial"/>
          <w:b/>
          <w:bCs/>
          <w:color w:val="000000"/>
          <w:szCs w:val="24"/>
          <w:lang w:val="pt-BR"/>
        </w:rPr>
      </w:pPr>
      <w:r w:rsidRPr="00885F0A">
        <w:rPr>
          <w:rFonts w:eastAsia="Calibri" w:cs="Arial"/>
          <w:b/>
          <w:bCs/>
          <w:color w:val="000000"/>
          <w:szCs w:val="24"/>
          <w:lang w:val="pt-BR"/>
        </w:rPr>
        <w:tab/>
      </w:r>
    </w:p>
    <w:p w14:paraId="2720B1C9" w14:textId="69138A77" w:rsidR="00125F7A" w:rsidRPr="00125F7A" w:rsidRDefault="00125F7A" w:rsidP="00125F7A">
      <w:pPr>
        <w:spacing w:after="0" w:line="240" w:lineRule="auto"/>
        <w:ind w:left="142" w:firstLine="566"/>
        <w:contextualSpacing/>
        <w:rPr>
          <w:rFonts w:ascii="Arial" w:eastAsia="Calibri" w:hAnsi="Arial" w:cs="Arial"/>
          <w:b/>
          <w:bCs/>
          <w:sz w:val="24"/>
          <w:szCs w:val="24"/>
          <w:lang w:val="pt-BR"/>
        </w:rPr>
      </w:pPr>
      <w:r w:rsidRPr="00125F7A"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>2.3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 xml:space="preserve">. </w:t>
      </w:r>
      <w:r w:rsidRPr="00125F7A"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 xml:space="preserve">Comissão da Plataforma </w:t>
      </w:r>
      <w:proofErr w:type="spellStart"/>
      <w:r w:rsidRPr="00125F7A"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>BiotecSul</w:t>
      </w:r>
      <w:proofErr w:type="spellEnd"/>
      <w:r w:rsidRPr="00125F7A">
        <w:rPr>
          <w:rFonts w:ascii="Arial" w:eastAsia="Calibri" w:hAnsi="Arial" w:cs="Arial"/>
          <w:b/>
          <w:bCs/>
          <w:color w:val="000000"/>
          <w:sz w:val="24"/>
          <w:szCs w:val="24"/>
          <w:lang w:val="pt-BR"/>
        </w:rPr>
        <w:t xml:space="preserve"> - CPB</w:t>
      </w:r>
    </w:p>
    <w:p w14:paraId="2C514629" w14:textId="77777777" w:rsidR="00125F7A" w:rsidRPr="00125F7A" w:rsidRDefault="00125F7A" w:rsidP="00125F7A">
      <w:pPr>
        <w:suppressAutoHyphens/>
        <w:autoSpaceDN w:val="0"/>
        <w:ind w:left="1134" w:hanging="567"/>
        <w:jc w:val="both"/>
        <w:textAlignment w:val="baseline"/>
        <w:rPr>
          <w:rFonts w:ascii="Arial" w:eastAsia="Calibri" w:hAnsi="Arial" w:cs="Arial"/>
          <w:b/>
          <w:bCs/>
          <w:kern w:val="3"/>
          <w:sz w:val="24"/>
          <w:szCs w:val="24"/>
          <w:lang w:val="pt-BR" w:eastAsia="zh-CN"/>
        </w:rPr>
      </w:pPr>
    </w:p>
    <w:p w14:paraId="44FD5A14" w14:textId="3606E2CA" w:rsidR="00125F7A" w:rsidRPr="00125F7A" w:rsidRDefault="00125F7A" w:rsidP="00125F7A">
      <w:pPr>
        <w:jc w:val="both"/>
        <w:rPr>
          <w:rFonts w:ascii="Arial" w:hAnsi="Arial" w:cs="Arial"/>
          <w:bCs/>
          <w:iCs/>
          <w:color w:val="FF0000"/>
          <w:sz w:val="24"/>
          <w:szCs w:val="24"/>
          <w:lang w:val="pt-BR"/>
        </w:rPr>
      </w:pPr>
      <w:r w:rsidRPr="00125F7A">
        <w:rPr>
          <w:rFonts w:ascii="Arial" w:hAnsi="Arial" w:cs="Arial"/>
          <w:bCs/>
          <w:iCs/>
          <w:sz w:val="24"/>
          <w:szCs w:val="24"/>
          <w:lang w:val="pt-BR"/>
        </w:rPr>
        <w:t xml:space="preserve">Os Coordenadores Nacionais aprovaram a Ata N° 02/21 da reunião da </w:t>
      </w:r>
      <w:r w:rsidRPr="00125F7A">
        <w:rPr>
          <w:rFonts w:ascii="Arial" w:eastAsia="Trebuchet MS" w:hAnsi="Arial" w:cs="Arial"/>
          <w:bCs/>
          <w:color w:val="000000"/>
          <w:sz w:val="24"/>
          <w:szCs w:val="24"/>
          <w:lang w:val="pt-BR" w:eastAsia="pt-BR"/>
        </w:rPr>
        <w:t>CPB</w:t>
      </w:r>
      <w:r w:rsidRPr="00125F7A">
        <w:rPr>
          <w:rFonts w:ascii="Arial" w:hAnsi="Arial" w:cs="Arial"/>
          <w:bCs/>
          <w:iCs/>
          <w:sz w:val="24"/>
          <w:szCs w:val="24"/>
          <w:lang w:val="pt-BR"/>
        </w:rPr>
        <w:t>, realizada n</w:t>
      </w:r>
      <w:r>
        <w:rPr>
          <w:rFonts w:ascii="Arial" w:hAnsi="Arial" w:cs="Arial"/>
          <w:bCs/>
          <w:sz w:val="24"/>
          <w:szCs w:val="24"/>
          <w:lang w:val="pt-BR"/>
        </w:rPr>
        <w:t xml:space="preserve">o dia 25 de outubro </w:t>
      </w:r>
      <w:r w:rsidRPr="00125F7A">
        <w:rPr>
          <w:rFonts w:ascii="Arial" w:hAnsi="Arial" w:cs="Arial"/>
          <w:bCs/>
          <w:sz w:val="24"/>
          <w:szCs w:val="24"/>
          <w:lang w:val="pt-BR"/>
        </w:rPr>
        <w:t xml:space="preserve">de 2021, </w:t>
      </w:r>
      <w:r w:rsidRPr="00125F7A">
        <w:rPr>
          <w:rFonts w:ascii="Arial" w:hAnsi="Arial" w:cs="Arial"/>
          <w:bCs/>
          <w:iCs/>
          <w:sz w:val="24"/>
          <w:szCs w:val="24"/>
          <w:lang w:val="pt-BR"/>
        </w:rPr>
        <w:t xml:space="preserve">pelo sistema de videoconferência, conforme o estabelecido na Resolução GMC N° 19/12 “Reuniões pelo sistema de videoconferência”.  </w:t>
      </w:r>
      <w:r>
        <w:rPr>
          <w:rFonts w:ascii="Arial" w:hAnsi="Arial" w:cs="Arial"/>
          <w:bCs/>
          <w:iCs/>
          <w:sz w:val="24"/>
          <w:szCs w:val="24"/>
          <w:lang w:val="pt-BR"/>
        </w:rPr>
        <w:t>A ATA consta como</w:t>
      </w:r>
      <w:r w:rsidRPr="00125F7A">
        <w:rPr>
          <w:rFonts w:ascii="Arial" w:hAnsi="Arial" w:cs="Arial"/>
          <w:bCs/>
          <w:iCs/>
          <w:sz w:val="24"/>
          <w:szCs w:val="24"/>
          <w:lang w:val="pt-BR"/>
        </w:rPr>
        <w:t xml:space="preserve"> </w:t>
      </w:r>
      <w:r w:rsidR="00896A20" w:rsidRPr="00896A20">
        <w:rPr>
          <w:rFonts w:ascii="Arial" w:hAnsi="Arial" w:cs="Arial"/>
          <w:b/>
          <w:bCs/>
          <w:iCs/>
          <w:sz w:val="24"/>
          <w:szCs w:val="24"/>
          <w:lang w:val="pt-BR"/>
        </w:rPr>
        <w:t xml:space="preserve">Anexo </w:t>
      </w:r>
      <w:r>
        <w:rPr>
          <w:rFonts w:ascii="Arial" w:hAnsi="Arial" w:cs="Arial"/>
          <w:b/>
          <w:iCs/>
          <w:sz w:val="24"/>
          <w:szCs w:val="24"/>
          <w:lang w:val="pt-BR"/>
        </w:rPr>
        <w:t>VI</w:t>
      </w:r>
    </w:p>
    <w:p w14:paraId="46757A2C" w14:textId="65DE5E62" w:rsidR="00125F7A" w:rsidRDefault="00885F0A" w:rsidP="001B48FE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</w:pP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A Delegação do</w:t>
      </w:r>
      <w:r w:rsidR="001B48FE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Brasil fez um breve relato sobre a Plataforma Regional de Métodos Alternativos ao Uso de Animais Experimentais (PREMASUL)</w:t>
      </w:r>
      <w:r w:rsidR="00A005A7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. Informou que entre 2016 a 2020 foram ministrados 20 cursos, totalizando 236 alunos beneficiados. Após as restrições em função da pandemia, os cursos voltarão a modalidade presencial e está previsto para ser realizado no primeiro semestre de 2022 o curso com a temática GIVIMP (GUIDANCE DOCUMENT ON GOOD IN VITRO METHODOLOGY).</w:t>
      </w:r>
    </w:p>
    <w:p w14:paraId="3AE1B389" w14:textId="18D2D1F5" w:rsidR="00A005A7" w:rsidRDefault="00E75462" w:rsidP="001B48FE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</w:pP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A D</w:t>
      </w:r>
      <w:r w:rsidR="00A005A7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elegação Argentina relatou sobre as novas perspectivas e a importância sobre a continuidade dos trabalhos de pesquisa que estão sendo viabilizados pelos Projetos </w:t>
      </w:r>
      <w:r w:rsidR="00B403EB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Regionais</w:t>
      </w:r>
      <w:r w:rsidR="00896A20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Integrados financia</w:t>
      </w:r>
      <w:r w:rsid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d</w:t>
      </w:r>
      <w:r w:rsidR="00896A20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os </w:t>
      </w:r>
      <w:r w:rsidR="00B91E74" w:rsidRP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no âmbito de projetos do </w:t>
      </w:r>
      <w:r w:rsid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MERCOSUL</w:t>
      </w:r>
      <w:r w:rsidR="00896A20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-U</w:t>
      </w:r>
      <w:r w:rsid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E</w:t>
      </w:r>
      <w:r w:rsidR="00896A20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</w:t>
      </w:r>
      <w:r w:rsidR="00A005A7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BIOTECH I e II.</w:t>
      </w:r>
    </w:p>
    <w:p w14:paraId="3D8831C5" w14:textId="07F5A4B7" w:rsidR="00B91E74" w:rsidRDefault="00A005A7" w:rsidP="001B48FE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</w:pP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Foi apresentado também pela Delegação Argentina</w:t>
      </w:r>
      <w:r w:rsidR="00885F0A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,</w:t>
      </w: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o Projeto do Centro de Biologia Estrutural (</w:t>
      </w:r>
      <w:proofErr w:type="spellStart"/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CeBEM</w:t>
      </w:r>
      <w:proofErr w:type="spellEnd"/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), projeto aprovado pela XLVI </w:t>
      </w:r>
      <w:proofErr w:type="spellStart"/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RECyT</w:t>
      </w:r>
      <w:proofErr w:type="spellEnd"/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em 2011</w:t>
      </w:r>
      <w:r w:rsidR="00896A20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</w:t>
      </w:r>
      <w:r w:rsidR="00B91E74" w:rsidRP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a ser apresentado ao FOCEM, e isso não pôde ser especificado. Da mesma forma, a proposta teve caráter MERCOS</w:t>
      </w:r>
      <w:r w:rsidR="00CD05B9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UL e foi apoiada com recursos do</w:t>
      </w:r>
      <w:r w:rsidR="00B755C8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s </w:t>
      </w:r>
      <w:r w:rsidR="00B91E74" w:rsidRP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país</w:t>
      </w:r>
      <w:r w:rsidR="00B755C8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es</w:t>
      </w:r>
      <w:r w:rsidR="00B91E74" w:rsidRPr="00B91E74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.</w:t>
      </w: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Os </w:t>
      </w: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lastRenderedPageBreak/>
        <w:t>objetivos do projeto são: formar recursos humanos especializados na área de Biologia Estrutural, prover intercâmbio entre estudantes e pesquisadores, integrar capacidades locais e regionais otimizando o uso de equipamentos de alta sofisticação, identificar projetos de pesquisa com alto impacto e com capacidade de contribuir para o desenvolvimento</w:t>
      </w:r>
      <w:r w:rsidR="00255F2A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social e econômico e apoiar grupos emergentes de Biologia Estrutural na América Latina.</w:t>
      </w:r>
      <w:r w:rsidR="00885F0A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 </w:t>
      </w:r>
    </w:p>
    <w:p w14:paraId="5F111141" w14:textId="3C4E97C5" w:rsidR="00A005A7" w:rsidRPr="001B48FE" w:rsidRDefault="00885F0A" w:rsidP="001B48FE">
      <w:pPr>
        <w:suppressAutoHyphens/>
        <w:autoSpaceDN w:val="0"/>
        <w:jc w:val="both"/>
        <w:textAlignment w:val="baseline"/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</w:pPr>
      <w:r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 xml:space="preserve">Os países serão contatados para </w:t>
      </w:r>
      <w:r w:rsidR="00CB235E" w:rsidRPr="00CB235E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analisar a possibilidade de ter apoio para dar continuidade às suas atividades</w:t>
      </w:r>
      <w:r w:rsidR="00CB235E">
        <w:rPr>
          <w:rFonts w:ascii="Arial" w:eastAsia="Calibri" w:hAnsi="Arial" w:cs="Arial"/>
          <w:bCs/>
          <w:kern w:val="3"/>
          <w:sz w:val="24"/>
          <w:szCs w:val="24"/>
          <w:lang w:val="pt-BR" w:eastAsia="zh-CN"/>
        </w:rPr>
        <w:t>.</w:t>
      </w:r>
    </w:p>
    <w:bookmarkEnd w:id="0"/>
    <w:bookmarkEnd w:id="1"/>
    <w:p w14:paraId="415A5C35" w14:textId="77777777" w:rsidR="00B91E74" w:rsidRPr="0047435C" w:rsidRDefault="00B91E74" w:rsidP="00B809FE">
      <w:pPr>
        <w:pStyle w:val="Default"/>
        <w:spacing w:after="240"/>
        <w:jc w:val="both"/>
        <w:rPr>
          <w:bCs/>
          <w:lang w:val="pt-BR"/>
        </w:rPr>
      </w:pPr>
    </w:p>
    <w:p w14:paraId="657EA78D" w14:textId="3D419BBD" w:rsidR="00366BEC" w:rsidRDefault="002314B7" w:rsidP="002314B7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3.</w:t>
      </w:r>
      <w:r w:rsidR="00B91E74">
        <w:rPr>
          <w:b/>
          <w:bCs/>
          <w:lang w:val="pt-BR"/>
        </w:rPr>
        <w:t xml:space="preserve"> </w:t>
      </w:r>
      <w:r>
        <w:rPr>
          <w:b/>
          <w:bCs/>
          <w:lang w:val="pt-BR"/>
        </w:rPr>
        <w:t xml:space="preserve">    </w:t>
      </w:r>
      <w:r w:rsidR="00255F2A">
        <w:rPr>
          <w:b/>
          <w:bCs/>
          <w:lang w:val="pt-BR"/>
        </w:rPr>
        <w:t xml:space="preserve">APROVAÇÃO DA REESTRUTURAÇÃO DA </w:t>
      </w:r>
      <w:proofErr w:type="spellStart"/>
      <w:r w:rsidR="00255F2A">
        <w:rPr>
          <w:b/>
          <w:bCs/>
          <w:lang w:val="pt-BR"/>
        </w:rPr>
        <w:t>RECyT</w:t>
      </w:r>
      <w:proofErr w:type="spellEnd"/>
      <w:r w:rsidR="00255F2A">
        <w:rPr>
          <w:b/>
          <w:bCs/>
          <w:lang w:val="pt-BR"/>
        </w:rPr>
        <w:t>/</w:t>
      </w:r>
      <w:r w:rsidR="00366BEC">
        <w:rPr>
          <w:b/>
          <w:bCs/>
          <w:lang w:val="pt-BR"/>
        </w:rPr>
        <w:t>REVISÃO DO PROGRAMA DE TRABALHO 202</w:t>
      </w:r>
      <w:r w:rsidR="00255F2A">
        <w:rPr>
          <w:b/>
          <w:bCs/>
          <w:lang w:val="pt-BR"/>
        </w:rPr>
        <w:t xml:space="preserve">1-2022 </w:t>
      </w:r>
    </w:p>
    <w:p w14:paraId="660A686E" w14:textId="77777777" w:rsidR="00137628" w:rsidRDefault="00137628" w:rsidP="00137628">
      <w:pPr>
        <w:pStyle w:val="Default"/>
        <w:spacing w:after="240"/>
        <w:jc w:val="both"/>
        <w:rPr>
          <w:bCs/>
          <w:lang w:val="pt-BR"/>
        </w:rPr>
      </w:pPr>
      <w:r w:rsidRPr="00BE7C0B">
        <w:rPr>
          <w:bCs/>
          <w:lang w:val="pt-BR"/>
        </w:rPr>
        <w:t>As</w:t>
      </w:r>
      <w:r>
        <w:rPr>
          <w:bCs/>
          <w:lang w:val="pt-BR"/>
        </w:rPr>
        <w:t xml:space="preserve"> delegações trocaram</w:t>
      </w:r>
      <w:r w:rsidRPr="00BE7C0B">
        <w:rPr>
          <w:bCs/>
          <w:lang w:val="pt-BR"/>
        </w:rPr>
        <w:t xml:space="preserve"> comentários sobre reestruturação da RECYT tendo em vista que o processo de integração demanda exame permanente de seus aspectos institucionais, a fim de que o foro se mantenha atualizado frente às novas realidades do sistema internacional.</w:t>
      </w:r>
    </w:p>
    <w:p w14:paraId="10DFA32E" w14:textId="578B93B8" w:rsidR="00B91E74" w:rsidRPr="00BE7C0B" w:rsidRDefault="00B91E74" w:rsidP="00B91E74">
      <w:pPr>
        <w:pStyle w:val="Default"/>
        <w:spacing w:after="240"/>
        <w:jc w:val="both"/>
        <w:rPr>
          <w:b/>
          <w:bCs/>
          <w:lang w:val="pt-BR"/>
        </w:rPr>
      </w:pPr>
      <w:r w:rsidRPr="00BE7C0B">
        <w:rPr>
          <w:bCs/>
          <w:lang w:val="pt-BR"/>
        </w:rPr>
        <w:t xml:space="preserve">Retomaram o tema tratado no Grupo de Trabalho para a reestruturação da </w:t>
      </w:r>
      <w:proofErr w:type="spellStart"/>
      <w:r w:rsidRPr="00BE7C0B">
        <w:rPr>
          <w:bCs/>
          <w:lang w:val="pt-BR"/>
        </w:rPr>
        <w:t>RECyT</w:t>
      </w:r>
      <w:proofErr w:type="spellEnd"/>
      <w:r w:rsidRPr="00BE7C0B">
        <w:rPr>
          <w:bCs/>
          <w:lang w:val="pt-BR"/>
        </w:rPr>
        <w:t xml:space="preserve"> onde foi apresentado pelo Uruguai a prop</w:t>
      </w:r>
      <w:r w:rsidR="00CD05B9">
        <w:rPr>
          <w:bCs/>
          <w:lang w:val="pt-BR"/>
        </w:rPr>
        <w:t>osta formal, a qual foi aceita</w:t>
      </w:r>
      <w:r w:rsidR="00B403EB">
        <w:rPr>
          <w:bCs/>
          <w:lang w:val="pt-BR"/>
        </w:rPr>
        <w:t xml:space="preserve"> por</w:t>
      </w:r>
      <w:r w:rsidRPr="00BE7C0B">
        <w:rPr>
          <w:bCs/>
          <w:lang w:val="pt-BR"/>
        </w:rPr>
        <w:t xml:space="preserve"> todas as delegações e um histórico da estrutura e sus objetivos desde sua criação no ano 1992. A Ajuda Memória e seus Anexos constam no </w:t>
      </w:r>
      <w:r w:rsidRPr="00BE7C0B">
        <w:rPr>
          <w:b/>
          <w:bCs/>
          <w:lang w:val="pt-BR"/>
        </w:rPr>
        <w:t>Anexo V</w:t>
      </w:r>
      <w:r>
        <w:rPr>
          <w:b/>
          <w:bCs/>
          <w:lang w:val="pt-BR"/>
        </w:rPr>
        <w:t>I</w:t>
      </w:r>
      <w:r w:rsidRPr="00BE7C0B">
        <w:rPr>
          <w:b/>
          <w:bCs/>
          <w:lang w:val="pt-BR"/>
        </w:rPr>
        <w:t>I.</w:t>
      </w:r>
    </w:p>
    <w:p w14:paraId="69D32B04" w14:textId="77777777" w:rsidR="00403941" w:rsidRDefault="00403941" w:rsidP="00403941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 xml:space="preserve">Nessa linha, acordaram informar ao GMC sobre a relevância de revogar a Resolução GMC Nº 11/00 e aprovar as novas Comissões dependentes da </w:t>
      </w:r>
      <w:proofErr w:type="spellStart"/>
      <w:r>
        <w:rPr>
          <w:bCs/>
          <w:lang w:val="pt-BR"/>
        </w:rPr>
        <w:t>RECyT</w:t>
      </w:r>
      <w:proofErr w:type="spellEnd"/>
      <w:r>
        <w:rPr>
          <w:bCs/>
          <w:lang w:val="pt-BR"/>
        </w:rPr>
        <w:t>.</w:t>
      </w:r>
    </w:p>
    <w:p w14:paraId="60027768" w14:textId="590A3A7D" w:rsidR="002708E2" w:rsidRDefault="002708E2" w:rsidP="00366BEC">
      <w:pPr>
        <w:pStyle w:val="Default"/>
        <w:spacing w:after="240"/>
        <w:jc w:val="both"/>
        <w:rPr>
          <w:bCs/>
          <w:lang w:val="pt-BR"/>
        </w:rPr>
      </w:pPr>
      <w:r w:rsidRPr="002708E2">
        <w:rPr>
          <w:bCs/>
          <w:lang w:val="pt-BR"/>
        </w:rPr>
        <w:t xml:space="preserve">Tendo em vista o Artigo 3° da Decisão CMC N° 19/19, onde os foros dependentes dos órgãos decisórios do MERCOSUL informarão, anualmente, aos seus órgãos decisórios a composição da sua estrutura interna atualizada, a </w:t>
      </w:r>
      <w:proofErr w:type="spellStart"/>
      <w:r w:rsidRPr="002708E2">
        <w:rPr>
          <w:bCs/>
          <w:lang w:val="pt-BR"/>
        </w:rPr>
        <w:t>RECyT</w:t>
      </w:r>
      <w:proofErr w:type="spellEnd"/>
      <w:r w:rsidRPr="002708E2">
        <w:rPr>
          <w:bCs/>
          <w:lang w:val="pt-BR"/>
        </w:rPr>
        <w:t xml:space="preserve"> informou ao GMC sua nova estrutura interna</w:t>
      </w:r>
      <w:r>
        <w:rPr>
          <w:bCs/>
          <w:lang w:val="pt-BR"/>
        </w:rPr>
        <w:t>.</w:t>
      </w:r>
    </w:p>
    <w:p w14:paraId="46EEA6F6" w14:textId="6AF749C8" w:rsidR="00366BEC" w:rsidRDefault="00BA2126" w:rsidP="00366BEC">
      <w:pPr>
        <w:pStyle w:val="Default"/>
        <w:spacing w:after="240"/>
        <w:jc w:val="both"/>
        <w:rPr>
          <w:b/>
          <w:bCs/>
          <w:lang w:val="pt-BR"/>
        </w:rPr>
      </w:pPr>
      <w:r w:rsidRPr="00BA2126">
        <w:rPr>
          <w:b/>
          <w:bCs/>
          <w:lang w:val="pt-BR"/>
        </w:rPr>
        <w:t>RECYT</w:t>
      </w:r>
    </w:p>
    <w:p w14:paraId="087A9735" w14:textId="77777777" w:rsidR="00A80727" w:rsidRDefault="00A80727" w:rsidP="00A80727">
      <w:pPr>
        <w:pStyle w:val="Default"/>
        <w:spacing w:after="240"/>
        <w:jc w:val="both"/>
        <w:rPr>
          <w:b/>
          <w:bCs/>
          <w:lang w:val="pt-BR"/>
        </w:rPr>
      </w:pPr>
      <w:r w:rsidRPr="00A80727">
        <w:rPr>
          <w:b/>
          <w:bCs/>
          <w:lang w:val="pt-BR"/>
        </w:rPr>
        <w:t>- Comissão</w:t>
      </w:r>
      <w:r>
        <w:rPr>
          <w:b/>
          <w:bCs/>
          <w:lang w:val="pt-BR"/>
        </w:rPr>
        <w:t xml:space="preserve"> de Programas e Políticas (CPP)</w:t>
      </w:r>
    </w:p>
    <w:p w14:paraId="73676F5B" w14:textId="7858F9F8" w:rsidR="00A80727" w:rsidRPr="00A80727" w:rsidRDefault="00A80727" w:rsidP="00A80727">
      <w:pPr>
        <w:pStyle w:val="Default"/>
        <w:spacing w:after="240"/>
        <w:jc w:val="both"/>
        <w:rPr>
          <w:b/>
          <w:bCs/>
          <w:lang w:val="pt-BR"/>
        </w:rPr>
      </w:pPr>
      <w:r w:rsidRPr="00A80727">
        <w:rPr>
          <w:b/>
          <w:bCs/>
          <w:lang w:val="pt-BR"/>
        </w:rPr>
        <w:t>- Comissão de Projetos e Ações (CPA)</w:t>
      </w:r>
    </w:p>
    <w:p w14:paraId="6227EE3E" w14:textId="2686A583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A CPP deverá tratar dos temas de política</w:t>
      </w:r>
      <w:r w:rsidR="003D25C6">
        <w:rPr>
          <w:bCs/>
          <w:lang w:val="pt-BR"/>
        </w:rPr>
        <w:t xml:space="preserve"> de ciência, tecnologia e i</w:t>
      </w:r>
      <w:r>
        <w:rPr>
          <w:bCs/>
          <w:lang w:val="pt-BR"/>
        </w:rPr>
        <w:t>novação para definição de ações e áreas estratégicas, começando pelos atuais temas da agenda da CADCYT.</w:t>
      </w:r>
    </w:p>
    <w:p w14:paraId="30EBA7DA" w14:textId="3C7C3E3D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lastRenderedPageBreak/>
        <w:t>A CPA será responsável pela execução e o seguimento das atividades, começando p</w:t>
      </w:r>
      <w:r w:rsidR="00433724">
        <w:rPr>
          <w:bCs/>
          <w:lang w:val="pt-BR"/>
        </w:rPr>
        <w:t>elos atuais temas das agendas das</w:t>
      </w:r>
      <w:r>
        <w:rPr>
          <w:bCs/>
          <w:lang w:val="pt-BR"/>
        </w:rPr>
        <w:t xml:space="preserve"> CSCITE e CPB.</w:t>
      </w:r>
    </w:p>
    <w:p w14:paraId="5B931C2D" w14:textId="77777777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 xml:space="preserve">Neste aspecto, as delegações acordaram que a </w:t>
      </w:r>
      <w:proofErr w:type="spellStart"/>
      <w:r>
        <w:rPr>
          <w:bCs/>
          <w:lang w:val="pt-BR"/>
        </w:rPr>
        <w:t>RECyT</w:t>
      </w:r>
      <w:proofErr w:type="spellEnd"/>
      <w:r>
        <w:rPr>
          <w:bCs/>
          <w:lang w:val="pt-BR"/>
        </w:rPr>
        <w:t xml:space="preserve"> terá como principais funções:</w:t>
      </w:r>
    </w:p>
    <w:p w14:paraId="35ACDD37" w14:textId="77777777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- Identificação de novos temas estratégicos para a região, tendo em vista os impactos para os países do bloco;</w:t>
      </w:r>
    </w:p>
    <w:p w14:paraId="43AF4BEA" w14:textId="77777777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- Promoção de programas, projetos e redes em temas de interesse comum;</w:t>
      </w:r>
    </w:p>
    <w:p w14:paraId="37002E0B" w14:textId="77777777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- Efetuar o seguimento, orientar e garantir a realização das atividades em cumprimento ao Programa de Trabalho;</w:t>
      </w:r>
    </w:p>
    <w:p w14:paraId="1CF33444" w14:textId="66D22CC0" w:rsidR="00A80727" w:rsidRDefault="00433724" w:rsidP="00A80727">
      <w:pPr>
        <w:pStyle w:val="Default"/>
        <w:spacing w:after="240"/>
        <w:jc w:val="both"/>
        <w:rPr>
          <w:bCs/>
          <w:lang w:val="pt-BR"/>
        </w:rPr>
      </w:pPr>
      <w:r>
        <w:rPr>
          <w:bCs/>
          <w:lang w:val="pt-BR"/>
        </w:rPr>
        <w:t>- Promover a cooperação em ciência, tecnologia e i</w:t>
      </w:r>
      <w:r w:rsidR="00A80727">
        <w:rPr>
          <w:bCs/>
          <w:lang w:val="pt-BR"/>
        </w:rPr>
        <w:t>novação com outros países e/ou blocos regionais, em concordância com o Grupo de Cooperação Técnica (GCT).</w:t>
      </w:r>
    </w:p>
    <w:p w14:paraId="7906027E" w14:textId="77777777" w:rsidR="00A80727" w:rsidRDefault="00A80727" w:rsidP="00A80727">
      <w:pPr>
        <w:pStyle w:val="Default"/>
        <w:spacing w:after="240"/>
        <w:jc w:val="both"/>
        <w:rPr>
          <w:bCs/>
          <w:lang w:val="pt-BR"/>
        </w:rPr>
      </w:pPr>
    </w:p>
    <w:p w14:paraId="6C6C2031" w14:textId="1AE02BE5" w:rsidR="00A80727" w:rsidRDefault="00A80727" w:rsidP="00A80727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pt-BR" w:eastAsia="pt-BR"/>
        </w:rPr>
        <w:t>CONCLUSÕES E AÇÕES FUTURAS</w:t>
      </w:r>
    </w:p>
    <w:p w14:paraId="0B1BE486" w14:textId="77777777" w:rsidR="00A80727" w:rsidRDefault="00A80727" w:rsidP="00A80727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As delegações acordaram realizar uma proposta de </w:t>
      </w:r>
      <w:proofErr w:type="spellStart"/>
      <w:r w:rsidRPr="0032771C">
        <w:rPr>
          <w:rFonts w:ascii="Arial" w:eastAsia="Times New Roman" w:hAnsi="Arial" w:cs="Arial"/>
          <w:i/>
          <w:color w:val="000000"/>
          <w:sz w:val="24"/>
          <w:szCs w:val="24"/>
          <w:lang w:val="pt-BR" w:eastAsia="pt-BR"/>
        </w:rPr>
        <w:t>Corrigendum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ao Programa de Trabalho 2021-2022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RECyT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, aprovado na CXX Reunião Ordinária do GMC em concordância com a Resolução GMC Nº 26/01 e a nova estrutura aprovada.</w:t>
      </w:r>
    </w:p>
    <w:p w14:paraId="481AB1BC" w14:textId="44235C1A" w:rsidR="00A80727" w:rsidRDefault="00A80727" w:rsidP="00A80727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Nesse sentido, trocaram comentários e decidiram convocar as mencionadas Comissões para que apresentem uma proposta para análise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>RECyT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  <w:t xml:space="preserve"> na próxima PPT.</w:t>
      </w:r>
    </w:p>
    <w:p w14:paraId="1B9137E1" w14:textId="77777777" w:rsidR="00470A46" w:rsidRPr="00991167" w:rsidRDefault="00470A46" w:rsidP="00A80727">
      <w:pPr>
        <w:shd w:val="clear" w:color="auto" w:fill="FDFDFD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t-BR" w:eastAsia="pt-BR"/>
        </w:rPr>
      </w:pPr>
    </w:p>
    <w:p w14:paraId="7111D0CA" w14:textId="1D85409F" w:rsidR="00A80727" w:rsidRDefault="00470A46" w:rsidP="00A80727">
      <w:pPr>
        <w:pStyle w:val="Default"/>
        <w:spacing w:after="240"/>
        <w:jc w:val="both"/>
        <w:rPr>
          <w:b/>
          <w:bCs/>
          <w:lang w:val="pt-BR"/>
        </w:rPr>
      </w:pPr>
      <w:r>
        <w:rPr>
          <w:b/>
          <w:bCs/>
          <w:lang w:val="pt-BR"/>
        </w:rPr>
        <w:t>P</w:t>
      </w:r>
      <w:r w:rsidR="00A80727">
        <w:rPr>
          <w:b/>
          <w:bCs/>
          <w:lang w:val="pt-BR"/>
        </w:rPr>
        <w:t>RÓXIMA REUNIÃO</w:t>
      </w:r>
    </w:p>
    <w:p w14:paraId="5383C2C7" w14:textId="77777777" w:rsidR="00A80727" w:rsidRDefault="00A80727" w:rsidP="00A80727">
      <w:pPr>
        <w:pStyle w:val="Default"/>
        <w:spacing w:after="240"/>
        <w:rPr>
          <w:bCs/>
          <w:lang w:val="pt-BR"/>
        </w:rPr>
      </w:pPr>
      <w:r>
        <w:rPr>
          <w:bCs/>
          <w:lang w:val="pt-BR"/>
        </w:rPr>
        <w:t>A próxima reunião</w:t>
      </w:r>
      <w:r w:rsidRPr="0047435C">
        <w:rPr>
          <w:bCs/>
          <w:lang w:val="pt-BR"/>
        </w:rPr>
        <w:t xml:space="preserve"> </w:t>
      </w:r>
      <w:r>
        <w:rPr>
          <w:bCs/>
          <w:lang w:val="pt-BR"/>
        </w:rPr>
        <w:t xml:space="preserve">da </w:t>
      </w:r>
      <w:proofErr w:type="spellStart"/>
      <w:r>
        <w:rPr>
          <w:bCs/>
          <w:lang w:val="pt-BR"/>
        </w:rPr>
        <w:t>RECyT</w:t>
      </w:r>
      <w:proofErr w:type="spellEnd"/>
      <w:r>
        <w:rPr>
          <w:bCs/>
          <w:lang w:val="pt-BR"/>
        </w:rPr>
        <w:t xml:space="preserve"> ocorrerá em data oportuna a ser indicada pela</w:t>
      </w:r>
      <w:r w:rsidRPr="0047435C">
        <w:rPr>
          <w:bCs/>
          <w:lang w:val="pt-BR"/>
        </w:rPr>
        <w:t xml:space="preserve"> PPT.</w:t>
      </w:r>
    </w:p>
    <w:p w14:paraId="311EE284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467BB528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72C5CEB1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2C2C9069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36DD7348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52D2F50B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274189C1" w14:textId="77777777" w:rsidR="00470A46" w:rsidRDefault="00470A46" w:rsidP="00A80727">
      <w:pPr>
        <w:pStyle w:val="Default"/>
        <w:spacing w:after="240"/>
        <w:rPr>
          <w:b/>
          <w:bCs/>
          <w:lang w:val="pt-BR"/>
        </w:rPr>
      </w:pPr>
    </w:p>
    <w:p w14:paraId="67F1EA01" w14:textId="72CA347E" w:rsidR="00A80727" w:rsidRDefault="00A80727" w:rsidP="00A80727">
      <w:pPr>
        <w:pStyle w:val="Default"/>
        <w:spacing w:after="240"/>
        <w:rPr>
          <w:b/>
          <w:bCs/>
          <w:lang w:val="pt-BR"/>
        </w:rPr>
      </w:pPr>
      <w:r>
        <w:rPr>
          <w:b/>
          <w:bCs/>
          <w:lang w:val="pt-BR"/>
        </w:rPr>
        <w:t>ANEXOS</w:t>
      </w:r>
      <w:r>
        <w:rPr>
          <w:b/>
          <w:bCs/>
          <w:lang w:val="pt-BR"/>
        </w:rPr>
        <w:tab/>
      </w:r>
    </w:p>
    <w:p w14:paraId="46AB0B91" w14:textId="77777777" w:rsidR="00A80727" w:rsidRDefault="00A80727" w:rsidP="00A80727">
      <w:pPr>
        <w:pStyle w:val="Default"/>
        <w:spacing w:after="240"/>
        <w:rPr>
          <w:bCs/>
          <w:lang w:val="pt-BR"/>
        </w:rPr>
      </w:pPr>
      <w:r w:rsidRPr="005F2E1C">
        <w:rPr>
          <w:bCs/>
          <w:lang w:val="pt-BR"/>
        </w:rPr>
        <w:t>Os anexos que formam parte desta ATA são os seguintes:</w:t>
      </w:r>
    </w:p>
    <w:p w14:paraId="2AE7A666" w14:textId="77777777" w:rsidR="00A80727" w:rsidRPr="005F2E1C" w:rsidRDefault="00A80727" w:rsidP="00A80727">
      <w:pPr>
        <w:pStyle w:val="Default"/>
        <w:spacing w:after="240"/>
        <w:rPr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80727" w14:paraId="1CDD3047" w14:textId="77777777" w:rsidTr="00BD56F6">
        <w:tc>
          <w:tcPr>
            <w:tcW w:w="1555" w:type="dxa"/>
          </w:tcPr>
          <w:p w14:paraId="13E7600A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 w:rsidRPr="004F5101">
              <w:rPr>
                <w:b/>
                <w:bCs/>
                <w:lang w:val="pt-BR"/>
              </w:rPr>
              <w:t>Anexo I</w:t>
            </w:r>
          </w:p>
        </w:tc>
        <w:tc>
          <w:tcPr>
            <w:tcW w:w="6939" w:type="dxa"/>
          </w:tcPr>
          <w:p w14:paraId="2E5C0FF7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Lista de participantes</w:t>
            </w:r>
          </w:p>
        </w:tc>
      </w:tr>
      <w:tr w:rsidR="00A80727" w14:paraId="004CD737" w14:textId="77777777" w:rsidTr="00BD56F6">
        <w:tc>
          <w:tcPr>
            <w:tcW w:w="1555" w:type="dxa"/>
          </w:tcPr>
          <w:p w14:paraId="6C91DA73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 w:rsidRPr="004F5101">
              <w:rPr>
                <w:b/>
                <w:bCs/>
                <w:lang w:val="pt-BR"/>
              </w:rPr>
              <w:t>Anexo II</w:t>
            </w:r>
          </w:p>
        </w:tc>
        <w:tc>
          <w:tcPr>
            <w:tcW w:w="6939" w:type="dxa"/>
          </w:tcPr>
          <w:p w14:paraId="327652A2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 w:rsidRPr="0047435C">
              <w:rPr>
                <w:bCs/>
                <w:lang w:val="pt-BR"/>
              </w:rPr>
              <w:t>P</w:t>
            </w:r>
            <w:r>
              <w:rPr>
                <w:bCs/>
                <w:lang w:val="pt-BR"/>
              </w:rPr>
              <w:t>auta</w:t>
            </w:r>
          </w:p>
        </w:tc>
      </w:tr>
      <w:tr w:rsidR="00A80727" w14:paraId="5169B2B9" w14:textId="77777777" w:rsidTr="00BD56F6">
        <w:tc>
          <w:tcPr>
            <w:tcW w:w="1555" w:type="dxa"/>
          </w:tcPr>
          <w:p w14:paraId="1EE8FB9A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 w:rsidRPr="004F5101">
              <w:rPr>
                <w:b/>
                <w:bCs/>
                <w:lang w:val="pt-BR"/>
              </w:rPr>
              <w:t>Anexo III</w:t>
            </w:r>
          </w:p>
        </w:tc>
        <w:tc>
          <w:tcPr>
            <w:tcW w:w="6939" w:type="dxa"/>
          </w:tcPr>
          <w:p w14:paraId="6B08F346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 w:rsidRPr="0021714C">
              <w:rPr>
                <w:bCs/>
                <w:lang w:val="pt-BR"/>
              </w:rPr>
              <w:t>Resumo da ATA</w:t>
            </w:r>
          </w:p>
        </w:tc>
      </w:tr>
      <w:tr w:rsidR="00A80727" w:rsidRPr="00E82794" w14:paraId="2423C24E" w14:textId="77777777" w:rsidTr="00BD56F6">
        <w:tc>
          <w:tcPr>
            <w:tcW w:w="1555" w:type="dxa"/>
          </w:tcPr>
          <w:p w14:paraId="5EFA4B6E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 w:rsidRPr="004F5101">
              <w:rPr>
                <w:b/>
                <w:bCs/>
                <w:lang w:val="pt-BR"/>
              </w:rPr>
              <w:t xml:space="preserve">Anexo </w:t>
            </w:r>
            <w:r>
              <w:rPr>
                <w:b/>
                <w:bCs/>
                <w:lang w:val="pt-BR"/>
              </w:rPr>
              <w:t>I</w:t>
            </w:r>
            <w:r w:rsidRPr="004F5101">
              <w:rPr>
                <w:b/>
                <w:bCs/>
                <w:lang w:val="pt-BR"/>
              </w:rPr>
              <w:t>V</w:t>
            </w:r>
          </w:p>
        </w:tc>
        <w:tc>
          <w:tcPr>
            <w:tcW w:w="6939" w:type="dxa"/>
          </w:tcPr>
          <w:p w14:paraId="432CAE33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 w:rsidRPr="0021714C">
              <w:rPr>
                <w:bCs/>
                <w:lang w:val="pt-BR"/>
              </w:rPr>
              <w:t>ATA</w:t>
            </w:r>
            <w:r>
              <w:rPr>
                <w:bCs/>
                <w:lang w:val="pt-BR"/>
              </w:rPr>
              <w:t xml:space="preserve"> Nº 02/21</w:t>
            </w:r>
            <w:r w:rsidRPr="0021714C">
              <w:rPr>
                <w:bCs/>
                <w:lang w:val="pt-BR"/>
              </w:rPr>
              <w:t xml:space="preserve"> da Comis</w:t>
            </w:r>
            <w:r>
              <w:rPr>
                <w:bCs/>
                <w:lang w:val="pt-BR"/>
              </w:rPr>
              <w:t xml:space="preserve">são de Apoio ao Desenvolvimento </w:t>
            </w:r>
            <w:r w:rsidRPr="0021714C">
              <w:rPr>
                <w:bCs/>
                <w:lang w:val="pt-BR"/>
              </w:rPr>
              <w:t>Científico e Tecnológico – CADCYT</w:t>
            </w:r>
          </w:p>
        </w:tc>
      </w:tr>
      <w:tr w:rsidR="00A80727" w:rsidRPr="00E82794" w14:paraId="66B57726" w14:textId="77777777" w:rsidTr="00BD56F6">
        <w:tc>
          <w:tcPr>
            <w:tcW w:w="1555" w:type="dxa"/>
          </w:tcPr>
          <w:p w14:paraId="0AE1F3C5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Anexo V</w:t>
            </w:r>
          </w:p>
        </w:tc>
        <w:tc>
          <w:tcPr>
            <w:tcW w:w="6939" w:type="dxa"/>
          </w:tcPr>
          <w:p w14:paraId="19518058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>ATA Nº 02/21 da</w:t>
            </w:r>
            <w:r w:rsidRPr="0021714C">
              <w:rPr>
                <w:bCs/>
                <w:lang w:val="pt-BR"/>
              </w:rPr>
              <w:t xml:space="preserve"> Comissã</w:t>
            </w:r>
            <w:r>
              <w:rPr>
                <w:bCs/>
                <w:lang w:val="pt-BR"/>
              </w:rPr>
              <w:t xml:space="preserve">o da Sociedade do Conhecimento, </w:t>
            </w:r>
            <w:r w:rsidRPr="0021714C">
              <w:rPr>
                <w:bCs/>
                <w:lang w:val="pt-BR"/>
              </w:rPr>
              <w:t>Inovação e Tecnologias Emergentes - CSCITE</w:t>
            </w:r>
          </w:p>
        </w:tc>
      </w:tr>
      <w:tr w:rsidR="00A80727" w:rsidRPr="00E82794" w14:paraId="3FC5A228" w14:textId="77777777" w:rsidTr="00BD56F6">
        <w:tc>
          <w:tcPr>
            <w:tcW w:w="1555" w:type="dxa"/>
          </w:tcPr>
          <w:p w14:paraId="5AA8DC12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Anexo VI</w:t>
            </w:r>
          </w:p>
        </w:tc>
        <w:tc>
          <w:tcPr>
            <w:tcW w:w="6939" w:type="dxa"/>
          </w:tcPr>
          <w:p w14:paraId="1B0F94A1" w14:textId="77777777" w:rsidR="00A80727" w:rsidRDefault="00A80727" w:rsidP="00BD56F6">
            <w:pPr>
              <w:pStyle w:val="Default"/>
              <w:spacing w:line="240" w:lineRule="atLeast"/>
              <w:ind w:left="2124" w:hanging="2124"/>
              <w:rPr>
                <w:bCs/>
                <w:lang w:val="pt-BR"/>
              </w:rPr>
            </w:pPr>
            <w:r w:rsidRPr="0021714C">
              <w:rPr>
                <w:bCs/>
                <w:lang w:val="pt-BR"/>
              </w:rPr>
              <w:t xml:space="preserve">ATA </w:t>
            </w:r>
            <w:r>
              <w:rPr>
                <w:bCs/>
                <w:lang w:val="pt-BR"/>
              </w:rPr>
              <w:t xml:space="preserve">Nº 02/21 </w:t>
            </w:r>
            <w:r w:rsidRPr="0021714C">
              <w:rPr>
                <w:bCs/>
                <w:lang w:val="pt-BR"/>
              </w:rPr>
              <w:t xml:space="preserve">da Comissão da Plataforma </w:t>
            </w:r>
            <w:proofErr w:type="spellStart"/>
            <w:r w:rsidRPr="0021714C">
              <w:rPr>
                <w:bCs/>
                <w:lang w:val="pt-BR"/>
              </w:rPr>
              <w:t>BiotecSul</w:t>
            </w:r>
            <w:proofErr w:type="spellEnd"/>
            <w:r w:rsidRPr="0021714C">
              <w:rPr>
                <w:bCs/>
                <w:lang w:val="pt-BR"/>
              </w:rPr>
              <w:t xml:space="preserve"> </w:t>
            </w:r>
            <w:r>
              <w:rPr>
                <w:bCs/>
                <w:lang w:val="pt-BR"/>
              </w:rPr>
              <w:t>–</w:t>
            </w:r>
            <w:r w:rsidRPr="0021714C">
              <w:rPr>
                <w:bCs/>
                <w:lang w:val="pt-BR"/>
              </w:rPr>
              <w:t xml:space="preserve"> CPB</w:t>
            </w:r>
          </w:p>
        </w:tc>
      </w:tr>
      <w:tr w:rsidR="00A80727" w:rsidRPr="00E82794" w14:paraId="08E1C701" w14:textId="77777777" w:rsidTr="00BD56F6">
        <w:tc>
          <w:tcPr>
            <w:tcW w:w="1555" w:type="dxa"/>
          </w:tcPr>
          <w:p w14:paraId="1BEA9ED1" w14:textId="77777777" w:rsidR="00A80727" w:rsidRPr="004F5101" w:rsidRDefault="00A80727" w:rsidP="00BD56F6">
            <w:pPr>
              <w:pStyle w:val="Default"/>
              <w:spacing w:line="240" w:lineRule="atLeast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Anexo VII</w:t>
            </w:r>
          </w:p>
        </w:tc>
        <w:tc>
          <w:tcPr>
            <w:tcW w:w="6939" w:type="dxa"/>
          </w:tcPr>
          <w:p w14:paraId="12DB79F1" w14:textId="77777777" w:rsidR="00A80727" w:rsidRDefault="00A80727" w:rsidP="00BD56F6">
            <w:pPr>
              <w:pStyle w:val="Default"/>
              <w:spacing w:line="240" w:lineRule="atLeast"/>
              <w:rPr>
                <w:bCs/>
                <w:lang w:val="pt-BR"/>
              </w:rPr>
            </w:pPr>
            <w:r>
              <w:rPr>
                <w:bCs/>
                <w:lang w:val="pt-BR"/>
              </w:rPr>
              <w:t xml:space="preserve">Ajuda Memória e Anexos do Grupo de Trabalho para a reestruturação da </w:t>
            </w:r>
            <w:proofErr w:type="spellStart"/>
            <w:r>
              <w:rPr>
                <w:bCs/>
                <w:lang w:val="pt-BR"/>
              </w:rPr>
              <w:t>RECyT</w:t>
            </w:r>
            <w:proofErr w:type="spellEnd"/>
          </w:p>
        </w:tc>
      </w:tr>
    </w:tbl>
    <w:p w14:paraId="589C2A88" w14:textId="77777777" w:rsidR="00A80727" w:rsidRDefault="00A80727" w:rsidP="00A80727">
      <w:pPr>
        <w:pStyle w:val="Default"/>
        <w:spacing w:after="240"/>
        <w:rPr>
          <w:bCs/>
          <w:lang w:val="pt-BR"/>
        </w:rPr>
      </w:pPr>
    </w:p>
    <w:p w14:paraId="7A1893F2" w14:textId="77777777" w:rsidR="00A80727" w:rsidRPr="0021714C" w:rsidRDefault="00A80727" w:rsidP="00A80727">
      <w:pPr>
        <w:pStyle w:val="Default"/>
        <w:spacing w:after="240"/>
        <w:rPr>
          <w:bCs/>
          <w:lang w:val="pt-BR"/>
        </w:rPr>
      </w:pPr>
    </w:p>
    <w:p w14:paraId="1BF0A460" w14:textId="77777777" w:rsidR="00A80727" w:rsidRDefault="00A80727" w:rsidP="00A80727">
      <w:pPr>
        <w:pStyle w:val="Default"/>
        <w:spacing w:after="120"/>
        <w:ind w:left="2124" w:hanging="2124"/>
        <w:rPr>
          <w:bCs/>
          <w:lang w:val="pt-BR"/>
        </w:rPr>
      </w:pPr>
    </w:p>
    <w:p w14:paraId="79DEBB48" w14:textId="77777777" w:rsidR="00A80727" w:rsidRDefault="00A80727" w:rsidP="00A80727">
      <w:pPr>
        <w:pStyle w:val="Default"/>
        <w:spacing w:after="120"/>
        <w:ind w:left="2124" w:hanging="2124"/>
        <w:rPr>
          <w:bCs/>
          <w:lang w:val="pt-BR"/>
        </w:rPr>
      </w:pPr>
    </w:p>
    <w:p w14:paraId="70C3B323" w14:textId="77777777" w:rsidR="00A80727" w:rsidRPr="00B25444" w:rsidRDefault="00A80727" w:rsidP="00A80727">
      <w:pPr>
        <w:pStyle w:val="Default"/>
        <w:spacing w:after="120"/>
        <w:ind w:left="2124" w:hanging="2124"/>
        <w:rPr>
          <w:bCs/>
          <w:lang w:val="pt-BR"/>
        </w:rPr>
      </w:pPr>
    </w:p>
    <w:tbl>
      <w:tblPr>
        <w:tblW w:w="89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493"/>
      </w:tblGrid>
      <w:tr w:rsidR="00A80727" w:rsidRPr="00E82794" w14:paraId="77E8996F" w14:textId="77777777" w:rsidTr="00BD56F6">
        <w:tc>
          <w:tcPr>
            <w:tcW w:w="4492" w:type="dxa"/>
          </w:tcPr>
          <w:p w14:paraId="1EBC3AD5" w14:textId="77777777" w:rsidR="00A80727" w:rsidRPr="0021714C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4493" w:type="dxa"/>
          </w:tcPr>
          <w:p w14:paraId="3629AD42" w14:textId="77777777" w:rsidR="00A80727" w:rsidRPr="0021714C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A80727" w:rsidRPr="00E82794" w14:paraId="02879741" w14:textId="77777777" w:rsidTr="00BD56F6">
        <w:tc>
          <w:tcPr>
            <w:tcW w:w="4492" w:type="dxa"/>
          </w:tcPr>
          <w:p w14:paraId="31533D13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15ABE38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_____________________________</w:t>
            </w:r>
          </w:p>
          <w:p w14:paraId="71404CA6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Pela Delegação da Argentina</w:t>
            </w:r>
          </w:p>
          <w:p w14:paraId="4AC96222" w14:textId="77777777" w:rsidR="00A80727" w:rsidRPr="00B25444" w:rsidRDefault="00A80727" w:rsidP="00BD56F6">
            <w:pPr>
              <w:spacing w:after="0"/>
              <w:jc w:val="center"/>
              <w:rPr>
                <w:rFonts w:ascii="Arial" w:hAnsi="Arial" w:cs="Arial"/>
                <w:b/>
                <w:lang w:val="pt-BR"/>
              </w:rPr>
            </w:pPr>
            <w:r w:rsidRPr="00B25444">
              <w:rPr>
                <w:rFonts w:ascii="Arial" w:hAnsi="Arial" w:cs="Arial"/>
                <w:b/>
                <w:lang w:val="pt-BR"/>
              </w:rPr>
              <w:t>Karina POMBO</w:t>
            </w:r>
          </w:p>
          <w:p w14:paraId="2AC6867F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1D228F4E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51E05CA8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274F7126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2DB489A9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0211DD7C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bCs/>
                <w:lang w:val="pt-BR"/>
              </w:rPr>
            </w:pPr>
            <w:r w:rsidRPr="00CB4A71">
              <w:rPr>
                <w:rFonts w:ascii="Arial" w:hAnsi="Arial" w:cs="Arial"/>
                <w:bCs/>
                <w:lang w:val="pt-BR"/>
              </w:rPr>
              <w:t>Pela Delegação do Paraguai</w:t>
            </w:r>
          </w:p>
          <w:p w14:paraId="026A7D4C" w14:textId="77777777" w:rsidR="00A80727" w:rsidRPr="00F44794" w:rsidRDefault="00A80727" w:rsidP="00BD56F6">
            <w:pPr>
              <w:spacing w:after="0"/>
              <w:jc w:val="center"/>
              <w:rPr>
                <w:rFonts w:ascii="Arial" w:hAnsi="Arial" w:cs="Arial"/>
                <w:b/>
                <w:lang w:val="pt-BR"/>
              </w:rPr>
            </w:pPr>
            <w:r w:rsidRPr="00F44794">
              <w:rPr>
                <w:rFonts w:ascii="Arial" w:hAnsi="Arial" w:cs="Arial"/>
                <w:b/>
                <w:lang w:val="pt-BR"/>
              </w:rPr>
              <w:t xml:space="preserve">Cynthia </w:t>
            </w:r>
            <w:r w:rsidRPr="00F44794">
              <w:rPr>
                <w:rFonts w:ascii="Arial" w:hAnsi="Arial" w:cs="Arial"/>
                <w:b/>
                <w:sz w:val="20"/>
                <w:lang w:val="pt-BR"/>
              </w:rPr>
              <w:t>DELGADO</w:t>
            </w:r>
          </w:p>
        </w:tc>
        <w:tc>
          <w:tcPr>
            <w:tcW w:w="4493" w:type="dxa"/>
          </w:tcPr>
          <w:p w14:paraId="4A557646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4BA7259B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____________________________</w:t>
            </w:r>
          </w:p>
          <w:p w14:paraId="665A76C2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Pela Delegação do Brasil</w:t>
            </w:r>
          </w:p>
          <w:p w14:paraId="378AED4F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Paulo Cesar Rezende de C. ALVIM</w:t>
            </w:r>
          </w:p>
          <w:p w14:paraId="67BEBAB3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1B0D5E6A" w14:textId="77777777" w:rsidR="00A80727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6AEBC5DF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7212F325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  <w:p w14:paraId="5C06CB73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>__________________________</w:t>
            </w:r>
          </w:p>
          <w:p w14:paraId="0BB7E21B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  <w:r w:rsidRPr="00CB4A71">
              <w:rPr>
                <w:rFonts w:ascii="Arial" w:hAnsi="Arial" w:cs="Arial"/>
                <w:lang w:val="pt-BR"/>
              </w:rPr>
              <w:t xml:space="preserve">Pela Delegação do </w:t>
            </w:r>
            <w:proofErr w:type="spellStart"/>
            <w:r w:rsidRPr="00CB4A71">
              <w:rPr>
                <w:rFonts w:ascii="Arial" w:hAnsi="Arial" w:cs="Arial"/>
                <w:lang w:val="pt-BR"/>
              </w:rPr>
              <w:t>Uruguay</w:t>
            </w:r>
            <w:proofErr w:type="spellEnd"/>
          </w:p>
          <w:p w14:paraId="2869EBCB" w14:textId="77777777" w:rsidR="00A80727" w:rsidRPr="00B25444" w:rsidRDefault="00A80727" w:rsidP="00BD56F6">
            <w:pPr>
              <w:spacing w:after="0"/>
              <w:jc w:val="center"/>
              <w:rPr>
                <w:rFonts w:ascii="Arial" w:hAnsi="Arial" w:cs="Arial"/>
                <w:b/>
                <w:lang w:val="pt-BR"/>
              </w:rPr>
            </w:pPr>
            <w:r w:rsidRPr="00B25444">
              <w:rPr>
                <w:rFonts w:ascii="Arial" w:hAnsi="Arial" w:cs="Arial"/>
                <w:b/>
                <w:lang w:val="pt-BR"/>
              </w:rPr>
              <w:t>Alberto MAJÓ</w:t>
            </w:r>
          </w:p>
        </w:tc>
        <w:bookmarkStart w:id="2" w:name="_GoBack"/>
        <w:bookmarkEnd w:id="2"/>
      </w:tr>
      <w:tr w:rsidR="00A80727" w:rsidRPr="00E82794" w14:paraId="3FFAF571" w14:textId="77777777" w:rsidTr="00BD56F6">
        <w:tc>
          <w:tcPr>
            <w:tcW w:w="4492" w:type="dxa"/>
          </w:tcPr>
          <w:p w14:paraId="26C23730" w14:textId="77777777" w:rsidR="00A80727" w:rsidRPr="00CB4A71" w:rsidRDefault="00A80727" w:rsidP="00BD56F6">
            <w:pPr>
              <w:spacing w:after="0"/>
              <w:rPr>
                <w:rFonts w:ascii="Arial" w:hAnsi="Arial" w:cs="Arial"/>
                <w:lang w:val="pt-BR"/>
              </w:rPr>
            </w:pPr>
          </w:p>
        </w:tc>
        <w:tc>
          <w:tcPr>
            <w:tcW w:w="4493" w:type="dxa"/>
          </w:tcPr>
          <w:p w14:paraId="03CBE41E" w14:textId="77777777" w:rsidR="00A80727" w:rsidRPr="00CB4A71" w:rsidRDefault="00A80727" w:rsidP="00BD56F6">
            <w:pPr>
              <w:spacing w:after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14:paraId="19A6BFC7" w14:textId="77777777" w:rsidR="00A80727" w:rsidRPr="00CB4A71" w:rsidRDefault="00A80727" w:rsidP="00A80727">
      <w:pPr>
        <w:pStyle w:val="Default"/>
        <w:spacing w:after="120"/>
        <w:rPr>
          <w:rFonts w:asciiTheme="minorHAnsi" w:hAnsiTheme="minorHAnsi"/>
          <w:b/>
          <w:bCs/>
          <w:sz w:val="22"/>
          <w:szCs w:val="22"/>
          <w:lang w:val="pt-BR"/>
        </w:rPr>
      </w:pPr>
    </w:p>
    <w:sectPr w:rsidR="00A80727" w:rsidRPr="00CB4A71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B6C5" w14:textId="77777777" w:rsidR="00F664BD" w:rsidRDefault="00F664BD" w:rsidP="00E84E38">
      <w:pPr>
        <w:spacing w:after="0" w:line="240" w:lineRule="auto"/>
      </w:pPr>
      <w:r>
        <w:separator/>
      </w:r>
    </w:p>
  </w:endnote>
  <w:endnote w:type="continuationSeparator" w:id="0">
    <w:p w14:paraId="4634C5FE" w14:textId="77777777" w:rsidR="00F664BD" w:rsidRDefault="00F664BD" w:rsidP="00E8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D233B" w14:textId="77777777" w:rsidR="00F664BD" w:rsidRDefault="00F664BD" w:rsidP="00E84E38">
      <w:pPr>
        <w:spacing w:after="0" w:line="240" w:lineRule="auto"/>
      </w:pPr>
      <w:r>
        <w:separator/>
      </w:r>
    </w:p>
  </w:footnote>
  <w:footnote w:type="continuationSeparator" w:id="0">
    <w:p w14:paraId="65EBCA9D" w14:textId="77777777" w:rsidR="00F664BD" w:rsidRDefault="00F664BD" w:rsidP="00E84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A264" w14:textId="3015ECBD" w:rsidR="00255C6C" w:rsidRDefault="005A1153" w:rsidP="005A1153">
    <w:pPr>
      <w:pStyle w:val="Cabealho"/>
      <w:tabs>
        <w:tab w:val="left" w:pos="690"/>
      </w:tabs>
      <w:rPr>
        <w:rFonts w:ascii="Times New Roman" w:hAnsi="Times New Roman"/>
        <w:noProof/>
        <w:szCs w:val="24"/>
        <w:lang w:val="pt-BR" w:eastAsia="pt-BR"/>
      </w:rPr>
    </w:pPr>
    <w:r>
      <w:tab/>
    </w:r>
  </w:p>
  <w:p w14:paraId="08BDF134" w14:textId="7D42D82F" w:rsidR="00BA33E8" w:rsidRDefault="000013D2" w:rsidP="005A1153">
    <w:pPr>
      <w:pStyle w:val="Cabealho"/>
      <w:tabs>
        <w:tab w:val="left" w:pos="690"/>
      </w:tabs>
    </w:pP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drawing>
        <wp:inline distT="0" distB="0" distL="0" distR="0" wp14:anchorId="74CDC392" wp14:editId="0AC492EF">
          <wp:extent cx="1322705" cy="1218565"/>
          <wp:effectExtent l="0" t="0" r="0" b="635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1218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drawing>
        <wp:inline distT="0" distB="0" distL="0" distR="0" wp14:anchorId="37F448C4" wp14:editId="15AD9AE6">
          <wp:extent cx="1329055" cy="1209675"/>
          <wp:effectExtent l="0" t="0" r="4445" b="9525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  <w:r>
      <w:rPr>
        <w:rFonts w:ascii="Times New Roman" w:hAnsi="Times New Roman"/>
        <w:noProof/>
        <w:szCs w:val="24"/>
        <w:lang w:val="pt-BR" w:eastAsia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1233"/>
    <w:multiLevelType w:val="hybridMultilevel"/>
    <w:tmpl w:val="C5C82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BD8"/>
    <w:multiLevelType w:val="hybridMultilevel"/>
    <w:tmpl w:val="19CA9FB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6FE0"/>
    <w:multiLevelType w:val="hybridMultilevel"/>
    <w:tmpl w:val="ED404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13B62"/>
    <w:multiLevelType w:val="hybridMultilevel"/>
    <w:tmpl w:val="D47674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F674F"/>
    <w:multiLevelType w:val="hybridMultilevel"/>
    <w:tmpl w:val="1748AAEE"/>
    <w:lvl w:ilvl="0" w:tplc="3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E9D66EC"/>
    <w:multiLevelType w:val="hybridMultilevel"/>
    <w:tmpl w:val="746830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A0A18"/>
    <w:multiLevelType w:val="hybridMultilevel"/>
    <w:tmpl w:val="A58C5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B31"/>
    <w:multiLevelType w:val="hybridMultilevel"/>
    <w:tmpl w:val="3CAAC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E8C"/>
    <w:multiLevelType w:val="hybridMultilevel"/>
    <w:tmpl w:val="20467E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5A5A"/>
    <w:multiLevelType w:val="hybridMultilevel"/>
    <w:tmpl w:val="CB2AA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5A69"/>
    <w:multiLevelType w:val="hybridMultilevel"/>
    <w:tmpl w:val="91226EA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93B53"/>
    <w:multiLevelType w:val="hybridMultilevel"/>
    <w:tmpl w:val="A9AE12E4"/>
    <w:lvl w:ilvl="0" w:tplc="BF047CC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A86C3D"/>
    <w:multiLevelType w:val="multilevel"/>
    <w:tmpl w:val="CB5AB424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3" w15:restartNumberingAfterBreak="0">
    <w:nsid w:val="5F26098A"/>
    <w:multiLevelType w:val="hybridMultilevel"/>
    <w:tmpl w:val="4C62B266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2715F0F"/>
    <w:multiLevelType w:val="hybridMultilevel"/>
    <w:tmpl w:val="82825D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014FE"/>
    <w:multiLevelType w:val="hybridMultilevel"/>
    <w:tmpl w:val="09E61EE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4C1BF5"/>
    <w:multiLevelType w:val="hybridMultilevel"/>
    <w:tmpl w:val="07E2EE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B2103"/>
    <w:multiLevelType w:val="hybridMultilevel"/>
    <w:tmpl w:val="5D8C2C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58D7"/>
    <w:multiLevelType w:val="hybridMultilevel"/>
    <w:tmpl w:val="71705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F5C8F"/>
    <w:multiLevelType w:val="hybridMultilevel"/>
    <w:tmpl w:val="EAD458E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7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6"/>
  </w:num>
  <w:num w:numId="14">
    <w:abstractNumId w:val="12"/>
  </w:num>
  <w:num w:numId="15">
    <w:abstractNumId w:val="12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16">
    <w:abstractNumId w:val="16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8"/>
    <w:rsid w:val="000013D2"/>
    <w:rsid w:val="0001071E"/>
    <w:rsid w:val="00012089"/>
    <w:rsid w:val="000168B8"/>
    <w:rsid w:val="00016BF2"/>
    <w:rsid w:val="00022620"/>
    <w:rsid w:val="00022F2B"/>
    <w:rsid w:val="00023F5B"/>
    <w:rsid w:val="00025EFE"/>
    <w:rsid w:val="00063648"/>
    <w:rsid w:val="0008326C"/>
    <w:rsid w:val="000A6194"/>
    <w:rsid w:val="000A75AD"/>
    <w:rsid w:val="000C7D47"/>
    <w:rsid w:val="000D4857"/>
    <w:rsid w:val="001009CB"/>
    <w:rsid w:val="00125F7A"/>
    <w:rsid w:val="00134F9D"/>
    <w:rsid w:val="00137628"/>
    <w:rsid w:val="001B48FE"/>
    <w:rsid w:val="001B7C4F"/>
    <w:rsid w:val="001F7A28"/>
    <w:rsid w:val="00203D58"/>
    <w:rsid w:val="0021267D"/>
    <w:rsid w:val="0021714C"/>
    <w:rsid w:val="002314B7"/>
    <w:rsid w:val="00255C6C"/>
    <w:rsid w:val="00255F2A"/>
    <w:rsid w:val="00262868"/>
    <w:rsid w:val="002708E2"/>
    <w:rsid w:val="00273CAC"/>
    <w:rsid w:val="002750AA"/>
    <w:rsid w:val="00275D4F"/>
    <w:rsid w:val="002B109B"/>
    <w:rsid w:val="002C2B06"/>
    <w:rsid w:val="002E3DE4"/>
    <w:rsid w:val="002F0478"/>
    <w:rsid w:val="00315748"/>
    <w:rsid w:val="003329F6"/>
    <w:rsid w:val="00347BD5"/>
    <w:rsid w:val="00366BEC"/>
    <w:rsid w:val="00395CD8"/>
    <w:rsid w:val="003B24C5"/>
    <w:rsid w:val="003B6404"/>
    <w:rsid w:val="003D25C6"/>
    <w:rsid w:val="003E7A0B"/>
    <w:rsid w:val="003F2287"/>
    <w:rsid w:val="00403941"/>
    <w:rsid w:val="004317D9"/>
    <w:rsid w:val="00433724"/>
    <w:rsid w:val="00470A46"/>
    <w:rsid w:val="0047435C"/>
    <w:rsid w:val="00485F60"/>
    <w:rsid w:val="0049143C"/>
    <w:rsid w:val="0049620A"/>
    <w:rsid w:val="004963F7"/>
    <w:rsid w:val="004B5C99"/>
    <w:rsid w:val="00503112"/>
    <w:rsid w:val="005042B4"/>
    <w:rsid w:val="005070B3"/>
    <w:rsid w:val="00511071"/>
    <w:rsid w:val="00514B6C"/>
    <w:rsid w:val="0052112E"/>
    <w:rsid w:val="0053062D"/>
    <w:rsid w:val="0054071E"/>
    <w:rsid w:val="0054576B"/>
    <w:rsid w:val="00551EB8"/>
    <w:rsid w:val="005632DB"/>
    <w:rsid w:val="00570D2E"/>
    <w:rsid w:val="00597458"/>
    <w:rsid w:val="005A1153"/>
    <w:rsid w:val="005B3180"/>
    <w:rsid w:val="005B4BE6"/>
    <w:rsid w:val="005E2DE5"/>
    <w:rsid w:val="005E6808"/>
    <w:rsid w:val="005E7FA5"/>
    <w:rsid w:val="005F2E1C"/>
    <w:rsid w:val="005F5662"/>
    <w:rsid w:val="006012BD"/>
    <w:rsid w:val="0060206A"/>
    <w:rsid w:val="0060647C"/>
    <w:rsid w:val="0061430A"/>
    <w:rsid w:val="00615D1E"/>
    <w:rsid w:val="00617CA9"/>
    <w:rsid w:val="00624344"/>
    <w:rsid w:val="0063088D"/>
    <w:rsid w:val="0064066B"/>
    <w:rsid w:val="00642E12"/>
    <w:rsid w:val="006643BF"/>
    <w:rsid w:val="006678FB"/>
    <w:rsid w:val="00672021"/>
    <w:rsid w:val="0068450F"/>
    <w:rsid w:val="006C0492"/>
    <w:rsid w:val="007010ED"/>
    <w:rsid w:val="007032E1"/>
    <w:rsid w:val="00711C5C"/>
    <w:rsid w:val="00723E96"/>
    <w:rsid w:val="007316DF"/>
    <w:rsid w:val="00783883"/>
    <w:rsid w:val="007B2654"/>
    <w:rsid w:val="007F6CF5"/>
    <w:rsid w:val="0081241B"/>
    <w:rsid w:val="008331DD"/>
    <w:rsid w:val="00833FC4"/>
    <w:rsid w:val="00866223"/>
    <w:rsid w:val="00866A04"/>
    <w:rsid w:val="0087131E"/>
    <w:rsid w:val="00876575"/>
    <w:rsid w:val="00876761"/>
    <w:rsid w:val="00885F0A"/>
    <w:rsid w:val="00896A20"/>
    <w:rsid w:val="008A0209"/>
    <w:rsid w:val="008A5037"/>
    <w:rsid w:val="008B03E3"/>
    <w:rsid w:val="008B36E6"/>
    <w:rsid w:val="008D3EAB"/>
    <w:rsid w:val="009000C1"/>
    <w:rsid w:val="009024F1"/>
    <w:rsid w:val="00905CB8"/>
    <w:rsid w:val="009079EE"/>
    <w:rsid w:val="00914FDE"/>
    <w:rsid w:val="0093187B"/>
    <w:rsid w:val="009421A2"/>
    <w:rsid w:val="00942506"/>
    <w:rsid w:val="00953223"/>
    <w:rsid w:val="009549B1"/>
    <w:rsid w:val="0095506B"/>
    <w:rsid w:val="00985532"/>
    <w:rsid w:val="00990A59"/>
    <w:rsid w:val="00991167"/>
    <w:rsid w:val="00995150"/>
    <w:rsid w:val="009A0613"/>
    <w:rsid w:val="009A0975"/>
    <w:rsid w:val="009A3E0D"/>
    <w:rsid w:val="009B07C1"/>
    <w:rsid w:val="009B4D83"/>
    <w:rsid w:val="009C39C0"/>
    <w:rsid w:val="009C604F"/>
    <w:rsid w:val="00A005A7"/>
    <w:rsid w:val="00A068CA"/>
    <w:rsid w:val="00A23C71"/>
    <w:rsid w:val="00A2485C"/>
    <w:rsid w:val="00A31F6E"/>
    <w:rsid w:val="00A46F4B"/>
    <w:rsid w:val="00A53C28"/>
    <w:rsid w:val="00A64449"/>
    <w:rsid w:val="00A80727"/>
    <w:rsid w:val="00A818EF"/>
    <w:rsid w:val="00AB3CD9"/>
    <w:rsid w:val="00AC5AAD"/>
    <w:rsid w:val="00AD1DD1"/>
    <w:rsid w:val="00AD260C"/>
    <w:rsid w:val="00AE16E7"/>
    <w:rsid w:val="00AF4215"/>
    <w:rsid w:val="00B06CBE"/>
    <w:rsid w:val="00B07A4E"/>
    <w:rsid w:val="00B10D3F"/>
    <w:rsid w:val="00B226F8"/>
    <w:rsid w:val="00B25444"/>
    <w:rsid w:val="00B32801"/>
    <w:rsid w:val="00B403EB"/>
    <w:rsid w:val="00B440EB"/>
    <w:rsid w:val="00B75041"/>
    <w:rsid w:val="00B755C8"/>
    <w:rsid w:val="00B809FE"/>
    <w:rsid w:val="00B84008"/>
    <w:rsid w:val="00B84A26"/>
    <w:rsid w:val="00B91E74"/>
    <w:rsid w:val="00BA2126"/>
    <w:rsid w:val="00BA33E8"/>
    <w:rsid w:val="00BA5659"/>
    <w:rsid w:val="00BA6580"/>
    <w:rsid w:val="00BB7BD8"/>
    <w:rsid w:val="00BE7C0B"/>
    <w:rsid w:val="00C075B1"/>
    <w:rsid w:val="00C155B5"/>
    <w:rsid w:val="00C15FC3"/>
    <w:rsid w:val="00C409C7"/>
    <w:rsid w:val="00C4266D"/>
    <w:rsid w:val="00C67105"/>
    <w:rsid w:val="00C67455"/>
    <w:rsid w:val="00C93B5D"/>
    <w:rsid w:val="00CA65EE"/>
    <w:rsid w:val="00CA7AF9"/>
    <w:rsid w:val="00CB235E"/>
    <w:rsid w:val="00CB4683"/>
    <w:rsid w:val="00CB4A71"/>
    <w:rsid w:val="00CD05B9"/>
    <w:rsid w:val="00D35B78"/>
    <w:rsid w:val="00D66A77"/>
    <w:rsid w:val="00D66CD0"/>
    <w:rsid w:val="00D82C35"/>
    <w:rsid w:val="00D95EB3"/>
    <w:rsid w:val="00D96D58"/>
    <w:rsid w:val="00DC2120"/>
    <w:rsid w:val="00DD59A8"/>
    <w:rsid w:val="00DE2473"/>
    <w:rsid w:val="00DE7E45"/>
    <w:rsid w:val="00E11B7F"/>
    <w:rsid w:val="00E1622C"/>
    <w:rsid w:val="00E43FFA"/>
    <w:rsid w:val="00E56892"/>
    <w:rsid w:val="00E56EE6"/>
    <w:rsid w:val="00E62573"/>
    <w:rsid w:val="00E65571"/>
    <w:rsid w:val="00E75462"/>
    <w:rsid w:val="00E82794"/>
    <w:rsid w:val="00E84E38"/>
    <w:rsid w:val="00EC23C2"/>
    <w:rsid w:val="00ED4DBD"/>
    <w:rsid w:val="00EE149F"/>
    <w:rsid w:val="00EE3280"/>
    <w:rsid w:val="00EE7AB9"/>
    <w:rsid w:val="00EF3EF6"/>
    <w:rsid w:val="00EF5819"/>
    <w:rsid w:val="00F56DEE"/>
    <w:rsid w:val="00F664BD"/>
    <w:rsid w:val="00F70320"/>
    <w:rsid w:val="00F7225E"/>
    <w:rsid w:val="00F8130E"/>
    <w:rsid w:val="00F8137F"/>
    <w:rsid w:val="00F841B8"/>
    <w:rsid w:val="00F964E3"/>
    <w:rsid w:val="00FA299E"/>
    <w:rsid w:val="00FA3BBA"/>
    <w:rsid w:val="00FC6867"/>
    <w:rsid w:val="00FD3580"/>
    <w:rsid w:val="00FD46B2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9F38"/>
  <w15:docId w15:val="{F5D08FE1-DF7D-46C5-9820-B319DDDC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E38"/>
  </w:style>
  <w:style w:type="paragraph" w:styleId="Rodap">
    <w:name w:val="footer"/>
    <w:basedOn w:val="Normal"/>
    <w:link w:val="RodapChar"/>
    <w:uiPriority w:val="99"/>
    <w:unhideWhenUsed/>
    <w:rsid w:val="00E84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E38"/>
  </w:style>
  <w:style w:type="paragraph" w:customStyle="1" w:styleId="Default">
    <w:name w:val="Default"/>
    <w:rsid w:val="009A3E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3B5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7225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B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4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743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43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43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43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435C"/>
    <w:rPr>
      <w:b/>
      <w:bCs/>
      <w:sz w:val="20"/>
      <w:szCs w:val="20"/>
    </w:rPr>
  </w:style>
  <w:style w:type="numbering" w:customStyle="1" w:styleId="WWNum3">
    <w:name w:val="WWNum3"/>
    <w:basedOn w:val="Semlista"/>
    <w:rsid w:val="00D35B7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D04899D12F2646A5700E3663D280D7" ma:contentTypeVersion="11" ma:contentTypeDescription="Crie um novo documento." ma:contentTypeScope="" ma:versionID="bf3ec10d7304b33f5295dafc2de848e6">
  <xsd:schema xmlns:xsd="http://www.w3.org/2001/XMLSchema" xmlns:xs="http://www.w3.org/2001/XMLSchema" xmlns:p="http://schemas.microsoft.com/office/2006/metadata/properties" xmlns:ns3="eac40f1d-5ad6-4a4e-8a04-c959857cc167" targetNamespace="http://schemas.microsoft.com/office/2006/metadata/properties" ma:root="true" ma:fieldsID="0113ed35eb9cc0ed9aeedd856f0aa1ed" ns3:_="">
    <xsd:import namespace="eac40f1d-5ad6-4a4e-8a04-c959857cc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40f1d-5ad6-4a4e-8a04-c959857cc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4F1-8329-48F3-BC41-344C6FB0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40f1d-5ad6-4a4e-8a04-c959857cc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DED83-F205-4B93-BA22-77F52DF468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B27C0-EE61-4747-8CED-697932D06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7378F0-E3B7-4D5D-A292-829E8755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1471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Cazal</dc:creator>
  <cp:lastModifiedBy>Elaine Benite</cp:lastModifiedBy>
  <cp:revision>3</cp:revision>
  <cp:lastPrinted>2021-05-19T18:03:00Z</cp:lastPrinted>
  <dcterms:created xsi:type="dcterms:W3CDTF">2021-11-10T18:29:00Z</dcterms:created>
  <dcterms:modified xsi:type="dcterms:W3CDTF">2021-11-10T18:38:00Z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0x010100E1D04899D12F2646A5700E3663D280D7</vt:lpwstr>
  </property>
</Properties>
</file>