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ED67" w14:textId="2F0719CB" w:rsidR="00FA0CC2" w:rsidRPr="00954AF2" w:rsidRDefault="00FA0CC2" w:rsidP="00954AF2">
      <w:pPr>
        <w:spacing w:after="0"/>
        <w:rPr>
          <w:rFonts w:ascii="Arial" w:hAnsi="Arial" w:cs="Arial"/>
          <w:sz w:val="24"/>
          <w:szCs w:val="24"/>
        </w:rPr>
      </w:pPr>
    </w:p>
    <w:p w14:paraId="0667906B" w14:textId="77777777" w:rsidR="00FA0CC2" w:rsidRPr="008E3353" w:rsidRDefault="008D4DF4">
      <w:pPr>
        <w:keepNext/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lang w:val="pt-BR"/>
        </w:rPr>
      </w:pPr>
      <w:r w:rsidRPr="008E3353">
        <w:rPr>
          <w:rFonts w:ascii="Arial" w:eastAsia="Arial" w:hAnsi="Arial" w:cs="Arial"/>
          <w:b/>
          <w:sz w:val="24"/>
          <w:szCs w:val="24"/>
          <w:lang w:val="pt-BR"/>
        </w:rPr>
        <w:t xml:space="preserve">MERCOSUR/SGT Nº 3/CSPE/ACTA Nº </w:t>
      </w:r>
      <w:r w:rsidRPr="008E3353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0</w:t>
      </w:r>
      <w:r w:rsidR="00201459">
        <w:rPr>
          <w:rFonts w:ascii="Arial" w:eastAsia="Arial" w:hAnsi="Arial" w:cs="Arial"/>
          <w:b/>
          <w:sz w:val="24"/>
          <w:szCs w:val="24"/>
          <w:lang w:val="pt-BR"/>
        </w:rPr>
        <w:t>1</w:t>
      </w:r>
      <w:r w:rsidRPr="008E3353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/2</w:t>
      </w:r>
      <w:r w:rsidR="00201459">
        <w:rPr>
          <w:rFonts w:ascii="Arial" w:eastAsia="Arial" w:hAnsi="Arial" w:cs="Arial"/>
          <w:b/>
          <w:sz w:val="24"/>
          <w:szCs w:val="24"/>
          <w:lang w:val="pt-BR"/>
        </w:rPr>
        <w:t>2</w:t>
      </w:r>
    </w:p>
    <w:p w14:paraId="4E1C000F" w14:textId="77777777" w:rsidR="00FA0CC2" w:rsidRPr="008E3353" w:rsidRDefault="00FA0CC2">
      <w:pPr>
        <w:spacing w:after="120" w:line="240" w:lineRule="auto"/>
        <w:ind w:left="283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33B1937" w14:textId="77777777" w:rsidR="00FA0CC2" w:rsidRDefault="008D4DF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 w:rsidRPr="0089126C">
        <w:rPr>
          <w:rFonts w:ascii="Arial" w:eastAsia="Arial" w:hAnsi="Arial" w:cs="Arial"/>
          <w:b/>
          <w:sz w:val="24"/>
          <w:szCs w:val="24"/>
        </w:rPr>
        <w:t>LXX</w:t>
      </w:r>
      <w:r w:rsidR="003424F4" w:rsidRPr="0089126C">
        <w:rPr>
          <w:rFonts w:ascii="Arial" w:eastAsia="Arial" w:hAnsi="Arial" w:cs="Arial"/>
          <w:b/>
          <w:sz w:val="24"/>
          <w:szCs w:val="24"/>
        </w:rPr>
        <w:t>IX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REUNIÓN ORDINARIA DEL SUBGRUPO DE TRABAJO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3 “REGLAMENTOS TÉCNICOS Y EVALUACIÓN DE LA CONFORMIDAD” COMISIÓN DE SEGURIDAD DE PRODUCTOS ELÉCTRICOS</w:t>
      </w:r>
    </w:p>
    <w:p w14:paraId="2D431DAF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78C565C" w14:textId="1A57424C" w:rsidR="004B0A72" w:rsidRDefault="004B0A72" w:rsidP="004B0A7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B0A72">
        <w:rPr>
          <w:rFonts w:ascii="Arial" w:hAnsi="Arial" w:cs="Arial"/>
          <w:sz w:val="24"/>
          <w:szCs w:val="24"/>
          <w:lang w:val="es-ES"/>
        </w:rPr>
        <w:t xml:space="preserve">Se realizó </w:t>
      </w:r>
      <w:r>
        <w:rPr>
          <w:rFonts w:ascii="Arial" w:hAnsi="Arial" w:cs="Arial"/>
          <w:sz w:val="24"/>
          <w:szCs w:val="24"/>
          <w:lang w:val="es-ES"/>
        </w:rPr>
        <w:t xml:space="preserve">entre </w:t>
      </w:r>
      <w:r w:rsidRPr="004B0A72">
        <w:rPr>
          <w:rFonts w:ascii="Arial" w:hAnsi="Arial" w:cs="Arial"/>
          <w:sz w:val="24"/>
          <w:szCs w:val="24"/>
          <w:lang w:val="es-ES"/>
        </w:rPr>
        <w:t xml:space="preserve">los días </w:t>
      </w:r>
      <w:r>
        <w:rPr>
          <w:rFonts w:ascii="Arial" w:hAnsi="Arial" w:cs="Arial"/>
          <w:sz w:val="24"/>
          <w:szCs w:val="24"/>
          <w:lang w:val="es-ES"/>
        </w:rPr>
        <w:t>19</w:t>
      </w:r>
      <w:r w:rsidRPr="004B0A72">
        <w:rPr>
          <w:rFonts w:ascii="Arial" w:hAnsi="Arial" w:cs="Arial"/>
          <w:sz w:val="24"/>
          <w:szCs w:val="24"/>
          <w:lang w:val="es-ES"/>
        </w:rPr>
        <w:t xml:space="preserve"> y </w:t>
      </w:r>
      <w:r>
        <w:rPr>
          <w:rFonts w:ascii="Arial" w:hAnsi="Arial" w:cs="Arial"/>
          <w:sz w:val="24"/>
          <w:szCs w:val="24"/>
          <w:lang w:val="es-ES"/>
        </w:rPr>
        <w:t>21</w:t>
      </w:r>
      <w:r w:rsidRPr="004B0A72">
        <w:rPr>
          <w:rFonts w:ascii="Arial" w:hAnsi="Arial" w:cs="Arial"/>
          <w:sz w:val="24"/>
          <w:szCs w:val="24"/>
          <w:lang w:val="es-ES"/>
        </w:rPr>
        <w:t xml:space="preserve"> de abril de 2022, en ejercicio de la Presidencia Pro Tempore de </w:t>
      </w:r>
      <w:r w:rsidR="000B3A9B">
        <w:rPr>
          <w:rFonts w:ascii="Arial" w:hAnsi="Arial" w:cs="Arial"/>
          <w:sz w:val="24"/>
          <w:szCs w:val="24"/>
          <w:lang w:val="es-ES"/>
        </w:rPr>
        <w:t>P</w:t>
      </w:r>
      <w:r w:rsidRPr="004B0A72">
        <w:rPr>
          <w:rFonts w:ascii="Arial" w:hAnsi="Arial" w:cs="Arial"/>
          <w:sz w:val="24"/>
          <w:szCs w:val="24"/>
          <w:lang w:val="es-ES"/>
        </w:rPr>
        <w:t>araguay (PPTP), la</w:t>
      </w:r>
      <w:r w:rsidRPr="004B0A72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B0A72">
        <w:rPr>
          <w:rFonts w:ascii="Arial" w:hAnsi="Arial" w:cs="Arial"/>
          <w:bCs/>
          <w:noProof/>
          <w:sz w:val="24"/>
          <w:szCs w:val="24"/>
          <w:lang w:val="es-ES_tradnl"/>
        </w:rPr>
        <w:t xml:space="preserve">Reunión de la </w:t>
      </w:r>
      <w:r>
        <w:rPr>
          <w:rFonts w:ascii="Arial" w:eastAsia="Arial" w:hAnsi="Arial" w:cs="Arial"/>
          <w:sz w:val="24"/>
          <w:szCs w:val="24"/>
        </w:rPr>
        <w:t>Comisión de Seguridad de Productos Eléctricos,</w:t>
      </w:r>
      <w:r w:rsidRPr="004B0A72">
        <w:rPr>
          <w:rFonts w:ascii="Arial" w:hAnsi="Arial" w:cs="Arial"/>
          <w:bCs/>
          <w:sz w:val="24"/>
          <w:szCs w:val="24"/>
          <w:lang w:val="es-ES_tradnl"/>
        </w:rPr>
        <w:t xml:space="preserve"> en el marco de la LXXIX Reunión Ordinaria del SGT </w:t>
      </w:r>
      <w:proofErr w:type="spellStart"/>
      <w:r w:rsidRPr="004B0A72">
        <w:rPr>
          <w:rFonts w:ascii="Arial" w:hAnsi="Arial" w:cs="Arial"/>
          <w:bCs/>
          <w:sz w:val="24"/>
          <w:szCs w:val="24"/>
          <w:lang w:val="es-ES_tradnl"/>
        </w:rPr>
        <w:t>N°</w:t>
      </w:r>
      <w:proofErr w:type="spellEnd"/>
      <w:r w:rsidRPr="004B0A72">
        <w:rPr>
          <w:rFonts w:ascii="Arial" w:hAnsi="Arial" w:cs="Arial"/>
          <w:bCs/>
          <w:sz w:val="24"/>
          <w:szCs w:val="24"/>
          <w:lang w:val="es-ES_tradnl"/>
        </w:rPr>
        <w:t xml:space="preserve"> 3 Reglamentos Técnicos y Evaluación de la Conformidad”</w:t>
      </w:r>
      <w:r w:rsidRPr="004B0A72">
        <w:rPr>
          <w:rFonts w:ascii="Arial" w:hAnsi="Arial" w:cs="Arial"/>
          <w:sz w:val="24"/>
          <w:szCs w:val="24"/>
          <w:lang w:val="es-ES"/>
        </w:rPr>
        <w:t xml:space="preserve">, por sistema de videoconferencia, </w:t>
      </w:r>
      <w:r w:rsidRPr="004B0A72">
        <w:rPr>
          <w:rFonts w:ascii="Arial" w:hAnsi="Arial" w:cs="Arial"/>
          <w:sz w:val="24"/>
          <w:szCs w:val="24"/>
          <w:lang w:val="es-ES_tradnl"/>
        </w:rPr>
        <w:t xml:space="preserve">conforme se establece en la </w:t>
      </w:r>
      <w:r w:rsidRPr="004B0A72">
        <w:rPr>
          <w:rFonts w:ascii="Arial" w:hAnsi="Arial" w:cs="Arial"/>
          <w:sz w:val="24"/>
          <w:szCs w:val="24"/>
          <w:lang w:val="es-ES"/>
        </w:rPr>
        <w:t xml:space="preserve">Resolución GMC </w:t>
      </w:r>
      <w:proofErr w:type="spellStart"/>
      <w:r w:rsidRPr="004B0A72"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 w:rsidRPr="004B0A72">
        <w:rPr>
          <w:rFonts w:ascii="Arial" w:hAnsi="Arial" w:cs="Arial"/>
          <w:sz w:val="24"/>
          <w:szCs w:val="24"/>
          <w:lang w:val="es-ES"/>
        </w:rPr>
        <w:t xml:space="preserve"> 19/12, con la participación de las </w:t>
      </w:r>
      <w:r w:rsidR="0008023E">
        <w:rPr>
          <w:rFonts w:ascii="Arial" w:hAnsi="Arial" w:cs="Arial"/>
          <w:sz w:val="24"/>
          <w:szCs w:val="24"/>
          <w:lang w:val="es-ES"/>
        </w:rPr>
        <w:t>d</w:t>
      </w:r>
      <w:r w:rsidRPr="004B0A72">
        <w:rPr>
          <w:rFonts w:ascii="Arial" w:hAnsi="Arial" w:cs="Arial"/>
          <w:sz w:val="24"/>
          <w:szCs w:val="24"/>
          <w:lang w:val="es-ES"/>
        </w:rPr>
        <w:t>elegaciones de Argentina, Paraguay y Uruguay.</w:t>
      </w:r>
    </w:p>
    <w:p w14:paraId="45878770" w14:textId="7B63B863" w:rsidR="004B0A72" w:rsidRDefault="004B0A72" w:rsidP="004B0A7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5ECF7117" w14:textId="0A0CF4A0" w:rsidR="004B0A72" w:rsidRPr="0089126C" w:rsidRDefault="004B0A72" w:rsidP="004B0A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9126C">
        <w:rPr>
          <w:rFonts w:ascii="Arial" w:eastAsia="Arial" w:hAnsi="Arial" w:cs="Arial"/>
          <w:sz w:val="24"/>
          <w:szCs w:val="24"/>
        </w:rPr>
        <w:t xml:space="preserve">Teniendo en cuenta que la </w:t>
      </w:r>
      <w:r>
        <w:rPr>
          <w:rFonts w:ascii="Arial" w:eastAsia="Arial" w:hAnsi="Arial" w:cs="Arial"/>
          <w:sz w:val="24"/>
          <w:szCs w:val="24"/>
        </w:rPr>
        <w:t>d</w:t>
      </w:r>
      <w:r w:rsidRPr="0089126C">
        <w:rPr>
          <w:rFonts w:ascii="Arial" w:eastAsia="Arial" w:hAnsi="Arial" w:cs="Arial"/>
          <w:sz w:val="24"/>
          <w:szCs w:val="24"/>
        </w:rPr>
        <w:t xml:space="preserve">elegación de Brasil no participó de la presente reunión, el Acta queda sujeta a lo dispuesto en la Decisión CMC </w:t>
      </w:r>
      <w:proofErr w:type="spellStart"/>
      <w:r w:rsidRPr="0089126C">
        <w:rPr>
          <w:rFonts w:ascii="Arial" w:eastAsia="Arial" w:hAnsi="Arial" w:cs="Arial"/>
          <w:sz w:val="24"/>
          <w:szCs w:val="24"/>
        </w:rPr>
        <w:t>Nº</w:t>
      </w:r>
      <w:proofErr w:type="spellEnd"/>
      <w:r w:rsidRPr="0089126C">
        <w:rPr>
          <w:rFonts w:ascii="Arial" w:eastAsia="Arial" w:hAnsi="Arial" w:cs="Arial"/>
          <w:sz w:val="24"/>
          <w:szCs w:val="24"/>
        </w:rPr>
        <w:t xml:space="preserve"> 44/15.</w:t>
      </w:r>
    </w:p>
    <w:p w14:paraId="0DD9F9FE" w14:textId="77777777" w:rsidR="004B0A72" w:rsidRPr="004B0A72" w:rsidRDefault="004B0A72" w:rsidP="004B0A72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7E582E55" w14:textId="77777777" w:rsidR="004B0A72" w:rsidRPr="004B0A72" w:rsidRDefault="004B0A72" w:rsidP="004B0A72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B0A72">
        <w:rPr>
          <w:rFonts w:ascii="Arial" w:hAnsi="Arial" w:cs="Arial"/>
          <w:sz w:val="24"/>
          <w:szCs w:val="24"/>
          <w:lang w:val="es-ES_tradnl"/>
        </w:rPr>
        <w:t xml:space="preserve">La Lista de Participantes consta como </w:t>
      </w:r>
      <w:r w:rsidRPr="004B0A72">
        <w:rPr>
          <w:rFonts w:ascii="Arial" w:hAnsi="Arial" w:cs="Arial"/>
          <w:b/>
          <w:sz w:val="24"/>
          <w:szCs w:val="24"/>
          <w:lang w:val="es-ES_tradnl"/>
        </w:rPr>
        <w:t>Agregado I</w:t>
      </w:r>
      <w:r w:rsidRPr="004B0A72">
        <w:rPr>
          <w:rFonts w:ascii="Arial" w:hAnsi="Arial" w:cs="Arial"/>
          <w:sz w:val="24"/>
          <w:szCs w:val="24"/>
          <w:lang w:val="es-ES_tradnl"/>
        </w:rPr>
        <w:t>.</w:t>
      </w:r>
    </w:p>
    <w:p w14:paraId="17F66167" w14:textId="77777777" w:rsidR="004B0A72" w:rsidRPr="004B0A72" w:rsidRDefault="004B0A72" w:rsidP="004B0A72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2035CE5" w14:textId="77777777" w:rsidR="004B0A72" w:rsidRPr="004B0A72" w:rsidRDefault="004B0A72" w:rsidP="004B0A72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B0A72">
        <w:rPr>
          <w:rFonts w:ascii="Arial" w:hAnsi="Arial" w:cs="Arial"/>
          <w:sz w:val="24"/>
          <w:szCs w:val="24"/>
          <w:lang w:val="es-ES_tradnl"/>
        </w:rPr>
        <w:t xml:space="preserve">La Agenda de la Reunión consta como </w:t>
      </w:r>
      <w:r w:rsidRPr="004B0A72">
        <w:rPr>
          <w:rFonts w:ascii="Arial" w:hAnsi="Arial" w:cs="Arial"/>
          <w:b/>
          <w:sz w:val="24"/>
          <w:szCs w:val="24"/>
          <w:lang w:val="es-ES_tradnl"/>
        </w:rPr>
        <w:t>Agregado II</w:t>
      </w:r>
      <w:r w:rsidRPr="004B0A72">
        <w:rPr>
          <w:rFonts w:ascii="Arial" w:hAnsi="Arial" w:cs="Arial"/>
          <w:sz w:val="24"/>
          <w:szCs w:val="24"/>
          <w:lang w:val="es-ES_tradnl"/>
        </w:rPr>
        <w:t>.</w:t>
      </w:r>
    </w:p>
    <w:p w14:paraId="12215D0D" w14:textId="77777777" w:rsidR="004B0A72" w:rsidRPr="004B0A72" w:rsidRDefault="004B0A72" w:rsidP="004B0A72">
      <w:pPr>
        <w:spacing w:after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24FB7AF7" w14:textId="77777777" w:rsidR="004B0A72" w:rsidRPr="004B0A72" w:rsidRDefault="004B0A72" w:rsidP="004B0A72">
      <w:pPr>
        <w:spacing w:after="0"/>
        <w:ind w:left="709" w:hanging="709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B0A72">
        <w:rPr>
          <w:rFonts w:ascii="Arial" w:hAnsi="Arial" w:cs="Arial"/>
          <w:bCs/>
          <w:sz w:val="24"/>
          <w:szCs w:val="24"/>
          <w:lang w:val="es-ES_tradnl"/>
        </w:rPr>
        <w:t>Fueron tratados los siguientes temas:</w:t>
      </w:r>
    </w:p>
    <w:p w14:paraId="26CAFF53" w14:textId="77777777" w:rsidR="004B0A72" w:rsidRPr="004B0A72" w:rsidRDefault="004B0A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0035F6F4" w14:textId="77777777" w:rsidR="00FA0CC2" w:rsidRDefault="00FA0CC2" w:rsidP="004B0A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4F99CD" w14:textId="77777777" w:rsidR="00FA0CC2" w:rsidRDefault="008D4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INSTRUCCIONES DE LOS COORDINADORES NACIONALES</w:t>
      </w:r>
    </w:p>
    <w:p w14:paraId="55CC18ED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1E520F4" w14:textId="77777777" w:rsidR="00FA0CC2" w:rsidRDefault="008D4DF4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de Seguridad de Productos Eléctricos tomó conocimiento de las instrucciones de los Coordinadores Nacionales.</w:t>
      </w:r>
    </w:p>
    <w:p w14:paraId="1E2DF6DA" w14:textId="77777777" w:rsidR="00FA0CC2" w:rsidRDefault="00FA0CC2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63C43D" w14:textId="77777777" w:rsidR="00FA0CC2" w:rsidRDefault="00FA0CC2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6C3718" w14:textId="77777777" w:rsidR="00FA0CC2" w:rsidRDefault="008D4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PROYECTO DE RTM PARA SEGURIDAD DE APARATOS ELECTRODOMÉSTICOS Y SIMILARES – REQUISITOS ESPECÍFICOS – APARATOS PARA EL CUIDADO DE LA PIEL Y EL CABELLO</w:t>
      </w:r>
    </w:p>
    <w:p w14:paraId="6C8A72E0" w14:textId="77777777" w:rsidR="00FA0CC2" w:rsidRDefault="00FA0CC2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1665EF71" w14:textId="751BAEC7" w:rsidR="009101A7" w:rsidRDefault="009101A7" w:rsidP="009101A7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Paraguay prop</w:t>
      </w:r>
      <w:r w:rsidR="00AC162A"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E4F1A">
        <w:rPr>
          <w:rFonts w:ascii="Arial" w:eastAsia="Arial" w:hAnsi="Arial" w:cs="Arial"/>
          <w:sz w:val="24"/>
          <w:szCs w:val="24"/>
        </w:rPr>
        <w:t xml:space="preserve">que se efectúe </w:t>
      </w:r>
      <w:r>
        <w:rPr>
          <w:rFonts w:ascii="Arial" w:eastAsia="Arial" w:hAnsi="Arial" w:cs="Arial"/>
          <w:sz w:val="24"/>
          <w:szCs w:val="24"/>
        </w:rPr>
        <w:t>el tratamiento de la definición del esquema de evaluación de la conformidad a ser utilizado en este RTM</w:t>
      </w:r>
      <w:r w:rsidR="001E4F1A">
        <w:rPr>
          <w:rFonts w:ascii="Arial" w:eastAsia="Arial" w:hAnsi="Arial" w:cs="Arial"/>
          <w:sz w:val="24"/>
          <w:szCs w:val="24"/>
        </w:rPr>
        <w:t xml:space="preserve"> cuando </w:t>
      </w:r>
      <w:r w:rsidR="00B33363">
        <w:rPr>
          <w:rFonts w:ascii="Arial" w:eastAsia="Arial" w:hAnsi="Arial" w:cs="Arial"/>
          <w:sz w:val="24"/>
          <w:szCs w:val="24"/>
        </w:rPr>
        <w:t xml:space="preserve">esté </w:t>
      </w:r>
      <w:r w:rsidR="001E4F1A">
        <w:rPr>
          <w:rFonts w:ascii="Arial" w:eastAsia="Arial" w:hAnsi="Arial" w:cs="Arial"/>
          <w:sz w:val="24"/>
          <w:szCs w:val="24"/>
        </w:rPr>
        <w:t xml:space="preserve">presente </w:t>
      </w:r>
      <w:r w:rsidR="0089126C">
        <w:rPr>
          <w:rFonts w:ascii="Arial" w:eastAsia="Arial" w:hAnsi="Arial" w:cs="Arial"/>
          <w:sz w:val="24"/>
          <w:szCs w:val="24"/>
        </w:rPr>
        <w:t>la</w:t>
      </w:r>
      <w:r w:rsidR="001E4F1A">
        <w:rPr>
          <w:rFonts w:ascii="Arial" w:eastAsia="Arial" w:hAnsi="Arial" w:cs="Arial"/>
          <w:sz w:val="24"/>
          <w:szCs w:val="24"/>
        </w:rPr>
        <w:t xml:space="preserve">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1E4F1A">
        <w:rPr>
          <w:rFonts w:ascii="Arial" w:eastAsia="Arial" w:hAnsi="Arial" w:cs="Arial"/>
          <w:sz w:val="24"/>
          <w:szCs w:val="24"/>
        </w:rPr>
        <w:t>elegación de Brasil, debido a que dicho punto fue propuesto</w:t>
      </w:r>
      <w:r>
        <w:rPr>
          <w:rFonts w:ascii="Arial" w:eastAsia="Arial" w:hAnsi="Arial" w:cs="Arial"/>
          <w:sz w:val="24"/>
          <w:szCs w:val="24"/>
        </w:rPr>
        <w:t xml:space="preserve"> por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Brasil en el Punto </w:t>
      </w:r>
      <w:r w:rsidR="003424F4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del Acta </w:t>
      </w:r>
      <w:proofErr w:type="spellStart"/>
      <w:r w:rsidRPr="009101A7">
        <w:rPr>
          <w:rFonts w:ascii="Arial" w:eastAsia="Arial" w:hAnsi="Arial" w:cs="Arial"/>
          <w:sz w:val="24"/>
          <w:szCs w:val="24"/>
        </w:rPr>
        <w:t>Nº</w:t>
      </w:r>
      <w:proofErr w:type="spellEnd"/>
      <w:r w:rsidRPr="009101A7">
        <w:rPr>
          <w:rFonts w:ascii="Arial" w:eastAsia="Arial" w:hAnsi="Arial" w:cs="Arial"/>
          <w:sz w:val="24"/>
          <w:szCs w:val="24"/>
        </w:rPr>
        <w:t xml:space="preserve"> 02/21</w:t>
      </w:r>
      <w:r>
        <w:rPr>
          <w:rFonts w:ascii="Arial" w:eastAsia="Arial" w:hAnsi="Arial" w:cs="Arial"/>
          <w:sz w:val="24"/>
          <w:szCs w:val="24"/>
        </w:rPr>
        <w:t xml:space="preserve"> de la CSPE durante la Presidencia </w:t>
      </w:r>
      <w:r w:rsidRPr="00AC162A">
        <w:rPr>
          <w:rFonts w:ascii="Arial" w:eastAsia="Arial" w:hAnsi="Arial" w:cs="Arial"/>
          <w:i/>
          <w:iCs/>
          <w:sz w:val="24"/>
          <w:szCs w:val="24"/>
        </w:rPr>
        <w:t>Pro Tempore</w:t>
      </w:r>
      <w:r>
        <w:rPr>
          <w:rFonts w:ascii="Arial" w:eastAsia="Arial" w:hAnsi="Arial" w:cs="Arial"/>
          <w:sz w:val="24"/>
          <w:szCs w:val="24"/>
        </w:rPr>
        <w:t xml:space="preserve"> de Argentina (PPTA), celebrada del 7 al 9 de junio de 2021.</w:t>
      </w:r>
    </w:p>
    <w:p w14:paraId="5F9F8376" w14:textId="77777777" w:rsidR="009101A7" w:rsidRDefault="009101A7" w:rsidP="009101A7">
      <w:pPr>
        <w:keepNext/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8335AA" w14:textId="66D6C781" w:rsidR="003424F4" w:rsidRDefault="003424F4" w:rsidP="003424F4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Las demás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elegaciones presentes </w:t>
      </w:r>
      <w:r w:rsidR="002824CF">
        <w:rPr>
          <w:rFonts w:ascii="Arial" w:eastAsia="Arial" w:hAnsi="Arial" w:cs="Arial"/>
          <w:sz w:val="24"/>
          <w:szCs w:val="24"/>
        </w:rPr>
        <w:t xml:space="preserve">concordaron </w:t>
      </w:r>
      <w:r>
        <w:rPr>
          <w:rFonts w:ascii="Arial" w:eastAsia="Arial" w:hAnsi="Arial" w:cs="Arial"/>
          <w:sz w:val="24"/>
          <w:szCs w:val="24"/>
        </w:rPr>
        <w:t xml:space="preserve">con la propuesta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Paraguay.</w:t>
      </w:r>
    </w:p>
    <w:p w14:paraId="15AE6E89" w14:textId="77777777" w:rsidR="003424F4" w:rsidRDefault="003424F4" w:rsidP="009101A7">
      <w:pPr>
        <w:keepNext/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D344F3" w14:textId="58B09653" w:rsidR="00B355D3" w:rsidRDefault="00B355D3" w:rsidP="00B355D3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el mismo motivo</w:t>
      </w:r>
      <w:r w:rsidR="001E4F1A">
        <w:rPr>
          <w:rFonts w:ascii="Arial" w:eastAsia="Arial" w:hAnsi="Arial" w:cs="Arial"/>
          <w:sz w:val="24"/>
          <w:szCs w:val="24"/>
        </w:rPr>
        <w:t xml:space="preserve">, queda pendiente </w:t>
      </w:r>
      <w:r>
        <w:rPr>
          <w:rFonts w:ascii="Arial" w:eastAsia="Arial" w:hAnsi="Arial" w:cs="Arial"/>
          <w:sz w:val="24"/>
          <w:szCs w:val="24"/>
        </w:rPr>
        <w:t>el análisis del Punto 22 – Construcción</w:t>
      </w:r>
      <w:r w:rsidR="002824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la espera del pronunciamiento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Brasil sobre el mismo.</w:t>
      </w:r>
    </w:p>
    <w:p w14:paraId="47090D8C" w14:textId="0983CEAA" w:rsidR="00FA0CC2" w:rsidRDefault="00FA0CC2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598395" w14:textId="77777777" w:rsidR="00FA0CC2" w:rsidRDefault="008D4DF4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continuó con el estudio del RTM:</w:t>
      </w:r>
    </w:p>
    <w:p w14:paraId="2219CF29" w14:textId="77777777" w:rsidR="00FA0CC2" w:rsidRDefault="00FA0CC2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32D1E2D" w14:textId="77777777" w:rsidR="00FA0CC2" w:rsidRDefault="008D4DF4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Punto 7.1</w:t>
      </w:r>
    </w:p>
    <w:p w14:paraId="04EB8CBA" w14:textId="77777777" w:rsidR="00FA0CC2" w:rsidRDefault="00FA0C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827005" w14:textId="2F249858" w:rsidR="00FA0CC2" w:rsidRDefault="00B355D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Brasil propuso</w:t>
      </w:r>
      <w:r w:rsidR="008D4DF4">
        <w:rPr>
          <w:rFonts w:ascii="Arial" w:eastAsia="Arial" w:hAnsi="Arial" w:cs="Arial"/>
          <w:sz w:val="24"/>
          <w:szCs w:val="24"/>
        </w:rPr>
        <w:t xml:space="preserve"> incorporar el siguiente texto</w:t>
      </w:r>
      <w:r w:rsidR="00F313BA">
        <w:rPr>
          <w:rFonts w:ascii="Arial" w:eastAsia="Arial" w:hAnsi="Arial" w:cs="Arial"/>
          <w:sz w:val="24"/>
          <w:szCs w:val="24"/>
        </w:rPr>
        <w:t xml:space="preserve"> argumentando que el símbolo establecido por la norma IEC no es suficientemente conocido por los consumidores de su mercado por lo que </w:t>
      </w:r>
      <w:r w:rsidR="00EE0B83">
        <w:rPr>
          <w:rFonts w:ascii="Arial" w:eastAsia="Arial" w:hAnsi="Arial" w:cs="Arial"/>
          <w:sz w:val="24"/>
          <w:szCs w:val="24"/>
        </w:rPr>
        <w:t xml:space="preserve">necesitarían </w:t>
      </w:r>
      <w:r w:rsidR="00F313BA">
        <w:rPr>
          <w:rFonts w:ascii="Arial" w:eastAsia="Arial" w:hAnsi="Arial" w:cs="Arial"/>
          <w:sz w:val="24"/>
          <w:szCs w:val="24"/>
        </w:rPr>
        <w:t xml:space="preserve">una explicación </w:t>
      </w:r>
      <w:r w:rsidR="00AF41BC">
        <w:rPr>
          <w:rFonts w:ascii="Arial" w:eastAsia="Arial" w:hAnsi="Arial" w:cs="Arial"/>
          <w:sz w:val="24"/>
          <w:szCs w:val="24"/>
        </w:rPr>
        <w:t>adicional:</w:t>
      </w:r>
    </w:p>
    <w:p w14:paraId="36104F5A" w14:textId="77777777" w:rsidR="00FA0CC2" w:rsidRDefault="00FA0C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C0F9E0" w14:textId="77777777" w:rsidR="00FA0CC2" w:rsidRDefault="008D4DF4">
      <w:pPr>
        <w:widowControl w:val="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“Los secadores de cabello portátiles, las pinzas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enruladoras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y los aparatos similares, adicionalmente a lo establecido en el punto 7.1., deben marcarse con una leyenda de ADVERTENCIA que exprese el siguiente concepto: </w:t>
      </w:r>
    </w:p>
    <w:p w14:paraId="483ED978" w14:textId="77777777" w:rsidR="00FA0CC2" w:rsidRDefault="00FA0CC2">
      <w:pPr>
        <w:widowControl w:val="0"/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2E29BB4B" w14:textId="77777777" w:rsidR="00FA0CC2" w:rsidRDefault="008D4DF4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“ADVERTENCIA - No usar el aparato cerca del agua”.”</w:t>
      </w:r>
    </w:p>
    <w:p w14:paraId="1202F8E7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13626E" w14:textId="77777777" w:rsidR="00EE0B83" w:rsidRDefault="00F313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 el punto</w:t>
      </w:r>
      <w:r w:rsidR="00EE0B83">
        <w:rPr>
          <w:rFonts w:ascii="Arial" w:eastAsia="Arial" w:hAnsi="Arial" w:cs="Arial"/>
          <w:sz w:val="24"/>
          <w:szCs w:val="24"/>
        </w:rPr>
        <w:t>:</w:t>
      </w:r>
    </w:p>
    <w:p w14:paraId="5DB3C564" w14:textId="77777777" w:rsidR="0089126C" w:rsidRDefault="008912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A86658" w14:textId="76823A4C" w:rsidR="00A703C8" w:rsidRDefault="00EE0B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Uruguay </w:t>
      </w:r>
      <w:r w:rsidR="0089126C">
        <w:rPr>
          <w:rFonts w:ascii="Arial" w:eastAsia="Arial" w:hAnsi="Arial" w:cs="Arial"/>
          <w:sz w:val="24"/>
          <w:szCs w:val="24"/>
        </w:rPr>
        <w:t>manifest</w:t>
      </w:r>
      <w:r w:rsidR="005C11E9"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 que no está de acuerdo en realizar agregados al marcado de los productos</w:t>
      </w:r>
      <w:r w:rsidR="00AF41BC">
        <w:rPr>
          <w:rFonts w:ascii="Arial" w:eastAsia="Arial" w:hAnsi="Arial" w:cs="Arial"/>
          <w:sz w:val="24"/>
          <w:szCs w:val="24"/>
        </w:rPr>
        <w:t xml:space="preserve"> fuera de los establecidos en la norma IEC. Además</w:t>
      </w:r>
      <w:r w:rsidR="005C11E9">
        <w:rPr>
          <w:rFonts w:ascii="Arial" w:eastAsia="Arial" w:hAnsi="Arial" w:cs="Arial"/>
          <w:sz w:val="24"/>
          <w:szCs w:val="24"/>
        </w:rPr>
        <w:t>,</w:t>
      </w:r>
      <w:r w:rsidR="00AF41BC">
        <w:rPr>
          <w:rFonts w:ascii="Arial" w:eastAsia="Arial" w:hAnsi="Arial" w:cs="Arial"/>
          <w:sz w:val="24"/>
          <w:szCs w:val="24"/>
        </w:rPr>
        <w:t xml:space="preserve"> entiende que el texto propuesto resulta poco específico al no aclarar el concepto “cerca del agua”.</w:t>
      </w:r>
    </w:p>
    <w:p w14:paraId="5B6B0FB7" w14:textId="77777777" w:rsidR="00A703C8" w:rsidRDefault="00A703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46BFD7" w14:textId="7204CA29" w:rsidR="00A703C8" w:rsidRDefault="00A703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Argentina </w:t>
      </w:r>
      <w:r w:rsidR="005C11E9">
        <w:rPr>
          <w:rFonts w:ascii="Arial" w:eastAsia="Arial" w:hAnsi="Arial" w:cs="Arial"/>
          <w:sz w:val="24"/>
          <w:szCs w:val="24"/>
        </w:rPr>
        <w:t>manifestó</w:t>
      </w:r>
      <w:r>
        <w:rPr>
          <w:rFonts w:ascii="Arial" w:eastAsia="Arial" w:hAnsi="Arial" w:cs="Arial"/>
          <w:sz w:val="24"/>
          <w:szCs w:val="24"/>
        </w:rPr>
        <w:t xml:space="preserve"> no estar de acuerdo </w:t>
      </w:r>
      <w:r w:rsidR="00EE0B83">
        <w:rPr>
          <w:rFonts w:ascii="Arial" w:eastAsia="Arial" w:hAnsi="Arial" w:cs="Arial"/>
          <w:sz w:val="24"/>
          <w:szCs w:val="24"/>
        </w:rPr>
        <w:t xml:space="preserve">con la propuesta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EE0B83">
        <w:rPr>
          <w:rFonts w:ascii="Arial" w:eastAsia="Arial" w:hAnsi="Arial" w:cs="Arial"/>
          <w:sz w:val="24"/>
          <w:szCs w:val="24"/>
        </w:rPr>
        <w:t xml:space="preserve">elegación de Brasil, </w:t>
      </w:r>
      <w:r>
        <w:rPr>
          <w:rFonts w:ascii="Arial" w:eastAsia="Arial" w:hAnsi="Arial" w:cs="Arial"/>
          <w:sz w:val="24"/>
          <w:szCs w:val="24"/>
        </w:rPr>
        <w:t>teniendo en cuenta que el símbolo utilizado e</w:t>
      </w:r>
      <w:r w:rsidR="00AF41BC">
        <w:rPr>
          <w:rFonts w:ascii="Arial" w:eastAsia="Arial" w:hAnsi="Arial" w:cs="Arial"/>
          <w:sz w:val="24"/>
          <w:szCs w:val="24"/>
        </w:rPr>
        <w:t>n la norma IEC es internacionalmente reconocido.</w:t>
      </w:r>
    </w:p>
    <w:p w14:paraId="763A6535" w14:textId="77777777" w:rsidR="00FA0CC2" w:rsidRDefault="00A703C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E0B83">
        <w:rPr>
          <w:rFonts w:ascii="Arial" w:eastAsia="Arial" w:hAnsi="Arial" w:cs="Arial"/>
          <w:sz w:val="24"/>
          <w:szCs w:val="24"/>
        </w:rPr>
        <w:t xml:space="preserve"> </w:t>
      </w:r>
      <w:r w:rsidR="00EE0B83" w:rsidRPr="00EE0B83">
        <w:t xml:space="preserve"> </w:t>
      </w:r>
    </w:p>
    <w:p w14:paraId="56DC2BD7" w14:textId="0812E4C0" w:rsidR="00430E94" w:rsidRDefault="00A703C8" w:rsidP="00954AF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Paraguay</w:t>
      </w:r>
      <w:r w:rsidR="001317B7">
        <w:rPr>
          <w:rFonts w:ascii="Arial" w:eastAsia="Arial" w:hAnsi="Arial" w:cs="Arial"/>
          <w:sz w:val="24"/>
          <w:szCs w:val="24"/>
        </w:rPr>
        <w:t xml:space="preserve"> manifest</w:t>
      </w:r>
      <w:r w:rsidR="005C11E9">
        <w:rPr>
          <w:rFonts w:ascii="Arial" w:eastAsia="Arial" w:hAnsi="Arial" w:cs="Arial"/>
          <w:sz w:val="24"/>
          <w:szCs w:val="24"/>
        </w:rPr>
        <w:t>ó</w:t>
      </w:r>
      <w:r w:rsidR="001317B7">
        <w:rPr>
          <w:rFonts w:ascii="Arial" w:eastAsia="Arial" w:hAnsi="Arial" w:cs="Arial"/>
          <w:sz w:val="24"/>
          <w:szCs w:val="24"/>
        </w:rPr>
        <w:t xml:space="preserve"> que si</w:t>
      </w:r>
      <w:r w:rsidR="005D0FE7" w:rsidRPr="005D0FE7">
        <w:rPr>
          <w:rFonts w:ascii="Arial" w:eastAsia="Arial" w:hAnsi="Arial" w:cs="Arial"/>
          <w:sz w:val="24"/>
          <w:szCs w:val="24"/>
        </w:rPr>
        <w:t xml:space="preserve"> bien el </w:t>
      </w:r>
      <w:r w:rsidR="001317B7" w:rsidRPr="005D0FE7">
        <w:rPr>
          <w:rFonts w:ascii="Arial" w:eastAsia="Arial" w:hAnsi="Arial" w:cs="Arial"/>
          <w:sz w:val="24"/>
          <w:szCs w:val="24"/>
        </w:rPr>
        <w:t>símbolo</w:t>
      </w:r>
      <w:r w:rsidR="005D0FE7" w:rsidRPr="005D0FE7">
        <w:rPr>
          <w:rFonts w:ascii="Arial" w:eastAsia="Arial" w:hAnsi="Arial" w:cs="Arial"/>
          <w:sz w:val="24"/>
          <w:szCs w:val="24"/>
        </w:rPr>
        <w:t xml:space="preserve"> ISO 7010-P026 (2011-05) es internacionalmente conocido, no se puede garantizar que la gente </w:t>
      </w:r>
      <w:r w:rsidR="001317B7" w:rsidRPr="005D0FE7">
        <w:rPr>
          <w:rFonts w:ascii="Arial" w:eastAsia="Arial" w:hAnsi="Arial" w:cs="Arial"/>
          <w:sz w:val="24"/>
          <w:szCs w:val="24"/>
        </w:rPr>
        <w:t>común</w:t>
      </w:r>
      <w:r w:rsidR="005D0FE7" w:rsidRPr="005D0FE7">
        <w:rPr>
          <w:rFonts w:ascii="Arial" w:eastAsia="Arial" w:hAnsi="Arial" w:cs="Arial"/>
          <w:sz w:val="24"/>
          <w:szCs w:val="24"/>
        </w:rPr>
        <w:t xml:space="preserve"> sepa su significado, y atendiendo</w:t>
      </w:r>
      <w:r w:rsidR="0089126C">
        <w:rPr>
          <w:rFonts w:ascii="Arial" w:eastAsia="Arial" w:hAnsi="Arial" w:cs="Arial"/>
          <w:sz w:val="24"/>
          <w:szCs w:val="24"/>
        </w:rPr>
        <w:t xml:space="preserve"> a</w:t>
      </w:r>
      <w:r w:rsidR="005D0FE7" w:rsidRPr="005D0FE7">
        <w:rPr>
          <w:rFonts w:ascii="Arial" w:eastAsia="Arial" w:hAnsi="Arial" w:cs="Arial"/>
          <w:sz w:val="24"/>
          <w:szCs w:val="24"/>
        </w:rPr>
        <w:t xml:space="preserve"> que el uso de estos aparatos en ambientes </w:t>
      </w:r>
      <w:r w:rsidR="0064338B">
        <w:rPr>
          <w:rFonts w:ascii="Arial" w:eastAsia="Arial" w:hAnsi="Arial" w:cs="Arial"/>
          <w:sz w:val="24"/>
          <w:szCs w:val="24"/>
        </w:rPr>
        <w:t xml:space="preserve">muy </w:t>
      </w:r>
      <w:r w:rsidR="001317B7" w:rsidRPr="005D0FE7">
        <w:rPr>
          <w:rFonts w:ascii="Arial" w:eastAsia="Arial" w:hAnsi="Arial" w:cs="Arial"/>
          <w:sz w:val="24"/>
          <w:szCs w:val="24"/>
        </w:rPr>
        <w:t>húmedos</w:t>
      </w:r>
      <w:r w:rsidR="002037D3" w:rsidRPr="002037D3">
        <w:rPr>
          <w:rFonts w:ascii="Arial" w:eastAsia="Arial" w:hAnsi="Arial" w:cs="Arial"/>
          <w:sz w:val="24"/>
          <w:szCs w:val="24"/>
        </w:rPr>
        <w:t xml:space="preserve"> </w:t>
      </w:r>
      <w:r w:rsidR="002037D3" w:rsidRPr="005D0FE7">
        <w:rPr>
          <w:rFonts w:ascii="Arial" w:eastAsia="Arial" w:hAnsi="Arial" w:cs="Arial"/>
          <w:sz w:val="24"/>
          <w:szCs w:val="24"/>
        </w:rPr>
        <w:t>representa un serio riesgo eléctrico</w:t>
      </w:r>
      <w:r w:rsidR="002037D3">
        <w:rPr>
          <w:rFonts w:ascii="Arial" w:eastAsia="Arial" w:hAnsi="Arial" w:cs="Arial"/>
          <w:sz w:val="24"/>
          <w:szCs w:val="24"/>
        </w:rPr>
        <w:t xml:space="preserve"> (descarga o choque eléctrico)</w:t>
      </w:r>
      <w:r w:rsidR="0037636F">
        <w:rPr>
          <w:rFonts w:ascii="Arial" w:eastAsia="Arial" w:hAnsi="Arial" w:cs="Arial"/>
          <w:sz w:val="24"/>
          <w:szCs w:val="24"/>
        </w:rPr>
        <w:t>,</w:t>
      </w:r>
      <w:r w:rsidR="005D0FE7" w:rsidRPr="005D0FE7">
        <w:rPr>
          <w:rFonts w:ascii="Arial" w:eastAsia="Arial" w:hAnsi="Arial" w:cs="Arial"/>
          <w:sz w:val="24"/>
          <w:szCs w:val="24"/>
        </w:rPr>
        <w:t xml:space="preserve"> </w:t>
      </w:r>
      <w:r w:rsidR="0037636F">
        <w:rPr>
          <w:rFonts w:ascii="Arial" w:eastAsia="Arial" w:hAnsi="Arial" w:cs="Arial"/>
          <w:sz w:val="24"/>
          <w:szCs w:val="24"/>
        </w:rPr>
        <w:t xml:space="preserve">por ejemplo en una bañera, ducha, lavatorio o recipientes con agua, </w:t>
      </w:r>
      <w:r w:rsidR="005C11E9">
        <w:rPr>
          <w:rFonts w:ascii="Arial" w:eastAsia="Arial" w:hAnsi="Arial" w:cs="Arial"/>
          <w:sz w:val="24"/>
          <w:szCs w:val="24"/>
        </w:rPr>
        <w:t>concordó</w:t>
      </w:r>
      <w:r w:rsidR="001317B7">
        <w:rPr>
          <w:rFonts w:ascii="Arial" w:eastAsia="Arial" w:hAnsi="Arial" w:cs="Arial"/>
          <w:sz w:val="24"/>
          <w:szCs w:val="24"/>
        </w:rPr>
        <w:t xml:space="preserve"> con la propuesta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1317B7">
        <w:rPr>
          <w:rFonts w:ascii="Arial" w:eastAsia="Arial" w:hAnsi="Arial" w:cs="Arial"/>
          <w:sz w:val="24"/>
          <w:szCs w:val="24"/>
        </w:rPr>
        <w:t>elegación de Brasil y prop</w:t>
      </w:r>
      <w:r w:rsidR="005C11E9">
        <w:rPr>
          <w:rFonts w:ascii="Arial" w:eastAsia="Arial" w:hAnsi="Arial" w:cs="Arial"/>
          <w:sz w:val="24"/>
          <w:szCs w:val="24"/>
        </w:rPr>
        <w:t>uso</w:t>
      </w:r>
      <w:r w:rsidR="001317B7">
        <w:rPr>
          <w:rFonts w:ascii="Arial" w:eastAsia="Arial" w:hAnsi="Arial" w:cs="Arial"/>
          <w:sz w:val="24"/>
          <w:szCs w:val="24"/>
        </w:rPr>
        <w:t xml:space="preserve"> </w:t>
      </w:r>
      <w:r w:rsidR="00A77F6D">
        <w:rPr>
          <w:rFonts w:ascii="Arial" w:eastAsia="Arial" w:hAnsi="Arial" w:cs="Arial"/>
          <w:sz w:val="24"/>
          <w:szCs w:val="24"/>
        </w:rPr>
        <w:t>respetar lo que establece la norma</w:t>
      </w:r>
      <w:r w:rsidR="00A77F6D" w:rsidRPr="00A77F6D">
        <w:rPr>
          <w:rFonts w:ascii="Arial" w:eastAsia="Arial" w:hAnsi="Arial" w:cs="Arial"/>
          <w:sz w:val="24"/>
          <w:szCs w:val="24"/>
        </w:rPr>
        <w:t xml:space="preserve"> </w:t>
      </w:r>
      <w:r w:rsidR="00A77F6D" w:rsidRPr="005D0FE7">
        <w:rPr>
          <w:rFonts w:ascii="Arial" w:eastAsia="Arial" w:hAnsi="Arial" w:cs="Arial"/>
          <w:sz w:val="24"/>
          <w:szCs w:val="24"/>
        </w:rPr>
        <w:t>ISO 7010-P026 (2011-05)</w:t>
      </w:r>
      <w:r w:rsidR="00A77F6D">
        <w:rPr>
          <w:rFonts w:ascii="Arial" w:eastAsia="Arial" w:hAnsi="Arial" w:cs="Arial"/>
          <w:sz w:val="24"/>
          <w:szCs w:val="24"/>
        </w:rPr>
        <w:t xml:space="preserve"> agregando al símbolo la siguiente frase: “</w:t>
      </w:r>
      <w:r w:rsidR="00A77F6D" w:rsidRPr="00430E94">
        <w:rPr>
          <w:rFonts w:ascii="Arial" w:eastAsia="Arial" w:hAnsi="Arial" w:cs="Arial"/>
          <w:sz w:val="24"/>
          <w:szCs w:val="24"/>
        </w:rPr>
        <w:t>No u</w:t>
      </w:r>
      <w:r w:rsidR="00A77F6D">
        <w:rPr>
          <w:rFonts w:ascii="Arial" w:eastAsia="Arial" w:hAnsi="Arial" w:cs="Arial"/>
          <w:sz w:val="24"/>
          <w:szCs w:val="24"/>
        </w:rPr>
        <w:t>sar</w:t>
      </w:r>
      <w:r w:rsidR="00A77F6D" w:rsidRPr="00430E94">
        <w:rPr>
          <w:rFonts w:ascii="Arial" w:eastAsia="Arial" w:hAnsi="Arial" w:cs="Arial"/>
          <w:sz w:val="24"/>
          <w:szCs w:val="24"/>
        </w:rPr>
        <w:t xml:space="preserve"> este dispositivo en una bañera,</w:t>
      </w:r>
      <w:r w:rsidR="007E65BF">
        <w:rPr>
          <w:rFonts w:ascii="Arial" w:eastAsia="Arial" w:hAnsi="Arial" w:cs="Arial"/>
          <w:sz w:val="24"/>
          <w:szCs w:val="24"/>
        </w:rPr>
        <w:t xml:space="preserve"> ducha o depósito lleno de agua</w:t>
      </w:r>
      <w:r w:rsidR="00A77F6D" w:rsidRPr="00430E94">
        <w:rPr>
          <w:rFonts w:ascii="Arial" w:eastAsia="Arial" w:hAnsi="Arial" w:cs="Arial"/>
          <w:sz w:val="24"/>
          <w:szCs w:val="24"/>
        </w:rPr>
        <w:t>”</w:t>
      </w:r>
      <w:r w:rsidR="007E65BF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759"/>
      </w:tblGrid>
      <w:tr w:rsidR="00430E94" w14:paraId="3EF6B069" w14:textId="77777777" w:rsidTr="00430E94">
        <w:trPr>
          <w:trHeight w:val="932"/>
        </w:trPr>
        <w:tc>
          <w:tcPr>
            <w:tcW w:w="1262" w:type="dxa"/>
          </w:tcPr>
          <w:p w14:paraId="578AC9BF" w14:textId="77777777" w:rsidR="00430E94" w:rsidRDefault="00430E9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E1AA9">
              <w:rPr>
                <w:rFonts w:ascii="Arial" w:eastAsia="Arial" w:hAnsi="Arial" w:cs="Arial"/>
                <w:b/>
                <w:noProof/>
                <w:lang w:val="es-PY"/>
              </w:rPr>
              <w:drawing>
                <wp:inline distT="0" distB="0" distL="0" distR="0" wp14:anchorId="762AAF42" wp14:editId="5E925EFA">
                  <wp:extent cx="676275" cy="6762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</w:tcPr>
          <w:p w14:paraId="026A7AC8" w14:textId="77777777" w:rsidR="00430E94" w:rsidRDefault="00430E94" w:rsidP="00430E94">
            <w:pPr>
              <w:jc w:val="both"/>
              <w:rPr>
                <w:rFonts w:ascii="Arial" w:eastAsia="Arial" w:hAnsi="Arial" w:cs="Arial"/>
              </w:rPr>
            </w:pPr>
          </w:p>
          <w:p w14:paraId="49F50EB1" w14:textId="77777777" w:rsidR="00430E94" w:rsidRPr="009E1AA9" w:rsidRDefault="00430E94" w:rsidP="00430E94">
            <w:pPr>
              <w:jc w:val="both"/>
              <w:rPr>
                <w:rFonts w:ascii="Arial" w:eastAsia="Arial" w:hAnsi="Arial" w:cs="Arial"/>
              </w:rPr>
            </w:pPr>
            <w:r w:rsidRPr="009E1AA9">
              <w:rPr>
                <w:rFonts w:ascii="Arial" w:eastAsia="Arial" w:hAnsi="Arial" w:cs="Arial"/>
              </w:rPr>
              <w:t>[Symbol ISO 7010-P026 (2011-05)]</w:t>
            </w:r>
          </w:p>
          <w:p w14:paraId="59417372" w14:textId="77777777" w:rsidR="00430E94" w:rsidRDefault="00430E9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DA7760" w14:textId="77777777" w:rsidR="00430E94" w:rsidRDefault="00430E9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225F71" w14:textId="77777777" w:rsidR="0037636F" w:rsidRDefault="00A77F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Pr="00430E94">
        <w:rPr>
          <w:rFonts w:ascii="Arial" w:eastAsia="Arial" w:hAnsi="Arial" w:cs="Arial"/>
          <w:sz w:val="24"/>
          <w:szCs w:val="24"/>
        </w:rPr>
        <w:t>No u</w:t>
      </w:r>
      <w:r>
        <w:rPr>
          <w:rFonts w:ascii="Arial" w:eastAsia="Arial" w:hAnsi="Arial" w:cs="Arial"/>
          <w:sz w:val="24"/>
          <w:szCs w:val="24"/>
        </w:rPr>
        <w:t>sar</w:t>
      </w:r>
      <w:r w:rsidRPr="00430E94">
        <w:rPr>
          <w:rFonts w:ascii="Arial" w:eastAsia="Arial" w:hAnsi="Arial" w:cs="Arial"/>
          <w:sz w:val="24"/>
          <w:szCs w:val="24"/>
        </w:rPr>
        <w:t xml:space="preserve"> este dispositivo en una bañera, ducha o depósito lleno de agua</w:t>
      </w:r>
      <w:r>
        <w:rPr>
          <w:rFonts w:ascii="Arial" w:eastAsia="Arial" w:hAnsi="Arial" w:cs="Arial"/>
          <w:sz w:val="24"/>
          <w:szCs w:val="24"/>
        </w:rPr>
        <w:t>”.</w:t>
      </w:r>
    </w:p>
    <w:p w14:paraId="11B4230F" w14:textId="77777777" w:rsidR="0089126C" w:rsidRDefault="008912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B1A1FC" w14:textId="7AA4ACB0" w:rsidR="0089126C" w:rsidRDefault="0089126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Las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elegaciones de Argentina y de Uruguay analizarán la propuesta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Paraguay y se pronunciarán en la próxima reunión.</w:t>
      </w:r>
    </w:p>
    <w:p w14:paraId="27A0087B" w14:textId="77777777" w:rsidR="00A77F6D" w:rsidRDefault="00A77F6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72188C" w14:textId="77777777" w:rsidR="00FA0CC2" w:rsidRDefault="008D4DF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mantienen los documentos de trabajo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sus versiones en español y portugués como</w:t>
      </w:r>
      <w:r>
        <w:rPr>
          <w:rFonts w:ascii="Arial" w:eastAsia="Arial" w:hAnsi="Arial" w:cs="Arial"/>
          <w:b/>
          <w:sz w:val="24"/>
          <w:szCs w:val="24"/>
        </w:rPr>
        <w:t xml:space="preserve"> Agregados III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 IV</w:t>
      </w:r>
      <w:r w:rsidRPr="005C11E9">
        <w:rPr>
          <w:rFonts w:ascii="Arial" w:eastAsia="Arial" w:hAnsi="Arial" w:cs="Arial"/>
          <w:bCs/>
          <w:sz w:val="24"/>
          <w:szCs w:val="24"/>
        </w:rPr>
        <w:t>.</w:t>
      </w:r>
    </w:p>
    <w:p w14:paraId="51247FBC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p w14:paraId="6DC3BEE0" w14:textId="77777777" w:rsidR="004B0A72" w:rsidRDefault="004B0A72" w:rsidP="00954A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A5E9D54" w14:textId="77777777" w:rsidR="00FA0CC2" w:rsidRDefault="008D4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REVISIÓN DE LA RESOLUCIÓN GMC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04/09 RTM SOBRE CABLES Y CONDUCTORES ELÉCTRICOS DE BAJA TENSIÓN</w:t>
      </w:r>
    </w:p>
    <w:p w14:paraId="1AC6A006" w14:textId="77777777" w:rsidR="00FA0CC2" w:rsidRDefault="00FA0CC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p w14:paraId="50F5B575" w14:textId="585ED374" w:rsidR="00FA0CC2" w:rsidRDefault="008D4DF4">
      <w:pPr>
        <w:spacing w:after="0" w:line="240" w:lineRule="auto"/>
        <w:jc w:val="both"/>
        <w:rPr>
          <w:rFonts w:ascii="Arial" w:eastAsia="Arial" w:hAnsi="Arial" w:cs="Arial"/>
          <w:color w:val="0B0B0B"/>
          <w:sz w:val="24"/>
          <w:szCs w:val="24"/>
        </w:rPr>
      </w:pPr>
      <w:r>
        <w:rPr>
          <w:rFonts w:ascii="Arial" w:eastAsia="Arial" w:hAnsi="Arial" w:cs="Arial"/>
          <w:color w:val="0B0B0B"/>
          <w:sz w:val="24"/>
          <w:szCs w:val="24"/>
        </w:rPr>
        <w:t xml:space="preserve">Las </w:t>
      </w:r>
      <w:r w:rsidR="004B0A72">
        <w:rPr>
          <w:rFonts w:ascii="Arial" w:eastAsia="Arial" w:hAnsi="Arial" w:cs="Arial"/>
          <w:color w:val="0B0B0B"/>
          <w:sz w:val="24"/>
          <w:szCs w:val="24"/>
        </w:rPr>
        <w:t>d</w:t>
      </w:r>
      <w:r>
        <w:rPr>
          <w:rFonts w:ascii="Arial" w:eastAsia="Arial" w:hAnsi="Arial" w:cs="Arial"/>
          <w:color w:val="0B0B0B"/>
          <w:sz w:val="24"/>
          <w:szCs w:val="24"/>
        </w:rPr>
        <w:t>elegaciones continuaron con el estudio del RTM.</w:t>
      </w:r>
    </w:p>
    <w:p w14:paraId="7D3F3AF1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color w:val="0B0B0B"/>
          <w:sz w:val="24"/>
          <w:szCs w:val="24"/>
        </w:rPr>
      </w:pPr>
    </w:p>
    <w:p w14:paraId="7DC52FE6" w14:textId="77777777" w:rsidR="00FA0CC2" w:rsidRDefault="008D4DF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Punto 3.4. </w:t>
      </w:r>
    </w:p>
    <w:p w14:paraId="10CB909B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773C22" w14:textId="00E2505A" w:rsidR="0010086F" w:rsidRDefault="0010086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relación a la propuesta efectuada por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Paraguay en el Acta </w:t>
      </w:r>
      <w:proofErr w:type="spellStart"/>
      <w:r w:rsidR="00C01695">
        <w:rPr>
          <w:rFonts w:ascii="Arial" w:eastAsia="Arial" w:hAnsi="Arial" w:cs="Arial"/>
          <w:sz w:val="24"/>
          <w:szCs w:val="24"/>
        </w:rPr>
        <w:t>N°</w:t>
      </w:r>
      <w:proofErr w:type="spellEnd"/>
      <w:r w:rsidR="00C0169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02/21:</w:t>
      </w:r>
    </w:p>
    <w:p w14:paraId="354ADC8A" w14:textId="77777777" w:rsidR="00156A10" w:rsidRDefault="00156A1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3FB5B19" w14:textId="77777777" w:rsidR="00FA0CC2" w:rsidRDefault="008D4DF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“La </w:t>
      </w:r>
      <w:r w:rsidR="008E3353">
        <w:rPr>
          <w:rFonts w:ascii="Arial" w:eastAsia="Arial" w:hAnsi="Arial" w:cs="Arial"/>
          <w:i/>
          <w:sz w:val="24"/>
          <w:szCs w:val="24"/>
        </w:rPr>
        <w:t>combinación</w:t>
      </w:r>
      <w:r>
        <w:rPr>
          <w:rFonts w:ascii="Arial" w:eastAsia="Arial" w:hAnsi="Arial" w:cs="Arial"/>
          <w:i/>
          <w:sz w:val="24"/>
          <w:szCs w:val="24"/>
        </w:rPr>
        <w:t xml:space="preserve"> de colores verde-amarillo será utilizada en la aislación de los cables y conductores exclusivamente para su conexión a puesta a tierra”.</w:t>
      </w:r>
    </w:p>
    <w:p w14:paraId="2CE29411" w14:textId="77777777" w:rsidR="00995B6E" w:rsidRDefault="00995B6E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0B571CAE" w14:textId="2034BCBC" w:rsidR="002C1CB0" w:rsidRDefault="00156A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56A10">
        <w:rPr>
          <w:rFonts w:ascii="Arial" w:eastAsia="Arial" w:hAnsi="Arial" w:cs="Arial"/>
          <w:sz w:val="24"/>
          <w:szCs w:val="24"/>
        </w:rPr>
        <w:t xml:space="preserve">En esta reunión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Pr="00156A10">
        <w:rPr>
          <w:rFonts w:ascii="Arial" w:eastAsia="Arial" w:hAnsi="Arial" w:cs="Arial"/>
          <w:sz w:val="24"/>
          <w:szCs w:val="24"/>
        </w:rPr>
        <w:t>elegación de Paraguay presen</w:t>
      </w:r>
      <w:r w:rsidR="00C01695">
        <w:rPr>
          <w:rFonts w:ascii="Arial" w:eastAsia="Arial" w:hAnsi="Arial" w:cs="Arial"/>
          <w:sz w:val="24"/>
          <w:szCs w:val="24"/>
        </w:rPr>
        <w:t>tó</w:t>
      </w:r>
      <w:r w:rsidRPr="00156A10">
        <w:rPr>
          <w:rFonts w:ascii="Arial" w:eastAsia="Arial" w:hAnsi="Arial" w:cs="Arial"/>
          <w:sz w:val="24"/>
          <w:szCs w:val="24"/>
        </w:rPr>
        <w:t xml:space="preserve"> la siguiente redacción alternativa</w:t>
      </w:r>
      <w:r w:rsidR="002C1CB0" w:rsidRPr="00156A10">
        <w:rPr>
          <w:rFonts w:ascii="Arial" w:eastAsia="Arial" w:hAnsi="Arial" w:cs="Arial"/>
          <w:sz w:val="24"/>
          <w:szCs w:val="24"/>
        </w:rPr>
        <w:t>:</w:t>
      </w:r>
    </w:p>
    <w:p w14:paraId="27F40426" w14:textId="77777777" w:rsidR="00156A10" w:rsidRPr="00156A10" w:rsidRDefault="00156A1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4FDD7A" w14:textId="77777777" w:rsidR="00995B6E" w:rsidRDefault="00995B6E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“Los cables y conductores con aislación de colores verde/amarillo serán utilizados exclusivamente para su conexión a puesta a tierra”.</w:t>
      </w:r>
    </w:p>
    <w:p w14:paraId="2DF06996" w14:textId="77777777" w:rsidR="00376071" w:rsidRDefault="0037607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B0F7847" w14:textId="1BD0BB1A" w:rsidR="0010086F" w:rsidRDefault="001008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Argentina mani</w:t>
      </w:r>
      <w:r w:rsidR="00C01695">
        <w:rPr>
          <w:rFonts w:ascii="Arial" w:eastAsia="Arial" w:hAnsi="Arial" w:cs="Arial"/>
          <w:sz w:val="24"/>
          <w:szCs w:val="24"/>
        </w:rPr>
        <w:t>festó</w:t>
      </w:r>
      <w:r>
        <w:rPr>
          <w:rFonts w:ascii="Arial" w:eastAsia="Arial" w:hAnsi="Arial" w:cs="Arial"/>
          <w:sz w:val="24"/>
          <w:szCs w:val="24"/>
        </w:rPr>
        <w:t xml:space="preserve"> que la</w:t>
      </w:r>
      <w:r w:rsidR="00156A1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redacci</w:t>
      </w:r>
      <w:r w:rsidR="00156A10">
        <w:rPr>
          <w:rFonts w:ascii="Arial" w:eastAsia="Arial" w:hAnsi="Arial" w:cs="Arial"/>
          <w:sz w:val="24"/>
          <w:szCs w:val="24"/>
        </w:rPr>
        <w:t>ones</w:t>
      </w:r>
      <w:r>
        <w:rPr>
          <w:rFonts w:ascii="Arial" w:eastAsia="Arial" w:hAnsi="Arial" w:cs="Arial"/>
          <w:sz w:val="24"/>
          <w:szCs w:val="24"/>
        </w:rPr>
        <w:t xml:space="preserve"> propuesta</w:t>
      </w:r>
      <w:r w:rsidR="00156A10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no representa</w:t>
      </w:r>
      <w:r w:rsidR="00156A1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un requisito específico para la comercialización de productos, sino que corresponde</w:t>
      </w:r>
      <w:r w:rsidR="00156A10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al ámbito de requisitos para instalaciones eléctricas, en general al uso de los conductores. </w:t>
      </w:r>
      <w:r w:rsidR="00441F2E">
        <w:rPr>
          <w:rFonts w:ascii="Arial" w:eastAsia="Arial" w:hAnsi="Arial" w:cs="Arial"/>
          <w:sz w:val="24"/>
          <w:szCs w:val="24"/>
        </w:rPr>
        <w:t xml:space="preserve">En ese sentido, </w:t>
      </w:r>
      <w:r w:rsidR="00485D70">
        <w:rPr>
          <w:rFonts w:ascii="Arial" w:eastAsia="Arial" w:hAnsi="Arial" w:cs="Arial"/>
          <w:sz w:val="24"/>
          <w:szCs w:val="24"/>
        </w:rPr>
        <w:t>señal</w:t>
      </w:r>
      <w:r w:rsidR="007C084F">
        <w:rPr>
          <w:rFonts w:ascii="Arial" w:eastAsia="Arial" w:hAnsi="Arial" w:cs="Arial"/>
          <w:sz w:val="24"/>
          <w:szCs w:val="24"/>
        </w:rPr>
        <w:t>ó</w:t>
      </w:r>
      <w:r w:rsidR="00441F2E">
        <w:rPr>
          <w:rFonts w:ascii="Arial" w:eastAsia="Arial" w:hAnsi="Arial" w:cs="Arial"/>
          <w:sz w:val="24"/>
          <w:szCs w:val="24"/>
        </w:rPr>
        <w:t xml:space="preserve"> que para los aparatos electrodomésticos la norma IEC 60335-1:2001 </w:t>
      </w:r>
      <w:r w:rsidR="00485D70">
        <w:rPr>
          <w:rFonts w:ascii="Arial" w:eastAsia="Arial" w:hAnsi="Arial" w:cs="Arial"/>
          <w:sz w:val="24"/>
          <w:szCs w:val="24"/>
        </w:rPr>
        <w:t>enmiendas</w:t>
      </w:r>
      <w:r w:rsidR="00441F2E">
        <w:rPr>
          <w:rFonts w:ascii="Arial" w:eastAsia="Arial" w:hAnsi="Arial" w:cs="Arial"/>
          <w:sz w:val="24"/>
          <w:szCs w:val="24"/>
        </w:rPr>
        <w:t xml:space="preserve"> </w:t>
      </w:r>
      <w:r w:rsidR="00B531A9">
        <w:rPr>
          <w:rFonts w:ascii="Arial" w:eastAsia="Arial" w:hAnsi="Arial" w:cs="Arial"/>
          <w:sz w:val="24"/>
          <w:szCs w:val="24"/>
        </w:rPr>
        <w:t>A</w:t>
      </w:r>
      <w:r w:rsidR="00441F2E">
        <w:rPr>
          <w:rFonts w:ascii="Arial" w:eastAsia="Arial" w:hAnsi="Arial" w:cs="Arial"/>
          <w:sz w:val="24"/>
          <w:szCs w:val="24"/>
        </w:rPr>
        <w:t>1</w:t>
      </w:r>
      <w:r w:rsidR="00B531A9">
        <w:rPr>
          <w:rFonts w:ascii="Arial" w:eastAsia="Arial" w:hAnsi="Arial" w:cs="Arial"/>
          <w:sz w:val="24"/>
          <w:szCs w:val="24"/>
        </w:rPr>
        <w:t>:</w:t>
      </w:r>
      <w:r w:rsidR="00441F2E">
        <w:rPr>
          <w:rFonts w:ascii="Arial" w:eastAsia="Arial" w:hAnsi="Arial" w:cs="Arial"/>
          <w:sz w:val="24"/>
          <w:szCs w:val="24"/>
        </w:rPr>
        <w:t xml:space="preserve">2004 y </w:t>
      </w:r>
      <w:r w:rsidR="00B531A9">
        <w:rPr>
          <w:rFonts w:ascii="Arial" w:eastAsia="Arial" w:hAnsi="Arial" w:cs="Arial"/>
          <w:sz w:val="24"/>
          <w:szCs w:val="24"/>
        </w:rPr>
        <w:t>A</w:t>
      </w:r>
      <w:r w:rsidR="00485D70">
        <w:rPr>
          <w:rFonts w:ascii="Arial" w:eastAsia="Arial" w:hAnsi="Arial" w:cs="Arial"/>
          <w:sz w:val="24"/>
          <w:szCs w:val="24"/>
        </w:rPr>
        <w:t>2</w:t>
      </w:r>
      <w:r w:rsidR="00B531A9">
        <w:rPr>
          <w:rFonts w:ascii="Arial" w:eastAsia="Arial" w:hAnsi="Arial" w:cs="Arial"/>
          <w:sz w:val="24"/>
          <w:szCs w:val="24"/>
        </w:rPr>
        <w:t>:</w:t>
      </w:r>
      <w:r w:rsidR="00441F2E">
        <w:rPr>
          <w:rFonts w:ascii="Arial" w:eastAsia="Arial" w:hAnsi="Arial" w:cs="Arial"/>
          <w:sz w:val="24"/>
          <w:szCs w:val="24"/>
        </w:rPr>
        <w:t>2006</w:t>
      </w:r>
      <w:r w:rsidR="00485D70">
        <w:rPr>
          <w:rFonts w:ascii="Arial" w:eastAsia="Arial" w:hAnsi="Arial" w:cs="Arial"/>
          <w:sz w:val="24"/>
          <w:szCs w:val="24"/>
        </w:rPr>
        <w:t xml:space="preserve"> punto 23.7 establece que los conductores identificados con los colores verde/amarillo</w:t>
      </w:r>
      <w:r w:rsidR="00441F2E">
        <w:rPr>
          <w:rFonts w:ascii="Arial" w:eastAsia="Arial" w:hAnsi="Arial" w:cs="Arial"/>
          <w:sz w:val="24"/>
          <w:szCs w:val="24"/>
        </w:rPr>
        <w:t xml:space="preserve"> </w:t>
      </w:r>
      <w:r w:rsidR="00485D70">
        <w:rPr>
          <w:rFonts w:ascii="Arial" w:eastAsia="Arial" w:hAnsi="Arial" w:cs="Arial"/>
          <w:sz w:val="24"/>
          <w:szCs w:val="24"/>
        </w:rPr>
        <w:t>corresponden a la conexión a tierra.</w:t>
      </w:r>
    </w:p>
    <w:p w14:paraId="1B86455D" w14:textId="77777777" w:rsidR="0010086F" w:rsidRDefault="0010086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1FC726" w14:textId="7BB5E189" w:rsidR="00441F2E" w:rsidRDefault="0010086F" w:rsidP="004564C5">
      <w:pPr>
        <w:widowControl w:val="0"/>
        <w:spacing w:before="12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Uruguay </w:t>
      </w:r>
      <w:r w:rsidR="004564C5">
        <w:rPr>
          <w:rFonts w:ascii="Arial" w:eastAsia="Arial" w:hAnsi="Arial" w:cs="Arial"/>
          <w:sz w:val="24"/>
          <w:szCs w:val="24"/>
        </w:rPr>
        <w:t>compart</w:t>
      </w:r>
      <w:r w:rsidR="007C084F">
        <w:rPr>
          <w:rFonts w:ascii="Arial" w:eastAsia="Arial" w:hAnsi="Arial" w:cs="Arial"/>
          <w:sz w:val="24"/>
          <w:szCs w:val="24"/>
        </w:rPr>
        <w:t>ió</w:t>
      </w:r>
      <w:r w:rsidR="004564C5">
        <w:rPr>
          <w:rFonts w:ascii="Arial" w:eastAsia="Arial" w:hAnsi="Arial" w:cs="Arial"/>
          <w:sz w:val="24"/>
          <w:szCs w:val="24"/>
        </w:rPr>
        <w:t xml:space="preserve"> la </w:t>
      </w:r>
      <w:r w:rsidR="00F24C3E">
        <w:rPr>
          <w:rFonts w:ascii="Arial" w:eastAsia="Arial" w:hAnsi="Arial" w:cs="Arial"/>
          <w:sz w:val="24"/>
          <w:szCs w:val="24"/>
        </w:rPr>
        <w:t>posic</w:t>
      </w:r>
      <w:r w:rsidR="004564C5">
        <w:rPr>
          <w:rFonts w:ascii="Arial" w:eastAsia="Arial" w:hAnsi="Arial" w:cs="Arial"/>
          <w:sz w:val="24"/>
          <w:szCs w:val="24"/>
        </w:rPr>
        <w:t xml:space="preserve">ión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4564C5">
        <w:rPr>
          <w:rFonts w:ascii="Arial" w:eastAsia="Arial" w:hAnsi="Arial" w:cs="Arial"/>
          <w:sz w:val="24"/>
          <w:szCs w:val="24"/>
        </w:rPr>
        <w:t>elegación de Argentina, no obstante</w:t>
      </w:r>
      <w:r w:rsidR="007C084F">
        <w:rPr>
          <w:rFonts w:ascii="Arial" w:eastAsia="Arial" w:hAnsi="Arial" w:cs="Arial"/>
          <w:sz w:val="24"/>
          <w:szCs w:val="24"/>
        </w:rPr>
        <w:t>,</w:t>
      </w:r>
      <w:r w:rsidR="004564C5">
        <w:rPr>
          <w:rFonts w:ascii="Arial" w:eastAsia="Arial" w:hAnsi="Arial" w:cs="Arial"/>
          <w:sz w:val="24"/>
          <w:szCs w:val="24"/>
        </w:rPr>
        <w:t xml:space="preserve"> considerando que el punto en discusión no es crítico</w:t>
      </w:r>
      <w:r w:rsidR="00173548">
        <w:rPr>
          <w:rFonts w:ascii="Arial" w:eastAsia="Arial" w:hAnsi="Arial" w:cs="Arial"/>
          <w:sz w:val="24"/>
          <w:szCs w:val="24"/>
        </w:rPr>
        <w:t xml:space="preserve"> y que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173548">
        <w:rPr>
          <w:rFonts w:ascii="Arial" w:eastAsia="Arial" w:hAnsi="Arial" w:cs="Arial"/>
          <w:sz w:val="24"/>
          <w:szCs w:val="24"/>
        </w:rPr>
        <w:t>elegación de Paraguay man</w:t>
      </w:r>
      <w:r w:rsidR="007C084F">
        <w:rPr>
          <w:rFonts w:ascii="Arial" w:eastAsia="Arial" w:hAnsi="Arial" w:cs="Arial"/>
          <w:sz w:val="24"/>
          <w:szCs w:val="24"/>
        </w:rPr>
        <w:t>i</w:t>
      </w:r>
      <w:r w:rsidR="00173548">
        <w:rPr>
          <w:rFonts w:ascii="Arial" w:eastAsia="Arial" w:hAnsi="Arial" w:cs="Arial"/>
          <w:sz w:val="24"/>
          <w:szCs w:val="24"/>
        </w:rPr>
        <w:t>fest</w:t>
      </w:r>
      <w:r w:rsidR="007C084F">
        <w:rPr>
          <w:rFonts w:ascii="Arial" w:eastAsia="Arial" w:hAnsi="Arial" w:cs="Arial"/>
          <w:sz w:val="24"/>
          <w:szCs w:val="24"/>
        </w:rPr>
        <w:t>ó</w:t>
      </w:r>
      <w:r w:rsidR="00173548">
        <w:rPr>
          <w:rFonts w:ascii="Arial" w:eastAsia="Arial" w:hAnsi="Arial" w:cs="Arial"/>
          <w:sz w:val="24"/>
          <w:szCs w:val="24"/>
        </w:rPr>
        <w:t xml:space="preserve"> que es relevante para los consumidores de su mercado</w:t>
      </w:r>
      <w:r w:rsidR="004564C5">
        <w:rPr>
          <w:rFonts w:ascii="Arial" w:eastAsia="Arial" w:hAnsi="Arial" w:cs="Arial"/>
          <w:sz w:val="24"/>
          <w:szCs w:val="24"/>
        </w:rPr>
        <w:t xml:space="preserve">, </w:t>
      </w:r>
      <w:r w:rsidR="00441F2E">
        <w:rPr>
          <w:rFonts w:ascii="Arial" w:eastAsia="Arial" w:hAnsi="Arial" w:cs="Arial"/>
          <w:sz w:val="24"/>
          <w:szCs w:val="24"/>
        </w:rPr>
        <w:t>prop</w:t>
      </w:r>
      <w:r w:rsidR="007C084F">
        <w:rPr>
          <w:rFonts w:ascii="Arial" w:eastAsia="Arial" w:hAnsi="Arial" w:cs="Arial"/>
          <w:sz w:val="24"/>
          <w:szCs w:val="24"/>
        </w:rPr>
        <w:t>uso</w:t>
      </w:r>
      <w:r w:rsidR="00441F2E">
        <w:rPr>
          <w:rFonts w:ascii="Arial" w:eastAsia="Arial" w:hAnsi="Arial" w:cs="Arial"/>
          <w:sz w:val="24"/>
          <w:szCs w:val="24"/>
        </w:rPr>
        <w:t xml:space="preserve"> reemplazar este punto por </w:t>
      </w:r>
      <w:r w:rsidR="00173548">
        <w:rPr>
          <w:rFonts w:ascii="Arial" w:eastAsia="Arial" w:hAnsi="Arial" w:cs="Arial"/>
          <w:sz w:val="24"/>
          <w:szCs w:val="24"/>
        </w:rPr>
        <w:t>cualquiera</w:t>
      </w:r>
      <w:r w:rsidR="00441F2E">
        <w:rPr>
          <w:rFonts w:ascii="Arial" w:eastAsia="Arial" w:hAnsi="Arial" w:cs="Arial"/>
          <w:sz w:val="24"/>
          <w:szCs w:val="24"/>
        </w:rPr>
        <w:t xml:space="preserve"> </w:t>
      </w:r>
      <w:r w:rsidR="00156A10">
        <w:rPr>
          <w:rFonts w:ascii="Arial" w:eastAsia="Arial" w:hAnsi="Arial" w:cs="Arial"/>
          <w:sz w:val="24"/>
          <w:szCs w:val="24"/>
        </w:rPr>
        <w:t>de las</w:t>
      </w:r>
      <w:r w:rsidR="00173548">
        <w:rPr>
          <w:rFonts w:ascii="Arial" w:eastAsia="Arial" w:hAnsi="Arial" w:cs="Arial"/>
          <w:sz w:val="24"/>
          <w:szCs w:val="24"/>
        </w:rPr>
        <w:t xml:space="preserve"> dos </w:t>
      </w:r>
      <w:r w:rsidR="00441F2E">
        <w:rPr>
          <w:rFonts w:ascii="Arial" w:eastAsia="Arial" w:hAnsi="Arial" w:cs="Arial"/>
          <w:sz w:val="24"/>
          <w:szCs w:val="24"/>
        </w:rPr>
        <w:t>redacci</w:t>
      </w:r>
      <w:r w:rsidR="00156A10">
        <w:rPr>
          <w:rFonts w:ascii="Arial" w:eastAsia="Arial" w:hAnsi="Arial" w:cs="Arial"/>
          <w:sz w:val="24"/>
          <w:szCs w:val="24"/>
        </w:rPr>
        <w:t>o</w:t>
      </w:r>
      <w:r w:rsidR="00441F2E">
        <w:rPr>
          <w:rFonts w:ascii="Arial" w:eastAsia="Arial" w:hAnsi="Arial" w:cs="Arial"/>
          <w:sz w:val="24"/>
          <w:szCs w:val="24"/>
        </w:rPr>
        <w:t>n</w:t>
      </w:r>
      <w:r w:rsidR="00156A10">
        <w:rPr>
          <w:rFonts w:ascii="Arial" w:eastAsia="Arial" w:hAnsi="Arial" w:cs="Arial"/>
          <w:sz w:val="24"/>
          <w:szCs w:val="24"/>
        </w:rPr>
        <w:t>es</w:t>
      </w:r>
      <w:r w:rsidR="00441F2E">
        <w:rPr>
          <w:rFonts w:ascii="Arial" w:eastAsia="Arial" w:hAnsi="Arial" w:cs="Arial"/>
          <w:sz w:val="24"/>
          <w:szCs w:val="24"/>
        </w:rPr>
        <w:t xml:space="preserve"> </w:t>
      </w:r>
      <w:r w:rsidR="00173548">
        <w:rPr>
          <w:rFonts w:ascii="Arial" w:eastAsia="Arial" w:hAnsi="Arial" w:cs="Arial"/>
          <w:sz w:val="24"/>
          <w:szCs w:val="24"/>
        </w:rPr>
        <w:t>propuestas por</w:t>
      </w:r>
      <w:r w:rsidR="00441F2E">
        <w:rPr>
          <w:rFonts w:ascii="Arial" w:eastAsia="Arial" w:hAnsi="Arial" w:cs="Arial"/>
          <w:sz w:val="24"/>
          <w:szCs w:val="24"/>
        </w:rPr>
        <w:t xml:space="preserve">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441F2E">
        <w:rPr>
          <w:rFonts w:ascii="Arial" w:eastAsia="Arial" w:hAnsi="Arial" w:cs="Arial"/>
          <w:sz w:val="24"/>
          <w:szCs w:val="24"/>
        </w:rPr>
        <w:t>elegación de Paraguay.</w:t>
      </w:r>
    </w:p>
    <w:p w14:paraId="23279F6C" w14:textId="77777777" w:rsidR="004564C5" w:rsidRDefault="004564C5" w:rsidP="004564C5">
      <w:pPr>
        <w:widowControl w:val="0"/>
        <w:spacing w:before="12"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21BC8ED" w14:textId="5E9BD13B" w:rsidR="00441F2E" w:rsidRDefault="00441F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Queda pendiente la</w:t>
      </w:r>
      <w:r w:rsidR="008D4DF4">
        <w:rPr>
          <w:rFonts w:ascii="Arial" w:eastAsia="Arial" w:hAnsi="Arial" w:cs="Arial"/>
          <w:sz w:val="24"/>
          <w:szCs w:val="24"/>
        </w:rPr>
        <w:t xml:space="preserve"> nueva propuesta de redacción</w:t>
      </w:r>
      <w:r>
        <w:rPr>
          <w:rFonts w:ascii="Arial" w:eastAsia="Arial" w:hAnsi="Arial" w:cs="Arial"/>
          <w:sz w:val="24"/>
          <w:szCs w:val="24"/>
        </w:rPr>
        <w:t xml:space="preserve"> de la</w:t>
      </w:r>
      <w:r w:rsidR="008D4DF4">
        <w:rPr>
          <w:rFonts w:ascii="Arial" w:eastAsia="Arial" w:hAnsi="Arial" w:cs="Arial"/>
          <w:sz w:val="24"/>
          <w:szCs w:val="24"/>
        </w:rPr>
        <w:t xml:space="preserve">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Brasil comprometida en el Acta </w:t>
      </w:r>
      <w:proofErr w:type="spellStart"/>
      <w:r w:rsidR="007C084F">
        <w:rPr>
          <w:rFonts w:ascii="Arial" w:eastAsia="Arial" w:hAnsi="Arial" w:cs="Arial"/>
          <w:sz w:val="24"/>
          <w:szCs w:val="24"/>
        </w:rPr>
        <w:t>N°</w:t>
      </w:r>
      <w:proofErr w:type="spellEnd"/>
      <w:r w:rsidR="007C084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02/21.</w:t>
      </w:r>
    </w:p>
    <w:p w14:paraId="3EF80C02" w14:textId="77777777" w:rsidR="00441F2E" w:rsidRDefault="00441F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F16F62" w14:textId="57DE498E" w:rsidR="00FA0CC2" w:rsidRDefault="008D4DF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 mantienen los documentos de trabajo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sus versiones en español y portugués como</w:t>
      </w:r>
      <w:r>
        <w:rPr>
          <w:rFonts w:ascii="Arial" w:eastAsia="Arial" w:hAnsi="Arial" w:cs="Arial"/>
          <w:b/>
          <w:sz w:val="24"/>
          <w:szCs w:val="24"/>
        </w:rPr>
        <w:t xml:space="preserve"> Agregados V y VI.</w:t>
      </w:r>
    </w:p>
    <w:p w14:paraId="05B8A215" w14:textId="172EBCC6" w:rsidR="00954AF2" w:rsidRDefault="00954A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70CB3CB" w14:textId="77777777" w:rsidR="00954AF2" w:rsidRDefault="00954A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4AE774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9E39B7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218DC87" w14:textId="77777777" w:rsidR="00FA0CC2" w:rsidRDefault="008D4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PROYECTO DE RTM PARA SEGURIDAD DE APARATOS ELECTRODOMÉSTICOS Y SIMILARES – REQUISITOS ESPECÍFICOS – PLANCHAS ELÉCTRICAS</w:t>
      </w:r>
    </w:p>
    <w:p w14:paraId="2ED0DF9D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1F6932" w14:textId="62BD8472" w:rsidR="00485D70" w:rsidRDefault="00485D70" w:rsidP="00485D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En relación 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0E0762"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z w:val="24"/>
          <w:szCs w:val="24"/>
        </w:rPr>
        <w:t xml:space="preserve"> esquemas </w:t>
      </w:r>
      <w:r w:rsidR="000E0762">
        <w:rPr>
          <w:rFonts w:ascii="Arial" w:eastAsia="Arial" w:hAnsi="Arial" w:cs="Arial"/>
          <w:sz w:val="24"/>
          <w:szCs w:val="24"/>
        </w:rPr>
        <w:t>de evaluación de la conformidad propuestos</w:t>
      </w:r>
      <w:r>
        <w:rPr>
          <w:rFonts w:ascii="Arial" w:eastAsia="Arial" w:hAnsi="Arial" w:cs="Arial"/>
          <w:sz w:val="24"/>
          <w:szCs w:val="24"/>
        </w:rPr>
        <w:t xml:space="preserve"> por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Paraguay en </w:t>
      </w:r>
      <w:r w:rsidR="00F30B71"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 xml:space="preserve">Acta </w:t>
      </w:r>
      <w:proofErr w:type="spellStart"/>
      <w:r w:rsidR="004B0A72">
        <w:rPr>
          <w:rFonts w:ascii="Arial" w:eastAsia="Arial" w:hAnsi="Arial" w:cs="Arial"/>
          <w:sz w:val="24"/>
          <w:szCs w:val="24"/>
        </w:rPr>
        <w:t>N°</w:t>
      </w:r>
      <w:proofErr w:type="spellEnd"/>
      <w:r w:rsidR="004B0A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01/21</w:t>
      </w:r>
      <w:r w:rsidR="00F30B7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esquemas 1b y V de la norma ISO/IEC </w:t>
      </w:r>
      <w:r w:rsidRPr="00F30B71">
        <w:rPr>
          <w:rFonts w:ascii="Arial" w:eastAsia="Arial" w:hAnsi="Arial" w:cs="Arial"/>
          <w:sz w:val="24"/>
          <w:szCs w:val="24"/>
        </w:rPr>
        <w:t>17067</w:t>
      </w:r>
      <w:r>
        <w:rPr>
          <w:rFonts w:ascii="Arial" w:eastAsia="Arial" w:hAnsi="Arial" w:cs="Arial"/>
          <w:sz w:val="24"/>
          <w:szCs w:val="24"/>
        </w:rPr>
        <w:t xml:space="preserve">/2013,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Argentina </w:t>
      </w:r>
      <w:r w:rsidR="00F30B71">
        <w:rPr>
          <w:rFonts w:ascii="Arial" w:eastAsia="Arial" w:hAnsi="Arial" w:cs="Arial"/>
          <w:sz w:val="24"/>
          <w:szCs w:val="24"/>
        </w:rPr>
        <w:t xml:space="preserve">manifestó en el Acta </w:t>
      </w:r>
      <w:proofErr w:type="spellStart"/>
      <w:r w:rsidR="004B0A72">
        <w:rPr>
          <w:rFonts w:ascii="Arial" w:eastAsia="Arial" w:hAnsi="Arial" w:cs="Arial"/>
          <w:sz w:val="24"/>
          <w:szCs w:val="24"/>
        </w:rPr>
        <w:t>N°</w:t>
      </w:r>
      <w:proofErr w:type="spellEnd"/>
      <w:r w:rsidR="004B0A72">
        <w:rPr>
          <w:rFonts w:ascii="Arial" w:eastAsia="Arial" w:hAnsi="Arial" w:cs="Arial"/>
          <w:sz w:val="24"/>
          <w:szCs w:val="24"/>
        </w:rPr>
        <w:t xml:space="preserve"> </w:t>
      </w:r>
      <w:r w:rsidR="00F30B71">
        <w:rPr>
          <w:rFonts w:ascii="Arial" w:eastAsia="Arial" w:hAnsi="Arial" w:cs="Arial"/>
          <w:sz w:val="24"/>
          <w:szCs w:val="24"/>
        </w:rPr>
        <w:t>02/21</w:t>
      </w:r>
      <w:r>
        <w:rPr>
          <w:rFonts w:ascii="Arial" w:eastAsia="Arial" w:hAnsi="Arial" w:cs="Arial"/>
          <w:sz w:val="24"/>
          <w:szCs w:val="24"/>
        </w:rPr>
        <w:t xml:space="preserve"> que para estos productos el esquema utilizado es el de Marca de Conformidad.</w:t>
      </w:r>
    </w:p>
    <w:p w14:paraId="361370DE" w14:textId="77777777" w:rsidR="00485D70" w:rsidRDefault="00485D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DDB5FD" w14:textId="52DF9881" w:rsidR="00485D70" w:rsidRDefault="00485D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Uruguay </w:t>
      </w:r>
      <w:r w:rsidR="00D12D8C">
        <w:rPr>
          <w:rFonts w:ascii="Arial" w:eastAsia="Arial" w:hAnsi="Arial" w:cs="Arial"/>
          <w:sz w:val="24"/>
          <w:szCs w:val="24"/>
        </w:rPr>
        <w:t>compart</w:t>
      </w:r>
      <w:r w:rsidR="000E0762">
        <w:rPr>
          <w:rFonts w:ascii="Arial" w:eastAsia="Arial" w:hAnsi="Arial" w:cs="Arial"/>
          <w:sz w:val="24"/>
          <w:szCs w:val="24"/>
        </w:rPr>
        <w:t>ió</w:t>
      </w:r>
      <w:r w:rsidR="00D12D8C">
        <w:rPr>
          <w:rFonts w:ascii="Arial" w:eastAsia="Arial" w:hAnsi="Arial" w:cs="Arial"/>
          <w:sz w:val="24"/>
          <w:szCs w:val="24"/>
        </w:rPr>
        <w:t xml:space="preserve"> </w:t>
      </w:r>
      <w:r w:rsidR="00F30B71">
        <w:rPr>
          <w:rFonts w:ascii="Arial" w:eastAsia="Arial" w:hAnsi="Arial" w:cs="Arial"/>
          <w:sz w:val="24"/>
          <w:szCs w:val="24"/>
        </w:rPr>
        <w:t xml:space="preserve">la propuesta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F30B71">
        <w:rPr>
          <w:rFonts w:ascii="Arial" w:eastAsia="Arial" w:hAnsi="Arial" w:cs="Arial"/>
          <w:sz w:val="24"/>
          <w:szCs w:val="24"/>
        </w:rPr>
        <w:t xml:space="preserve">elegación de Paraguay y </w:t>
      </w:r>
      <w:r>
        <w:rPr>
          <w:rFonts w:ascii="Arial" w:eastAsia="Arial" w:hAnsi="Arial" w:cs="Arial"/>
          <w:sz w:val="24"/>
          <w:szCs w:val="24"/>
        </w:rPr>
        <w:t>prop</w:t>
      </w:r>
      <w:r w:rsidR="000E0762"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30B71">
        <w:rPr>
          <w:rFonts w:ascii="Arial" w:eastAsia="Arial" w:hAnsi="Arial" w:cs="Arial"/>
          <w:sz w:val="24"/>
          <w:szCs w:val="24"/>
        </w:rPr>
        <w:t>agregar adicionalmente el esquema IV</w:t>
      </w:r>
      <w:r>
        <w:rPr>
          <w:rFonts w:ascii="Arial" w:eastAsia="Arial" w:hAnsi="Arial" w:cs="Arial"/>
          <w:sz w:val="24"/>
          <w:szCs w:val="24"/>
        </w:rPr>
        <w:t xml:space="preserve"> de la norma ISO/IEC </w:t>
      </w:r>
      <w:r w:rsidRPr="00F30B71">
        <w:rPr>
          <w:rFonts w:ascii="Arial" w:eastAsia="Arial" w:hAnsi="Arial" w:cs="Arial"/>
          <w:sz w:val="24"/>
          <w:szCs w:val="24"/>
        </w:rPr>
        <w:t>17067</w:t>
      </w:r>
      <w:r>
        <w:rPr>
          <w:rFonts w:ascii="Arial" w:eastAsia="Arial" w:hAnsi="Arial" w:cs="Arial"/>
          <w:sz w:val="24"/>
          <w:szCs w:val="24"/>
        </w:rPr>
        <w:t>/2013.</w:t>
      </w:r>
    </w:p>
    <w:p w14:paraId="2E9B6D5F" w14:textId="77777777" w:rsidR="00485D70" w:rsidRDefault="00485D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BFB3C6" w14:textId="46CF5D6A" w:rsidR="00F30B71" w:rsidRDefault="00862153" w:rsidP="00F30B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respecto al Punto 22 - Construcción, q</w:t>
      </w:r>
      <w:r w:rsidR="00F30B71">
        <w:rPr>
          <w:rFonts w:ascii="Arial" w:eastAsia="Arial" w:hAnsi="Arial" w:cs="Arial"/>
          <w:sz w:val="24"/>
          <w:szCs w:val="24"/>
        </w:rPr>
        <w:t xml:space="preserve">ueda pendiente la posición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 w:rsidR="00F30B71">
        <w:rPr>
          <w:rFonts w:ascii="Arial" w:eastAsia="Arial" w:hAnsi="Arial" w:cs="Arial"/>
          <w:sz w:val="24"/>
          <w:szCs w:val="24"/>
        </w:rPr>
        <w:t xml:space="preserve">elegación de Brasil comprometida en el Acta </w:t>
      </w:r>
      <w:proofErr w:type="spellStart"/>
      <w:r w:rsidR="00313195">
        <w:rPr>
          <w:rFonts w:ascii="Arial" w:eastAsia="Arial" w:hAnsi="Arial" w:cs="Arial"/>
          <w:sz w:val="24"/>
          <w:szCs w:val="24"/>
        </w:rPr>
        <w:t>N°</w:t>
      </w:r>
      <w:proofErr w:type="spellEnd"/>
      <w:r w:rsidR="00313195">
        <w:rPr>
          <w:rFonts w:ascii="Arial" w:eastAsia="Arial" w:hAnsi="Arial" w:cs="Arial"/>
          <w:sz w:val="24"/>
          <w:szCs w:val="24"/>
        </w:rPr>
        <w:t xml:space="preserve"> </w:t>
      </w:r>
      <w:r w:rsidR="00F30B71">
        <w:rPr>
          <w:rFonts w:ascii="Arial" w:eastAsia="Arial" w:hAnsi="Arial" w:cs="Arial"/>
          <w:sz w:val="24"/>
          <w:szCs w:val="24"/>
        </w:rPr>
        <w:t>02/21.</w:t>
      </w:r>
    </w:p>
    <w:p w14:paraId="246079BD" w14:textId="77777777" w:rsidR="00F30B71" w:rsidRDefault="00F30B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2B1417" w14:textId="77777777" w:rsidR="00FA0CC2" w:rsidRDefault="008D4DF4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mantienen los documentos de trabajo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sus versiones en español y portugués como</w:t>
      </w:r>
      <w:r>
        <w:rPr>
          <w:rFonts w:ascii="Arial" w:eastAsia="Arial" w:hAnsi="Arial" w:cs="Arial"/>
          <w:b/>
          <w:sz w:val="24"/>
          <w:szCs w:val="24"/>
        </w:rPr>
        <w:t xml:space="preserve"> Agregados VII y VIII</w:t>
      </w:r>
      <w:r w:rsidRPr="000E0762">
        <w:rPr>
          <w:rFonts w:ascii="Arial" w:eastAsia="Arial" w:hAnsi="Arial" w:cs="Arial"/>
          <w:bCs/>
          <w:sz w:val="24"/>
          <w:szCs w:val="24"/>
        </w:rPr>
        <w:t>.</w:t>
      </w:r>
    </w:p>
    <w:p w14:paraId="23AE7453" w14:textId="202635DC" w:rsidR="00FA0CC2" w:rsidRDefault="00FA0CC2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4ECF217" w14:textId="77777777" w:rsidR="004B0A72" w:rsidRDefault="004B0A72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6B14FF1" w14:textId="77777777" w:rsidR="00FA0CC2" w:rsidRDefault="00862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PROCEDIMIENTOS MERCOSUR DE EVALUACIÓN DE LA CONFORMIDAD</w:t>
      </w:r>
    </w:p>
    <w:p w14:paraId="0B54CECF" w14:textId="77777777" w:rsidR="00FA0CC2" w:rsidRDefault="00FA0CC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8E9139" w14:textId="46416AC8" w:rsidR="00862153" w:rsidRDefault="0086215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Sobre este punto, queda pendiente el compromiso de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elegación de Brasil de proporcionar </w:t>
      </w:r>
      <w:proofErr w:type="gramStart"/>
      <w:r>
        <w:rPr>
          <w:rFonts w:ascii="Arial" w:eastAsia="Arial" w:hAnsi="Arial" w:cs="Arial"/>
          <w:sz w:val="24"/>
          <w:szCs w:val="24"/>
        </w:rPr>
        <w:t>mayor información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sobre su propuesta</w:t>
      </w:r>
      <w:r w:rsidR="001307F3">
        <w:rPr>
          <w:rFonts w:ascii="Arial" w:eastAsia="Arial" w:hAnsi="Arial" w:cs="Arial"/>
          <w:sz w:val="24"/>
          <w:szCs w:val="24"/>
        </w:rPr>
        <w:t xml:space="preserve"> (Acta </w:t>
      </w:r>
      <w:proofErr w:type="spellStart"/>
      <w:r w:rsidR="00D632CA">
        <w:rPr>
          <w:rFonts w:ascii="Arial" w:eastAsia="Arial" w:hAnsi="Arial" w:cs="Arial"/>
          <w:sz w:val="24"/>
          <w:szCs w:val="24"/>
        </w:rPr>
        <w:t>N°</w:t>
      </w:r>
      <w:proofErr w:type="spellEnd"/>
      <w:r w:rsidR="00D632CA">
        <w:rPr>
          <w:rFonts w:ascii="Arial" w:eastAsia="Arial" w:hAnsi="Arial" w:cs="Arial"/>
          <w:sz w:val="24"/>
          <w:szCs w:val="24"/>
        </w:rPr>
        <w:t xml:space="preserve"> </w:t>
      </w:r>
      <w:r w:rsidR="001307F3">
        <w:rPr>
          <w:rFonts w:ascii="Arial" w:eastAsia="Arial" w:hAnsi="Arial" w:cs="Arial"/>
          <w:sz w:val="24"/>
          <w:szCs w:val="24"/>
        </w:rPr>
        <w:t>02/21)</w:t>
      </w:r>
      <w:r>
        <w:rPr>
          <w:rFonts w:ascii="Arial" w:eastAsia="Arial" w:hAnsi="Arial" w:cs="Arial"/>
          <w:sz w:val="24"/>
          <w:szCs w:val="24"/>
        </w:rPr>
        <w:t>.</w:t>
      </w:r>
    </w:p>
    <w:p w14:paraId="2EF1ECB3" w14:textId="77777777" w:rsidR="008738C0" w:rsidRDefault="008738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855BFE" w14:textId="5FDAAF60" w:rsidR="005526C7" w:rsidRDefault="005526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</w:t>
      </w:r>
      <w:r w:rsidR="0088459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</w:t>
      </w:r>
      <w:r w:rsidR="00884595">
        <w:rPr>
          <w:rFonts w:ascii="Arial" w:eastAsia="Arial" w:hAnsi="Arial" w:cs="Arial"/>
          <w:sz w:val="24"/>
          <w:szCs w:val="24"/>
        </w:rPr>
        <w:t>ones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84595">
        <w:rPr>
          <w:rFonts w:ascii="Arial" w:eastAsia="Arial" w:hAnsi="Arial" w:cs="Arial"/>
          <w:sz w:val="24"/>
          <w:szCs w:val="24"/>
        </w:rPr>
        <w:t xml:space="preserve">presentes </w:t>
      </w:r>
      <w:r w:rsidR="009B71AE">
        <w:rPr>
          <w:rFonts w:ascii="Arial" w:eastAsia="Arial" w:hAnsi="Arial" w:cs="Arial"/>
          <w:sz w:val="24"/>
          <w:szCs w:val="24"/>
        </w:rPr>
        <w:t xml:space="preserve">en esta reunión </w:t>
      </w:r>
      <w:r>
        <w:rPr>
          <w:rFonts w:ascii="Arial" w:eastAsia="Arial" w:hAnsi="Arial" w:cs="Arial"/>
          <w:sz w:val="24"/>
          <w:szCs w:val="24"/>
        </w:rPr>
        <w:t>se encuentra</w:t>
      </w:r>
      <w:r w:rsidR="00884595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307F3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espera de la información adicional a ser </w:t>
      </w:r>
      <w:r w:rsidR="00D12D8C">
        <w:rPr>
          <w:rFonts w:ascii="Arial" w:eastAsia="Arial" w:hAnsi="Arial" w:cs="Arial"/>
          <w:sz w:val="24"/>
          <w:szCs w:val="24"/>
        </w:rPr>
        <w:t xml:space="preserve">suministrada </w:t>
      </w:r>
      <w:r>
        <w:rPr>
          <w:rFonts w:ascii="Arial" w:eastAsia="Arial" w:hAnsi="Arial" w:cs="Arial"/>
          <w:sz w:val="24"/>
          <w:szCs w:val="24"/>
        </w:rPr>
        <w:t xml:space="preserve">por la </w:t>
      </w:r>
      <w:r w:rsidR="004B0A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elegación de Brasil, previo a adoptar una posición</w:t>
      </w:r>
      <w:r w:rsidR="00454706">
        <w:rPr>
          <w:rFonts w:ascii="Arial" w:eastAsia="Arial" w:hAnsi="Arial" w:cs="Arial"/>
          <w:sz w:val="24"/>
          <w:szCs w:val="24"/>
        </w:rPr>
        <w:t xml:space="preserve"> sobre</w:t>
      </w:r>
      <w:r w:rsidR="00D37D02" w:rsidRPr="00D37D02">
        <w:rPr>
          <w:rFonts w:ascii="Arial" w:eastAsia="Arial" w:hAnsi="Arial" w:cs="Arial"/>
          <w:sz w:val="24"/>
          <w:szCs w:val="24"/>
        </w:rPr>
        <w:t xml:space="preserve"> </w:t>
      </w:r>
      <w:r w:rsidR="00B82DBC">
        <w:rPr>
          <w:rFonts w:ascii="Arial" w:eastAsia="Arial" w:hAnsi="Arial" w:cs="Arial"/>
          <w:sz w:val="24"/>
          <w:szCs w:val="24"/>
        </w:rPr>
        <w:t>este punto</w:t>
      </w:r>
      <w:r w:rsidR="00D37D02">
        <w:rPr>
          <w:rFonts w:ascii="Arial" w:eastAsia="Arial" w:hAnsi="Arial" w:cs="Arial"/>
          <w:sz w:val="24"/>
          <w:szCs w:val="24"/>
        </w:rPr>
        <w:t>.</w:t>
      </w:r>
    </w:p>
    <w:p w14:paraId="6826D3DF" w14:textId="121267BF" w:rsidR="00454706" w:rsidRDefault="0045470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22C042" w14:textId="0C2F85B8" w:rsidR="008738C0" w:rsidRDefault="008738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Teniendo en cuenta la instrucción de los Coordinadores Nacionales sobre este punto (punto 11 del Instructivo de</w:t>
      </w:r>
      <w:r w:rsidR="00404D26">
        <w:rPr>
          <w:rFonts w:ascii="Arial" w:eastAsia="Arial" w:hAnsi="Arial" w:cs="Arial"/>
          <w:sz w:val="24"/>
          <w:szCs w:val="24"/>
        </w:rPr>
        <w:t xml:space="preserve"> Coordinadores Nacionales a las Comisiones</w:t>
      </w:r>
      <w:r>
        <w:rPr>
          <w:rFonts w:ascii="Arial" w:eastAsia="Arial" w:hAnsi="Arial" w:cs="Arial"/>
          <w:sz w:val="24"/>
          <w:szCs w:val="24"/>
        </w:rPr>
        <w:t>), las delegaciones acordaron tratar el tema en la próxima reunión de la CSPE.</w:t>
      </w:r>
    </w:p>
    <w:p w14:paraId="045026EF" w14:textId="77777777" w:rsidR="008738C0" w:rsidRDefault="008738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71B8AF" w14:textId="77777777" w:rsidR="004B0A72" w:rsidRDefault="004B0A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9AFF7C" w14:textId="77777777" w:rsidR="00862153" w:rsidRDefault="00862153" w:rsidP="008621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CUADRO DE INCORPORACIÓN DE LA NORMATIVA MERCOSUR AL ORDENAMIENTO JURÍDICO NACIONAL DE LOS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ESTADOS PARTES</w:t>
      </w:r>
      <w:proofErr w:type="gramEnd"/>
    </w:p>
    <w:p w14:paraId="3947F9FC" w14:textId="77777777" w:rsidR="00862153" w:rsidRDefault="00862153" w:rsidP="00862153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194E0C65" w14:textId="77777777" w:rsidR="00862153" w:rsidRDefault="00862153" w:rsidP="0086215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cuadro de incorporación de la normativa MERCOSUR al Ordenamiento jurídico Nacional de los </w:t>
      </w:r>
      <w:proofErr w:type="gramStart"/>
      <w:r>
        <w:rPr>
          <w:rFonts w:ascii="Arial" w:eastAsia="Arial" w:hAnsi="Arial" w:cs="Arial"/>
          <w:sz w:val="24"/>
          <w:szCs w:val="24"/>
        </w:rPr>
        <w:t>Estados Partes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no ha sufrido modificaciones a la fecha.</w:t>
      </w:r>
    </w:p>
    <w:p w14:paraId="623E3BFB" w14:textId="2850F24C" w:rsidR="00FA0CC2" w:rsidRDefault="00FA0CC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446C1CBC" w14:textId="3D5A77F8" w:rsidR="004B0A72" w:rsidRDefault="004B0A7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52B93D6F" w14:textId="2776AB16" w:rsidR="00954AF2" w:rsidRDefault="00954AF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0E8E23B7" w14:textId="7DFCEA36" w:rsidR="00954AF2" w:rsidRDefault="00954AF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6AB20570" w14:textId="4A878236" w:rsidR="00954AF2" w:rsidRDefault="00954AF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4B9B3A5E" w14:textId="1D1AFF71" w:rsidR="00954AF2" w:rsidRDefault="00954AF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2FC65CFB" w14:textId="77777777" w:rsidR="00954AF2" w:rsidRDefault="00954AF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088FFC5B" w14:textId="77777777" w:rsidR="00FA0CC2" w:rsidRDefault="008D4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 DE AVANCE</w:t>
      </w:r>
    </w:p>
    <w:p w14:paraId="16D0DF51" w14:textId="77777777" w:rsidR="00FA0CC2" w:rsidRDefault="00FA0CC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6613D900" w14:textId="77777777" w:rsidR="00FA0CC2" w:rsidRDefault="008D4D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grado de avance consta como </w:t>
      </w:r>
      <w:r>
        <w:rPr>
          <w:rFonts w:ascii="Arial" w:eastAsia="Arial" w:hAnsi="Arial" w:cs="Arial"/>
          <w:b/>
          <w:sz w:val="24"/>
          <w:szCs w:val="24"/>
        </w:rPr>
        <w:t>Agregado IX</w:t>
      </w:r>
      <w:r w:rsidRPr="00D23D80">
        <w:rPr>
          <w:rFonts w:ascii="Arial" w:eastAsia="Arial" w:hAnsi="Arial" w:cs="Arial"/>
          <w:bCs/>
          <w:sz w:val="24"/>
          <w:szCs w:val="24"/>
        </w:rPr>
        <w:t>.</w:t>
      </w:r>
    </w:p>
    <w:p w14:paraId="2278C625" w14:textId="77777777" w:rsidR="00FA0CC2" w:rsidRDefault="00FA0CC2">
      <w:pPr>
        <w:spacing w:after="0" w:line="240" w:lineRule="auto"/>
        <w:ind w:left="283"/>
        <w:jc w:val="both"/>
        <w:rPr>
          <w:rFonts w:ascii="Arial" w:eastAsia="Arial" w:hAnsi="Arial" w:cs="Arial"/>
          <w:b/>
          <w:sz w:val="24"/>
          <w:szCs w:val="24"/>
        </w:rPr>
      </w:pPr>
    </w:p>
    <w:p w14:paraId="0E56378F" w14:textId="77777777" w:rsidR="00FA0CC2" w:rsidRDefault="00FA0CC2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C9E32AE" w14:textId="77777777" w:rsidR="00FA0CC2" w:rsidRDefault="008D4DF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DE LA PRÓXIMA REUNIÓN</w:t>
      </w:r>
    </w:p>
    <w:p w14:paraId="7C0B0CDB" w14:textId="77777777" w:rsidR="00FA0CC2" w:rsidRDefault="00FA0CC2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4EF930FB" w14:textId="77777777" w:rsidR="00FA0CC2" w:rsidRDefault="008D4DF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Agenda de la próxima reunión consta como </w:t>
      </w:r>
      <w:r>
        <w:rPr>
          <w:rFonts w:ascii="Arial" w:eastAsia="Arial" w:hAnsi="Arial" w:cs="Arial"/>
          <w:b/>
          <w:sz w:val="24"/>
          <w:szCs w:val="24"/>
        </w:rPr>
        <w:t>Agregado X.</w:t>
      </w:r>
    </w:p>
    <w:p w14:paraId="48D8FE1A" w14:textId="77777777" w:rsidR="00FA0CC2" w:rsidRDefault="00FA0CC2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p w14:paraId="4798FB05" w14:textId="77777777" w:rsidR="00FA0CC2" w:rsidRDefault="00FA0CC2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p w14:paraId="52E2C4E8" w14:textId="77777777" w:rsidR="00FA0CC2" w:rsidRDefault="008D4DF4" w:rsidP="00D23D8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 DE AGREGADOS</w:t>
      </w:r>
    </w:p>
    <w:p w14:paraId="60A8ED2B" w14:textId="77777777" w:rsidR="00FA0CC2" w:rsidRDefault="00FA0CC2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4B9F723F" w14:textId="77777777" w:rsidR="00FA0CC2" w:rsidRDefault="008D4DF4">
      <w:pPr>
        <w:tabs>
          <w:tab w:val="left" w:pos="42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Agregados que forman parte de la presente Acta son los siguientes</w:t>
      </w:r>
      <w:r>
        <w:rPr>
          <w:rFonts w:ascii="Arial" w:eastAsia="Arial" w:hAnsi="Arial" w:cs="Arial"/>
          <w:b/>
          <w:sz w:val="24"/>
          <w:szCs w:val="24"/>
        </w:rPr>
        <w:t xml:space="preserve">:  </w:t>
      </w:r>
    </w:p>
    <w:p w14:paraId="3EEEBCBE" w14:textId="77777777" w:rsidR="00FA0CC2" w:rsidRDefault="00FA0C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9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7269"/>
      </w:tblGrid>
      <w:tr w:rsidR="00FA0CC2" w14:paraId="1C3B98EE" w14:textId="77777777" w:rsidTr="00D23D80">
        <w:trPr>
          <w:trHeight w:val="340"/>
        </w:trPr>
        <w:tc>
          <w:tcPr>
            <w:tcW w:w="1701" w:type="dxa"/>
          </w:tcPr>
          <w:p w14:paraId="67CBA767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Agregado I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269" w:type="dxa"/>
          </w:tcPr>
          <w:p w14:paraId="0AE20738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Lista de Participantes</w:t>
            </w:r>
          </w:p>
        </w:tc>
      </w:tr>
      <w:tr w:rsidR="00FA0CC2" w14:paraId="52481EF0" w14:textId="77777777" w:rsidTr="00D23D80">
        <w:trPr>
          <w:trHeight w:val="340"/>
        </w:trPr>
        <w:tc>
          <w:tcPr>
            <w:tcW w:w="1701" w:type="dxa"/>
          </w:tcPr>
          <w:p w14:paraId="3566B508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Agregado II </w:t>
            </w:r>
          </w:p>
        </w:tc>
        <w:tc>
          <w:tcPr>
            <w:tcW w:w="7269" w:type="dxa"/>
          </w:tcPr>
          <w:p w14:paraId="403BD430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Agenda </w:t>
            </w:r>
          </w:p>
        </w:tc>
      </w:tr>
      <w:tr w:rsidR="00FA0CC2" w14:paraId="5A577A5D" w14:textId="77777777" w:rsidTr="00D23D80">
        <w:trPr>
          <w:trHeight w:val="397"/>
        </w:trPr>
        <w:tc>
          <w:tcPr>
            <w:tcW w:w="1701" w:type="dxa"/>
          </w:tcPr>
          <w:p w14:paraId="33D7AD70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III</w:t>
            </w:r>
          </w:p>
        </w:tc>
        <w:tc>
          <w:tcPr>
            <w:tcW w:w="7269" w:type="dxa"/>
          </w:tcPr>
          <w:p w14:paraId="742569C4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Documento de Trabajo sobre el Proyecto de Resolución “Reglamento Técnico MERCOSUR para aparatos electrodomésticos y similares – Requisitos Específicos – Aparatos para el cuidado de la Piel y el Cabello”, en español 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formato digital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A0CC2" w14:paraId="2F60805A" w14:textId="77777777" w:rsidTr="00D23D80">
        <w:trPr>
          <w:trHeight w:val="397"/>
        </w:trPr>
        <w:tc>
          <w:tcPr>
            <w:tcW w:w="1701" w:type="dxa"/>
          </w:tcPr>
          <w:p w14:paraId="68FE2CDB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IV</w:t>
            </w:r>
          </w:p>
        </w:tc>
        <w:tc>
          <w:tcPr>
            <w:tcW w:w="7269" w:type="dxa"/>
          </w:tcPr>
          <w:p w14:paraId="7A0BBD0C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Documento de Trabajo sobre el Proyecto de Resolución “Reglamento Técnico MERCOSUR para aparatos electrodomésticos y similares – Requisitos Específicos – Aparatos para el cuidado de la Piel y el Cabello”, en portugués 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formato digital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A0CC2" w14:paraId="0DCB8E81" w14:textId="77777777" w:rsidTr="00D23D80">
        <w:trPr>
          <w:trHeight w:val="397"/>
        </w:trPr>
        <w:tc>
          <w:tcPr>
            <w:tcW w:w="1701" w:type="dxa"/>
          </w:tcPr>
          <w:p w14:paraId="2428D470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</w:t>
            </w:r>
          </w:p>
        </w:tc>
        <w:tc>
          <w:tcPr>
            <w:tcW w:w="7269" w:type="dxa"/>
          </w:tcPr>
          <w:p w14:paraId="4D6A9B10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Documento de trabajo sobre la Revisión de la Resolución GMC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04/09 “RTM sobre Cables y Conductores Eléctricos de Baja Tensión”, en español.</w:t>
            </w:r>
          </w:p>
        </w:tc>
      </w:tr>
      <w:tr w:rsidR="00FA0CC2" w14:paraId="03A5DC76" w14:textId="77777777" w:rsidTr="00D23D80">
        <w:trPr>
          <w:trHeight w:val="397"/>
        </w:trPr>
        <w:tc>
          <w:tcPr>
            <w:tcW w:w="1701" w:type="dxa"/>
          </w:tcPr>
          <w:p w14:paraId="5526AE99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</w:t>
            </w:r>
          </w:p>
        </w:tc>
        <w:tc>
          <w:tcPr>
            <w:tcW w:w="7269" w:type="dxa"/>
          </w:tcPr>
          <w:p w14:paraId="48050537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Documento de trabajo sobre la Revisión de la Resolución GMC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04/09 “RTM sobre Cables y Conductores Eléctricos de Baja Tensión”, en portugués.</w:t>
            </w:r>
          </w:p>
        </w:tc>
      </w:tr>
      <w:tr w:rsidR="00FA0CC2" w14:paraId="2335263F" w14:textId="77777777" w:rsidTr="00D23D80">
        <w:trPr>
          <w:trHeight w:val="340"/>
        </w:trPr>
        <w:tc>
          <w:tcPr>
            <w:tcW w:w="1701" w:type="dxa"/>
          </w:tcPr>
          <w:p w14:paraId="0D07474E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VII</w:t>
            </w:r>
          </w:p>
        </w:tc>
        <w:tc>
          <w:tcPr>
            <w:tcW w:w="7269" w:type="dxa"/>
          </w:tcPr>
          <w:p w14:paraId="6B4723CB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Documento de Trabajo sobre el Proyecto de Resolución “Reglamento Técnico MERCOSUR para aparatos electrodomésticos y similares – Requisitos Específicos – Planchas eléctricas”, en español 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formato digital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0A646A7" w14:textId="55F11EB4" w:rsidR="00954AF2" w:rsidRDefault="00954AF2">
      <w:r>
        <w:br w:type="page"/>
      </w:r>
    </w:p>
    <w:p w14:paraId="1E33B569" w14:textId="77777777" w:rsidR="00954AF2" w:rsidRDefault="00954AF2"/>
    <w:tbl>
      <w:tblPr>
        <w:tblStyle w:val="a2"/>
        <w:tblW w:w="89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7269"/>
      </w:tblGrid>
      <w:tr w:rsidR="00FA0CC2" w14:paraId="3B31F529" w14:textId="77777777" w:rsidTr="00D23D80">
        <w:trPr>
          <w:trHeight w:val="340"/>
        </w:trPr>
        <w:tc>
          <w:tcPr>
            <w:tcW w:w="1701" w:type="dxa"/>
          </w:tcPr>
          <w:p w14:paraId="49091055" w14:textId="67E9D53C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VIII</w:t>
            </w:r>
          </w:p>
        </w:tc>
        <w:tc>
          <w:tcPr>
            <w:tcW w:w="7269" w:type="dxa"/>
          </w:tcPr>
          <w:p w14:paraId="7BC477B9" w14:textId="206911DE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de Trabajo sobre el Proyecto de Resolución “Reglamento Técnico MERCOSUR para aparatos electrodomésticos y similares –</w:t>
            </w:r>
            <w:r w:rsidR="00D23D80">
              <w:rPr>
                <w:rFonts w:ascii="Arial" w:eastAsia="Arial" w:hAnsi="Arial" w:cs="Arial"/>
                <w:sz w:val="24"/>
                <w:szCs w:val="24"/>
              </w:rPr>
              <w:t xml:space="preserve"> Requisitos Específicos – Planchas eléctricas”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en portugués -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formato digital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FA0CC2" w14:paraId="72E59591" w14:textId="77777777" w:rsidTr="00D23D80">
        <w:trPr>
          <w:trHeight w:val="340"/>
        </w:trPr>
        <w:tc>
          <w:tcPr>
            <w:tcW w:w="1701" w:type="dxa"/>
          </w:tcPr>
          <w:p w14:paraId="0696F09A" w14:textId="77777777" w:rsidR="00FA0CC2" w:rsidRDefault="008D4DF4">
            <w:pPr>
              <w:spacing w:after="0" w:line="240" w:lineRule="auto"/>
              <w:ind w:right="-18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269" w:type="dxa"/>
          </w:tcPr>
          <w:p w14:paraId="6798FB17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Grado de Avance</w:t>
            </w:r>
          </w:p>
        </w:tc>
      </w:tr>
      <w:tr w:rsidR="00FA0CC2" w14:paraId="4811BAC4" w14:textId="77777777" w:rsidTr="00D23D80">
        <w:trPr>
          <w:trHeight w:val="340"/>
        </w:trPr>
        <w:tc>
          <w:tcPr>
            <w:tcW w:w="1701" w:type="dxa"/>
          </w:tcPr>
          <w:p w14:paraId="6CA7D150" w14:textId="77777777" w:rsidR="00FA0CC2" w:rsidRDefault="008D4DF4">
            <w:pPr>
              <w:spacing w:after="0" w:line="240" w:lineRule="auto"/>
              <w:ind w:right="-186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X</w:t>
            </w:r>
          </w:p>
        </w:tc>
        <w:tc>
          <w:tcPr>
            <w:tcW w:w="7269" w:type="dxa"/>
          </w:tcPr>
          <w:p w14:paraId="7D15CACB" w14:textId="77777777" w:rsidR="00FA0CC2" w:rsidRDefault="008D4D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Agenda de la próxima reunión</w:t>
            </w:r>
          </w:p>
        </w:tc>
      </w:tr>
    </w:tbl>
    <w:p w14:paraId="6B36D621" w14:textId="77777777" w:rsidR="00FA0CC2" w:rsidRDefault="00FA0CC2">
      <w:pPr>
        <w:spacing w:after="120" w:line="240" w:lineRule="auto"/>
        <w:ind w:left="2832" w:hanging="2832"/>
        <w:rPr>
          <w:rFonts w:ascii="Arial" w:eastAsia="Arial" w:hAnsi="Arial" w:cs="Arial"/>
          <w:b/>
          <w:sz w:val="24"/>
          <w:szCs w:val="24"/>
        </w:rPr>
      </w:pPr>
    </w:p>
    <w:p w14:paraId="31C1A387" w14:textId="77777777" w:rsidR="00FA0CC2" w:rsidRDefault="00FA0CC2">
      <w:pPr>
        <w:spacing w:after="120" w:line="240" w:lineRule="auto"/>
        <w:ind w:left="2832" w:hanging="2832"/>
        <w:rPr>
          <w:rFonts w:ascii="Arial" w:eastAsia="Arial" w:hAnsi="Arial" w:cs="Arial"/>
          <w:b/>
          <w:sz w:val="24"/>
          <w:szCs w:val="24"/>
        </w:rPr>
      </w:pPr>
    </w:p>
    <w:p w14:paraId="6CAB4F7A" w14:textId="77777777" w:rsidR="00FA0CC2" w:rsidRDefault="00FA0CC2">
      <w:pPr>
        <w:spacing w:after="120" w:line="240" w:lineRule="auto"/>
        <w:ind w:left="2832" w:hanging="283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W w:w="91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68"/>
        <w:gridCol w:w="4567"/>
      </w:tblGrid>
      <w:tr w:rsidR="00FA0CC2" w14:paraId="4EFAB336" w14:textId="77777777">
        <w:trPr>
          <w:trHeight w:val="858"/>
          <w:jc w:val="center"/>
        </w:trPr>
        <w:tc>
          <w:tcPr>
            <w:tcW w:w="4568" w:type="dxa"/>
          </w:tcPr>
          <w:p w14:paraId="0314E892" w14:textId="44007066" w:rsidR="00FA0CC2" w:rsidRDefault="00FA0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E4C721" w14:textId="77777777" w:rsidR="00954AF2" w:rsidRDefault="00954A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42AD638" w14:textId="77777777" w:rsidR="00FA0CC2" w:rsidRDefault="008D4D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_______________________________</w:t>
            </w:r>
          </w:p>
          <w:p w14:paraId="0A69107F" w14:textId="19B53985" w:rsidR="00FA0CC2" w:rsidRDefault="008D4D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 la </w:t>
            </w:r>
            <w:r w:rsidR="004B0A72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elegación de Argentina</w:t>
            </w:r>
          </w:p>
          <w:p w14:paraId="05C4D85D" w14:textId="77777777" w:rsidR="00FA0CC2" w:rsidRDefault="00154B2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Lucas </w:t>
            </w:r>
            <w:proofErr w:type="spellStart"/>
            <w:r>
              <w:rPr>
                <w:rFonts w:ascii="Arial" w:eastAsia="Arial" w:hAnsi="Arial" w:cs="Arial"/>
              </w:rPr>
              <w:t>Marmoni</w:t>
            </w:r>
            <w:proofErr w:type="spellEnd"/>
          </w:p>
          <w:p w14:paraId="6A88B02F" w14:textId="77777777" w:rsidR="00954AF2" w:rsidRDefault="00954AF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7BAA7CB3" w14:textId="6BAD1843" w:rsidR="00954AF2" w:rsidRDefault="00954AF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67" w:type="dxa"/>
          </w:tcPr>
          <w:p w14:paraId="567ED171" w14:textId="66B8212A" w:rsidR="00FA0CC2" w:rsidRDefault="00FA0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0DD42D7" w14:textId="77777777" w:rsidR="00954AF2" w:rsidRDefault="00954AF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A35C3FA" w14:textId="77777777" w:rsidR="00154B22" w:rsidRDefault="00154B2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</w:t>
            </w:r>
          </w:p>
          <w:p w14:paraId="5BAC252F" w14:textId="50C02A9B" w:rsidR="00154B22" w:rsidRDefault="00154B2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 la </w:t>
            </w:r>
            <w:r w:rsidR="004B0A72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elegación de Paraguay</w:t>
            </w:r>
          </w:p>
          <w:p w14:paraId="761B7455" w14:textId="77777777" w:rsidR="00154B22" w:rsidRDefault="00154B2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Víctor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Monges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Romero </w:t>
            </w:r>
          </w:p>
          <w:p w14:paraId="164ACF2D" w14:textId="77777777" w:rsidR="00FA0CC2" w:rsidRDefault="00FA0C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a4"/>
        <w:tblW w:w="91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68"/>
        <w:gridCol w:w="4567"/>
      </w:tblGrid>
      <w:tr w:rsidR="00FA0CC2" w14:paraId="5BD8AAF0" w14:textId="77777777">
        <w:trPr>
          <w:trHeight w:val="858"/>
          <w:jc w:val="center"/>
        </w:trPr>
        <w:tc>
          <w:tcPr>
            <w:tcW w:w="4568" w:type="dxa"/>
          </w:tcPr>
          <w:p w14:paraId="1E2F72C7" w14:textId="035A123E" w:rsidR="00954AF2" w:rsidRDefault="00954AF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7A89B9" w14:textId="77777777" w:rsidR="00954AF2" w:rsidRDefault="00954AF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8C288D" w14:textId="40C344B4" w:rsidR="00154B22" w:rsidRDefault="00154B2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___________________________</w:t>
            </w:r>
          </w:p>
          <w:p w14:paraId="68FC72A7" w14:textId="6E2B3FEC" w:rsidR="00154B22" w:rsidRDefault="00154B2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Por la </w:t>
            </w:r>
            <w:r w:rsidR="004B0A72"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elegación de Uruguay</w:t>
            </w:r>
          </w:p>
          <w:p w14:paraId="12EA5D0D" w14:textId="18DBE001" w:rsidR="00FA0CC2" w:rsidRDefault="00154B2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Susana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Masoller</w:t>
            </w:r>
            <w:proofErr w:type="spellEnd"/>
          </w:p>
          <w:p w14:paraId="462D538A" w14:textId="77777777" w:rsidR="00954AF2" w:rsidRDefault="00954AF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37C761CF" w14:textId="1D52F76A" w:rsidR="00954AF2" w:rsidRDefault="00954AF2" w:rsidP="00154B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67" w:type="dxa"/>
          </w:tcPr>
          <w:p w14:paraId="770026AD" w14:textId="77777777" w:rsidR="00FA0CC2" w:rsidRDefault="00FA0CC2" w:rsidP="00FA2A1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222AF34" w14:textId="77777777" w:rsidR="00FA0CC2" w:rsidRDefault="00FA0CC2"/>
    <w:p w14:paraId="27A81497" w14:textId="77777777" w:rsidR="00FA0CC2" w:rsidRDefault="00FA0CC2">
      <w:pPr>
        <w:tabs>
          <w:tab w:val="left" w:pos="3722"/>
        </w:tabs>
      </w:pPr>
    </w:p>
    <w:sectPr w:rsidR="00FA0CC2" w:rsidSect="00954AF2">
      <w:headerReference w:type="default" r:id="rId9"/>
      <w:footerReference w:type="default" r:id="rId10"/>
      <w:pgSz w:w="11906" w:h="16838"/>
      <w:pgMar w:top="708" w:right="1700" w:bottom="1417" w:left="1700" w:header="64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F52F5" w14:textId="77777777" w:rsidR="0053637C" w:rsidRDefault="0053637C">
      <w:pPr>
        <w:spacing w:after="0" w:line="240" w:lineRule="auto"/>
      </w:pPr>
      <w:r>
        <w:separator/>
      </w:r>
    </w:p>
  </w:endnote>
  <w:endnote w:type="continuationSeparator" w:id="0">
    <w:p w14:paraId="16F34EF2" w14:textId="77777777" w:rsidR="0053637C" w:rsidRDefault="0053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33DF" w14:textId="77777777" w:rsidR="00FA0CC2" w:rsidRDefault="008D4D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320EE9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791AC33B" w14:textId="77777777" w:rsidR="00FA0CC2" w:rsidRDefault="00FA0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4145" w14:textId="77777777" w:rsidR="0053637C" w:rsidRDefault="0053637C">
      <w:pPr>
        <w:spacing w:after="0" w:line="240" w:lineRule="auto"/>
      </w:pPr>
      <w:r>
        <w:separator/>
      </w:r>
    </w:p>
  </w:footnote>
  <w:footnote w:type="continuationSeparator" w:id="0">
    <w:p w14:paraId="5F3BEDCA" w14:textId="77777777" w:rsidR="0053637C" w:rsidRDefault="0053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9E68F" w14:textId="77777777" w:rsidR="00954AF2" w:rsidRDefault="00954A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705"/>
      </w:tabs>
      <w:spacing w:after="0" w:line="240" w:lineRule="auto"/>
      <w:rPr>
        <w:color w:val="000000"/>
      </w:rPr>
    </w:pPr>
  </w:p>
  <w:p w14:paraId="74388478" w14:textId="77777777" w:rsidR="00954AF2" w:rsidRDefault="00954A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705"/>
      </w:tabs>
      <w:spacing w:after="0" w:line="240" w:lineRule="auto"/>
      <w:rPr>
        <w:color w:val="000000"/>
      </w:rPr>
    </w:pPr>
  </w:p>
  <w:p w14:paraId="62B11D00" w14:textId="2BB4D5E2" w:rsidR="00FA0CC2" w:rsidRDefault="00954A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705"/>
      </w:tabs>
      <w:spacing w:after="0" w:line="240" w:lineRule="auto"/>
      <w:rPr>
        <w:color w:val="000000"/>
      </w:rPr>
    </w:pPr>
    <w:r>
      <w:rPr>
        <w:noProof/>
        <w:lang w:val="es-AR" w:eastAsia="es-AR"/>
      </w:rPr>
      <w:drawing>
        <wp:inline distT="0" distB="0" distL="0" distR="0" wp14:anchorId="007D2529" wp14:editId="5C073B0F">
          <wp:extent cx="1199515" cy="760095"/>
          <wp:effectExtent l="0" t="0" r="635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DF4">
      <w:rPr>
        <w:color w:val="000000"/>
      </w:rPr>
      <w:t xml:space="preserve">                                                          </w:t>
    </w:r>
    <w:r>
      <w:rPr>
        <w:color w:val="000000"/>
      </w:rPr>
      <w:t xml:space="preserve">                             </w:t>
    </w:r>
    <w:r>
      <w:rPr>
        <w:noProof/>
        <w:lang w:val="es-AR" w:eastAsia="es-AR"/>
      </w:rPr>
      <w:drawing>
        <wp:inline distT="0" distB="0" distL="0" distR="0" wp14:anchorId="0E877359" wp14:editId="7D60E39D">
          <wp:extent cx="1193060" cy="760095"/>
          <wp:effectExtent l="0" t="0" r="7620" b="190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30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661"/>
    <w:multiLevelType w:val="multilevel"/>
    <w:tmpl w:val="90A8F6B4"/>
    <w:lvl w:ilvl="0">
      <w:start w:val="1"/>
      <w:numFmt w:val="decimal"/>
      <w:lvlText w:val="%1."/>
      <w:lvlJc w:val="left"/>
      <w:pPr>
        <w:ind w:left="4472" w:hanging="360"/>
      </w:pPr>
      <w:rPr>
        <w:b/>
      </w:rPr>
    </w:lvl>
    <w:lvl w:ilvl="1">
      <w:start w:val="1"/>
      <w:numFmt w:val="decimal"/>
      <w:lvlText w:val="%1.%2."/>
      <w:lvlJc w:val="left"/>
      <w:pPr>
        <w:ind w:left="3123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50" w:hanging="1080"/>
      </w:pPr>
    </w:lvl>
    <w:lvl w:ilvl="4">
      <w:start w:val="1"/>
      <w:numFmt w:val="decimal"/>
      <w:lvlText w:val="%1.%2.%3.%4.%5."/>
      <w:lvlJc w:val="left"/>
      <w:pPr>
        <w:ind w:left="2850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210" w:hanging="1440"/>
      </w:pPr>
    </w:lvl>
    <w:lvl w:ilvl="7">
      <w:start w:val="1"/>
      <w:numFmt w:val="decimal"/>
      <w:lvlText w:val="%1.%2.%3.%4.%5.%6.%7.%8."/>
      <w:lvlJc w:val="left"/>
      <w:pPr>
        <w:ind w:left="3570" w:hanging="1800"/>
      </w:pPr>
    </w:lvl>
    <w:lvl w:ilvl="8">
      <w:start w:val="1"/>
      <w:numFmt w:val="decimal"/>
      <w:lvlText w:val="%1.%2.%3.%4.%5.%6.%7.%8.%9."/>
      <w:lvlJc w:val="left"/>
      <w:pPr>
        <w:ind w:left="393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C2"/>
    <w:rsid w:val="000073D9"/>
    <w:rsid w:val="0008023E"/>
    <w:rsid w:val="0008530F"/>
    <w:rsid w:val="000B3A9B"/>
    <w:rsid w:val="000D1A14"/>
    <w:rsid w:val="000E0762"/>
    <w:rsid w:val="0010086F"/>
    <w:rsid w:val="001307F3"/>
    <w:rsid w:val="001317B7"/>
    <w:rsid w:val="001378AE"/>
    <w:rsid w:val="00154B22"/>
    <w:rsid w:val="00156A10"/>
    <w:rsid w:val="00173548"/>
    <w:rsid w:val="001E4F1A"/>
    <w:rsid w:val="00201459"/>
    <w:rsid w:val="002037D3"/>
    <w:rsid w:val="002824CF"/>
    <w:rsid w:val="002C1CB0"/>
    <w:rsid w:val="00313195"/>
    <w:rsid w:val="00320EE9"/>
    <w:rsid w:val="003424F4"/>
    <w:rsid w:val="00376071"/>
    <w:rsid w:val="0037636F"/>
    <w:rsid w:val="003B55CE"/>
    <w:rsid w:val="00404D26"/>
    <w:rsid w:val="00430E94"/>
    <w:rsid w:val="00441F2E"/>
    <w:rsid w:val="00454706"/>
    <w:rsid w:val="004564C5"/>
    <w:rsid w:val="00485D70"/>
    <w:rsid w:val="004B0A72"/>
    <w:rsid w:val="004D6303"/>
    <w:rsid w:val="0053637C"/>
    <w:rsid w:val="005441A0"/>
    <w:rsid w:val="005526C7"/>
    <w:rsid w:val="005C11E9"/>
    <w:rsid w:val="005C2432"/>
    <w:rsid w:val="005D0FE7"/>
    <w:rsid w:val="005D391D"/>
    <w:rsid w:val="0064338B"/>
    <w:rsid w:val="00647B57"/>
    <w:rsid w:val="006775E7"/>
    <w:rsid w:val="007C084F"/>
    <w:rsid w:val="007E65BF"/>
    <w:rsid w:val="0082032D"/>
    <w:rsid w:val="00862153"/>
    <w:rsid w:val="00865AB2"/>
    <w:rsid w:val="008738C0"/>
    <w:rsid w:val="008810CC"/>
    <w:rsid w:val="00884595"/>
    <w:rsid w:val="0089126C"/>
    <w:rsid w:val="008D4DF4"/>
    <w:rsid w:val="008E3353"/>
    <w:rsid w:val="009101A7"/>
    <w:rsid w:val="00954AF2"/>
    <w:rsid w:val="00995B6E"/>
    <w:rsid w:val="009B71AE"/>
    <w:rsid w:val="00A269A2"/>
    <w:rsid w:val="00A703C8"/>
    <w:rsid w:val="00A71C57"/>
    <w:rsid w:val="00A77F6D"/>
    <w:rsid w:val="00AC162A"/>
    <w:rsid w:val="00AF41BC"/>
    <w:rsid w:val="00B33363"/>
    <w:rsid w:val="00B355D3"/>
    <w:rsid w:val="00B531A9"/>
    <w:rsid w:val="00B82DBC"/>
    <w:rsid w:val="00BD1C83"/>
    <w:rsid w:val="00BF2C85"/>
    <w:rsid w:val="00C01695"/>
    <w:rsid w:val="00C22525"/>
    <w:rsid w:val="00C840D0"/>
    <w:rsid w:val="00C86DBA"/>
    <w:rsid w:val="00C91A98"/>
    <w:rsid w:val="00D06B33"/>
    <w:rsid w:val="00D12D8C"/>
    <w:rsid w:val="00D23D80"/>
    <w:rsid w:val="00D37D02"/>
    <w:rsid w:val="00D632CA"/>
    <w:rsid w:val="00DA2E24"/>
    <w:rsid w:val="00E9063F"/>
    <w:rsid w:val="00EB2A9D"/>
    <w:rsid w:val="00EE0B83"/>
    <w:rsid w:val="00F21DA5"/>
    <w:rsid w:val="00F23E8B"/>
    <w:rsid w:val="00F24C3E"/>
    <w:rsid w:val="00F30B71"/>
    <w:rsid w:val="00F313BA"/>
    <w:rsid w:val="00F37A0C"/>
    <w:rsid w:val="00FA0CC2"/>
    <w:rsid w:val="00F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7F1C22"/>
  <w15:docId w15:val="{0866EF84-5CD8-4A40-BC8A-64B053E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paragraph" w:styleId="Textodeglobo">
    <w:name w:val="Balloon Text"/>
    <w:basedOn w:val="Normal"/>
    <w:link w:val="TextodegloboCar"/>
    <w:uiPriority w:val="99"/>
    <w:semiHidden/>
    <w:unhideWhenUsed/>
    <w:rsid w:val="0014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BED"/>
    <w:rPr>
      <w:rFonts w:ascii="Tahoma" w:hAnsi="Tahoma" w:cs="Tahoma"/>
      <w:sz w:val="16"/>
      <w:szCs w:val="16"/>
    </w:rPr>
  </w:style>
  <w:style w:type="character" w:customStyle="1" w:styleId="hps">
    <w:name w:val="hps"/>
    <w:rsid w:val="008B7B0A"/>
  </w:style>
  <w:style w:type="paragraph" w:styleId="NormalWeb">
    <w:name w:val="Normal (Web)"/>
    <w:basedOn w:val="Normal"/>
    <w:uiPriority w:val="99"/>
    <w:semiHidden/>
    <w:unhideWhenUsed/>
    <w:rsid w:val="00C4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47C90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rPr>
      <w:i/>
      <w:color w:val="5B9BD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E0C6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UY"/>
    </w:rPr>
  </w:style>
  <w:style w:type="character" w:styleId="Nmerodelnea">
    <w:name w:val="line number"/>
    <w:basedOn w:val="Fuentedeprrafopredeter"/>
    <w:uiPriority w:val="99"/>
    <w:semiHidden/>
    <w:unhideWhenUsed/>
    <w:rsid w:val="007F14AF"/>
  </w:style>
  <w:style w:type="table" w:customStyle="1" w:styleId="a">
    <w:basedOn w:val="TableNormal0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43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12D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D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D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D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D8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12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9qyHXN0wGLJeoKNbm5pyO5wyA==">AMUW2mWNSXfkpGEUbqAZKiQWYCK9frD0NCldOsvtVeXHKiGDtTZjYZ3CffXT5CSbSA5CTGkL/clyP8KHWWGERi61DjUrcqUJ0VItEU4ugNTDbLX5BXGbfcz3CT/UjxHcUzwE6L16YtC7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María Eugenia Gómez Urbieta</cp:lastModifiedBy>
  <cp:revision>22</cp:revision>
  <dcterms:created xsi:type="dcterms:W3CDTF">2022-04-22T18:58:00Z</dcterms:created>
  <dcterms:modified xsi:type="dcterms:W3CDTF">2022-05-05T14:28:00Z</dcterms:modified>
</cp:coreProperties>
</file>