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F8" w:rsidRDefault="00F83BF8">
      <w:pPr>
        <w:spacing w:after="0" w:line="240" w:lineRule="auto"/>
        <w:rPr>
          <w:rFonts w:ascii="Arial" w:eastAsia="Arial" w:hAnsi="Arial" w:cs="Arial"/>
          <w:sz w:val="24"/>
          <w:szCs w:val="24"/>
        </w:rPr>
      </w:pPr>
    </w:p>
    <w:p w:rsidR="00F83BF8" w:rsidRDefault="00F83BF8">
      <w:pPr>
        <w:spacing w:after="0" w:line="240" w:lineRule="auto"/>
        <w:rPr>
          <w:rFonts w:ascii="Arial" w:eastAsia="Arial" w:hAnsi="Arial" w:cs="Arial"/>
          <w:b/>
          <w:sz w:val="24"/>
          <w:szCs w:val="24"/>
        </w:rPr>
      </w:pPr>
    </w:p>
    <w:p w:rsidR="00F83BF8" w:rsidRDefault="00A62434">
      <w:pPr>
        <w:spacing w:after="0" w:line="240" w:lineRule="auto"/>
        <w:rPr>
          <w:rFonts w:ascii="Arial" w:eastAsia="Arial" w:hAnsi="Arial" w:cs="Arial"/>
          <w:b/>
          <w:sz w:val="24"/>
          <w:szCs w:val="24"/>
        </w:rPr>
      </w:pPr>
      <w:r>
        <w:rPr>
          <w:rFonts w:ascii="Arial" w:eastAsia="Arial" w:hAnsi="Arial" w:cs="Arial"/>
          <w:b/>
          <w:sz w:val="24"/>
          <w:szCs w:val="24"/>
        </w:rPr>
        <w:t>MERCOSUR/CT N° 8/ACTA N° 02/22</w:t>
      </w:r>
    </w:p>
    <w:p w:rsidR="00F83BF8" w:rsidRDefault="00F83BF8">
      <w:pPr>
        <w:widowControl/>
        <w:spacing w:after="0" w:line="240" w:lineRule="auto"/>
        <w:jc w:val="center"/>
        <w:rPr>
          <w:rFonts w:ascii="Arial" w:eastAsia="Arial" w:hAnsi="Arial" w:cs="Arial"/>
          <w:b/>
          <w:sz w:val="24"/>
          <w:szCs w:val="24"/>
        </w:rPr>
      </w:pPr>
    </w:p>
    <w:p w:rsidR="00F83BF8" w:rsidRDefault="00A62434">
      <w:pPr>
        <w:widowControl/>
        <w:spacing w:after="160" w:line="259" w:lineRule="auto"/>
        <w:jc w:val="center"/>
        <w:rPr>
          <w:rFonts w:ascii="Arial" w:eastAsia="Arial" w:hAnsi="Arial" w:cs="Arial"/>
          <w:b/>
          <w:sz w:val="24"/>
          <w:szCs w:val="24"/>
        </w:rPr>
      </w:pPr>
      <w:bookmarkStart w:id="0" w:name="_heading=h.gjdgxs" w:colFirst="0" w:colLast="0"/>
      <w:bookmarkEnd w:id="0"/>
      <w:r>
        <w:rPr>
          <w:rFonts w:ascii="Arial" w:eastAsia="Arial" w:hAnsi="Arial" w:cs="Arial"/>
          <w:b/>
          <w:sz w:val="24"/>
          <w:szCs w:val="24"/>
        </w:rPr>
        <w:t>II REUNIÓN DEL COMITÉ TÉCNICO N° 8 “TRANSPOSICIÓN DE NOMENCLATURA DE ACUERDOS COMERCIALES CON TERCEROS PAÍSES Y GRUPO DE PAÍSES”</w:t>
      </w:r>
    </w:p>
    <w:p w:rsidR="00F83BF8" w:rsidRDefault="00F83BF8">
      <w:pPr>
        <w:widowControl/>
        <w:spacing w:after="0" w:line="240" w:lineRule="auto"/>
        <w:jc w:val="center"/>
        <w:rPr>
          <w:rFonts w:ascii="Arial" w:eastAsia="Arial" w:hAnsi="Arial" w:cs="Arial"/>
          <w:b/>
          <w:sz w:val="24"/>
          <w:szCs w:val="24"/>
        </w:rPr>
      </w:pPr>
    </w:p>
    <w:p w:rsidR="00F83BF8" w:rsidRDefault="00A62434">
      <w:pPr>
        <w:widowControl/>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Se realizó el día 29 de abril de 2022, en ejercicio de la </w:t>
      </w:r>
      <w:r>
        <w:rPr>
          <w:rFonts w:ascii="Arial" w:eastAsia="Arial" w:hAnsi="Arial" w:cs="Arial"/>
          <w:i/>
          <w:sz w:val="24"/>
          <w:szCs w:val="24"/>
        </w:rPr>
        <w:t>Presidencia Pro Tempore</w:t>
      </w:r>
      <w:r>
        <w:rPr>
          <w:rFonts w:ascii="Arial" w:eastAsia="Arial" w:hAnsi="Arial" w:cs="Arial"/>
          <w:sz w:val="24"/>
          <w:szCs w:val="24"/>
        </w:rPr>
        <w:t xml:space="preserve"> de Paraguay (PPTP), la I</w:t>
      </w:r>
      <w:r>
        <w:rPr>
          <w:rFonts w:ascii="Arial" w:eastAsia="Arial" w:hAnsi="Arial" w:cs="Arial"/>
          <w:color w:val="000000"/>
          <w:sz w:val="24"/>
          <w:szCs w:val="24"/>
        </w:rPr>
        <w:t>I</w:t>
      </w:r>
      <w:r>
        <w:rPr>
          <w:rFonts w:ascii="Arial" w:eastAsia="Arial" w:hAnsi="Arial" w:cs="Arial"/>
          <w:sz w:val="24"/>
          <w:szCs w:val="24"/>
        </w:rPr>
        <w:t xml:space="preserve"> Reunión Ordinaria del </w:t>
      </w:r>
      <w:r>
        <w:rPr>
          <w:rFonts w:ascii="Arial" w:eastAsia="Arial" w:hAnsi="Arial" w:cs="Arial"/>
          <w:color w:val="000000"/>
          <w:sz w:val="24"/>
          <w:szCs w:val="24"/>
        </w:rPr>
        <w:t>Comité Técnico Nº 8 “Transposición de Nomenclatura de Acuerdos Comerciales con Terceros Países”</w:t>
      </w:r>
      <w:r>
        <w:rPr>
          <w:rFonts w:ascii="Arial" w:eastAsia="Arial" w:hAnsi="Arial" w:cs="Arial"/>
          <w:sz w:val="24"/>
          <w:szCs w:val="24"/>
        </w:rPr>
        <w:t>, por sistema de videoconferencia de conformidad con lo dispuesto en la Resolución GMC N° 19/12, con la presencia de las delegaciones de Argentina, Brasil, Paraguay y Uruguay.</w:t>
      </w:r>
    </w:p>
    <w:p w:rsidR="00F83BF8" w:rsidRDefault="00F83BF8">
      <w:pPr>
        <w:widowControl/>
        <w:spacing w:after="0" w:line="240" w:lineRule="auto"/>
        <w:jc w:val="both"/>
        <w:rPr>
          <w:rFonts w:ascii="Arial" w:eastAsia="Arial" w:hAnsi="Arial" w:cs="Arial"/>
          <w:sz w:val="24"/>
          <w:szCs w:val="24"/>
        </w:rPr>
      </w:pPr>
    </w:p>
    <w:p w:rsidR="00F83BF8" w:rsidRDefault="00A62434">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El Coordinador del CT N° 8, Luis Ojeda, en su carácter de Presidencia </w:t>
      </w:r>
      <w:r>
        <w:rPr>
          <w:rFonts w:ascii="Arial" w:eastAsia="Arial" w:hAnsi="Arial" w:cs="Arial"/>
          <w:i/>
          <w:sz w:val="24"/>
          <w:szCs w:val="24"/>
        </w:rPr>
        <w:t>Pro Tempore</w:t>
      </w:r>
      <w:r>
        <w:rPr>
          <w:rFonts w:ascii="Arial" w:eastAsia="Arial" w:hAnsi="Arial" w:cs="Arial"/>
          <w:sz w:val="24"/>
          <w:szCs w:val="24"/>
        </w:rPr>
        <w:t xml:space="preserve"> dio apertura a la reunión y agradeció la participación de las delegaciones, que contó con la presencia de expertos del área de origen. Seguidamente, expuso la agenda prevista, la que fue aprobada.</w:t>
      </w:r>
    </w:p>
    <w:p w:rsidR="00F83BF8" w:rsidRDefault="00F83BF8">
      <w:pPr>
        <w:spacing w:after="0"/>
        <w:ind w:hanging="2"/>
        <w:jc w:val="both"/>
        <w:rPr>
          <w:rFonts w:ascii="Arial" w:eastAsia="Arial" w:hAnsi="Arial" w:cs="Arial"/>
          <w:sz w:val="24"/>
          <w:szCs w:val="24"/>
        </w:rPr>
      </w:pPr>
    </w:p>
    <w:p w:rsidR="00F83BF8" w:rsidRDefault="00F83BF8">
      <w:pPr>
        <w:widowControl/>
        <w:spacing w:after="0" w:line="240" w:lineRule="auto"/>
        <w:jc w:val="both"/>
        <w:rPr>
          <w:rFonts w:ascii="Arial" w:eastAsia="Arial" w:hAnsi="Arial" w:cs="Arial"/>
          <w:sz w:val="24"/>
          <w:szCs w:val="24"/>
        </w:rPr>
      </w:pPr>
    </w:p>
    <w:p w:rsidR="00F83BF8" w:rsidRDefault="00A62434">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La Lista de Participantes consta como </w:t>
      </w:r>
      <w:r>
        <w:rPr>
          <w:rFonts w:ascii="Arial" w:eastAsia="Arial" w:hAnsi="Arial" w:cs="Arial"/>
          <w:b/>
          <w:sz w:val="24"/>
          <w:szCs w:val="24"/>
        </w:rPr>
        <w:t>Anexo I</w:t>
      </w:r>
      <w:r>
        <w:rPr>
          <w:rFonts w:ascii="Arial" w:eastAsia="Arial" w:hAnsi="Arial" w:cs="Arial"/>
          <w:sz w:val="24"/>
          <w:szCs w:val="24"/>
        </w:rPr>
        <w:t>.</w:t>
      </w:r>
    </w:p>
    <w:p w:rsidR="00F83BF8" w:rsidRDefault="00F83BF8">
      <w:pPr>
        <w:widowControl/>
        <w:spacing w:after="0" w:line="240" w:lineRule="auto"/>
        <w:jc w:val="both"/>
        <w:rPr>
          <w:rFonts w:ascii="Arial" w:eastAsia="Arial" w:hAnsi="Arial" w:cs="Arial"/>
          <w:sz w:val="24"/>
          <w:szCs w:val="24"/>
        </w:rPr>
      </w:pPr>
    </w:p>
    <w:p w:rsidR="00F83BF8" w:rsidRDefault="00A62434">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La Agenda consta como </w:t>
      </w:r>
      <w:r>
        <w:rPr>
          <w:rFonts w:ascii="Arial" w:eastAsia="Arial" w:hAnsi="Arial" w:cs="Arial"/>
          <w:b/>
          <w:sz w:val="24"/>
          <w:szCs w:val="24"/>
        </w:rPr>
        <w:t>Anexo II</w:t>
      </w:r>
      <w:r>
        <w:rPr>
          <w:rFonts w:ascii="Arial" w:eastAsia="Arial" w:hAnsi="Arial" w:cs="Arial"/>
          <w:sz w:val="24"/>
          <w:szCs w:val="24"/>
        </w:rPr>
        <w:t>.</w:t>
      </w:r>
    </w:p>
    <w:p w:rsidR="00F83BF8" w:rsidRDefault="00F83BF8">
      <w:pPr>
        <w:widowControl/>
        <w:spacing w:after="0" w:line="240" w:lineRule="auto"/>
        <w:jc w:val="both"/>
        <w:rPr>
          <w:rFonts w:ascii="Arial" w:eastAsia="Arial" w:hAnsi="Arial" w:cs="Arial"/>
          <w:sz w:val="24"/>
          <w:szCs w:val="24"/>
        </w:rPr>
      </w:pPr>
    </w:p>
    <w:p w:rsidR="00F83BF8" w:rsidRDefault="00A62434">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El Resumen del Acta consta como </w:t>
      </w:r>
      <w:r>
        <w:rPr>
          <w:rFonts w:ascii="Arial" w:eastAsia="Arial" w:hAnsi="Arial" w:cs="Arial"/>
          <w:b/>
          <w:sz w:val="24"/>
          <w:szCs w:val="24"/>
        </w:rPr>
        <w:t>Anexo III</w:t>
      </w:r>
      <w:r>
        <w:rPr>
          <w:rFonts w:ascii="Arial" w:eastAsia="Arial" w:hAnsi="Arial" w:cs="Arial"/>
          <w:sz w:val="24"/>
          <w:szCs w:val="24"/>
        </w:rPr>
        <w:t>.</w:t>
      </w:r>
    </w:p>
    <w:p w:rsidR="00F83BF8" w:rsidRDefault="00F83BF8">
      <w:pPr>
        <w:widowControl/>
        <w:spacing w:after="0" w:line="240" w:lineRule="auto"/>
        <w:jc w:val="both"/>
        <w:rPr>
          <w:rFonts w:ascii="Arial" w:eastAsia="Arial" w:hAnsi="Arial" w:cs="Arial"/>
          <w:sz w:val="24"/>
          <w:szCs w:val="24"/>
        </w:rPr>
      </w:pPr>
    </w:p>
    <w:p w:rsidR="00F83BF8" w:rsidRDefault="00F83BF8">
      <w:pPr>
        <w:widowControl/>
        <w:spacing w:after="0" w:line="240" w:lineRule="auto"/>
        <w:jc w:val="both"/>
        <w:rPr>
          <w:rFonts w:ascii="Arial" w:eastAsia="Arial" w:hAnsi="Arial" w:cs="Arial"/>
          <w:sz w:val="24"/>
          <w:szCs w:val="24"/>
        </w:rPr>
      </w:pPr>
    </w:p>
    <w:p w:rsidR="00F83BF8" w:rsidRDefault="00A62434">
      <w:pPr>
        <w:widowControl/>
        <w:spacing w:after="0" w:line="240" w:lineRule="auto"/>
        <w:jc w:val="both"/>
        <w:rPr>
          <w:rFonts w:ascii="Arial" w:eastAsia="Arial" w:hAnsi="Arial" w:cs="Arial"/>
          <w:sz w:val="24"/>
          <w:szCs w:val="24"/>
        </w:rPr>
      </w:pPr>
      <w:r>
        <w:rPr>
          <w:rFonts w:ascii="Arial" w:eastAsia="Arial" w:hAnsi="Arial" w:cs="Arial"/>
          <w:sz w:val="24"/>
          <w:szCs w:val="24"/>
        </w:rPr>
        <w:t>Durante la reunión fueron tratados los siguientes temas:</w:t>
      </w:r>
    </w:p>
    <w:p w:rsidR="00F83BF8" w:rsidRDefault="00F83BF8">
      <w:pPr>
        <w:widowControl/>
        <w:spacing w:after="0" w:line="240" w:lineRule="auto"/>
        <w:jc w:val="both"/>
        <w:rPr>
          <w:rFonts w:ascii="Arial" w:eastAsia="Arial" w:hAnsi="Arial" w:cs="Arial"/>
          <w:b/>
          <w:sz w:val="24"/>
          <w:szCs w:val="24"/>
        </w:rPr>
      </w:pPr>
    </w:p>
    <w:p w:rsidR="00F83BF8" w:rsidRDefault="00F83BF8">
      <w:pPr>
        <w:widowControl/>
        <w:spacing w:after="0"/>
        <w:jc w:val="both"/>
        <w:rPr>
          <w:rFonts w:ascii="Times New Roman" w:eastAsia="Times New Roman" w:hAnsi="Times New Roman" w:cs="Times New Roman"/>
          <w:b/>
          <w:sz w:val="24"/>
          <w:szCs w:val="24"/>
        </w:rPr>
      </w:pPr>
    </w:p>
    <w:p w:rsidR="00F83BF8" w:rsidRDefault="00A62434">
      <w:pPr>
        <w:widowControl/>
        <w:numPr>
          <w:ilvl w:val="0"/>
          <w:numId w:val="1"/>
        </w:numPr>
        <w:spacing w:after="0" w:line="259" w:lineRule="auto"/>
        <w:ind w:left="567" w:hanging="567"/>
        <w:rPr>
          <w:rFonts w:ascii="Arial" w:eastAsia="Arial" w:hAnsi="Arial" w:cs="Arial"/>
          <w:b/>
          <w:sz w:val="24"/>
          <w:szCs w:val="24"/>
        </w:rPr>
      </w:pPr>
      <w:bookmarkStart w:id="2" w:name="_heading=h.1fob9te" w:colFirst="0" w:colLast="0"/>
      <w:bookmarkEnd w:id="2"/>
      <w:r>
        <w:rPr>
          <w:rFonts w:ascii="Arial" w:eastAsia="Arial" w:hAnsi="Arial" w:cs="Arial"/>
          <w:b/>
          <w:sz w:val="24"/>
          <w:szCs w:val="24"/>
        </w:rPr>
        <w:t>PROGRAMA DE TRABAJO 2022</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Las delegaciones intercambiaron comentarios sobre la elaboración del Programa de Trabajo para el año en curso del CT N° 8 que incluye la transposición de las listas de concesiones del MERCOSUR a los países o grupos de países y el proceso de actualización de los requisitos específicos de origen (REO´s).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La delegación de Argentina mencionó que podrían existir tareas que no estén contempladas en dicho Programa de Trabajo presentado, las que, negociadas en este ámbito y en consulta con la CCM, de acuerdo con la normativa vigente, se podrán incorporar a través de adendas.</w:t>
      </w:r>
    </w:p>
    <w:p w:rsidR="00F83BF8" w:rsidRDefault="00F83BF8">
      <w:pPr>
        <w:widowControl/>
        <w:spacing w:after="0"/>
        <w:jc w:val="both"/>
        <w:rPr>
          <w:rFonts w:ascii="Arial" w:eastAsia="Arial" w:hAnsi="Arial" w:cs="Arial"/>
          <w:sz w:val="24"/>
          <w:szCs w:val="24"/>
        </w:rPr>
      </w:pPr>
    </w:p>
    <w:p w:rsidR="00F83BF8" w:rsidRDefault="00F83BF8">
      <w:pPr>
        <w:widowControl/>
        <w:spacing w:after="0"/>
        <w:ind w:left="36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Brasil consultó respecto a la columna de objetivo general que no se encuentra con contenido en el marco de la elaboración del documento.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El Sector de Asesoría Técnica (SAT) de la Secretaría del MERCOSUR (SM) informó que los objetivos generales se encuentran en estudio en el ámbito CR</w:t>
      </w:r>
      <w:r w:rsidR="00EF4A8C">
        <w:rPr>
          <w:rFonts w:ascii="Arial" w:eastAsia="Arial" w:hAnsi="Arial" w:cs="Arial"/>
          <w:sz w:val="24"/>
          <w:szCs w:val="24"/>
        </w:rPr>
        <w:t xml:space="preserve">PM-GAIM, motivo por el cual el </w:t>
      </w:r>
      <w:r>
        <w:rPr>
          <w:rFonts w:ascii="Arial" w:eastAsia="Arial" w:hAnsi="Arial" w:cs="Arial"/>
          <w:sz w:val="24"/>
          <w:szCs w:val="24"/>
        </w:rPr>
        <w:t xml:space="preserve">GMC resolvió aguardar la definición de éstos.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Asimismo, la delegación de Brasil comentó que los operadores utilizan los REO´s a nivel de NALADISA y no así a la NCM, por lo tanto, no estaría aportando mayor provecho en el despliegue de la tarea.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Argentina, apoyando lo expresado por Brasil, mencionó que la razón consiste en que la emisión del Certificado de Origen (CO) se solicita en la nomenclatura de origen del Acuerdo.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La</w:t>
      </w:r>
      <w:r w:rsidR="00BD7AC9">
        <w:rPr>
          <w:rFonts w:ascii="Arial" w:eastAsia="Arial" w:hAnsi="Arial" w:cs="Arial"/>
          <w:sz w:val="24"/>
          <w:szCs w:val="24"/>
        </w:rPr>
        <w:t>s delegaciones</w:t>
      </w:r>
      <w:r>
        <w:rPr>
          <w:rFonts w:ascii="Arial" w:eastAsia="Arial" w:hAnsi="Arial" w:cs="Arial"/>
          <w:sz w:val="24"/>
          <w:szCs w:val="24"/>
        </w:rPr>
        <w:t xml:space="preserve"> de Paraguay </w:t>
      </w:r>
      <w:r w:rsidR="00BD7AC9">
        <w:rPr>
          <w:rFonts w:ascii="Arial" w:eastAsia="Arial" w:hAnsi="Arial" w:cs="Arial"/>
          <w:sz w:val="24"/>
          <w:szCs w:val="24"/>
        </w:rPr>
        <w:t>y Uruguay expresaron</w:t>
      </w:r>
      <w:r>
        <w:rPr>
          <w:rFonts w:ascii="Arial" w:eastAsia="Arial" w:hAnsi="Arial" w:cs="Arial"/>
          <w:sz w:val="24"/>
          <w:szCs w:val="24"/>
        </w:rPr>
        <w:t xml:space="preserve"> su conformidad </w:t>
      </w:r>
      <w:r w:rsidR="00BD7AC9">
        <w:rPr>
          <w:rFonts w:ascii="Arial" w:eastAsia="Arial" w:hAnsi="Arial" w:cs="Arial"/>
          <w:sz w:val="24"/>
          <w:szCs w:val="24"/>
        </w:rPr>
        <w:t>con</w:t>
      </w:r>
      <w:r>
        <w:rPr>
          <w:rFonts w:ascii="Arial" w:eastAsia="Arial" w:hAnsi="Arial" w:cs="Arial"/>
          <w:sz w:val="24"/>
          <w:szCs w:val="24"/>
        </w:rPr>
        <w:t xml:space="preserve"> lo mencionado.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El CT N° 8 aprobó su Programa de Trabajo 2022 que consta como </w:t>
      </w:r>
      <w:r>
        <w:rPr>
          <w:rFonts w:ascii="Arial" w:eastAsia="Arial" w:hAnsi="Arial" w:cs="Arial"/>
          <w:b/>
          <w:sz w:val="24"/>
          <w:szCs w:val="24"/>
        </w:rPr>
        <w:t>Anexo IV</w:t>
      </w:r>
      <w:r>
        <w:rPr>
          <w:rFonts w:ascii="Arial" w:eastAsia="Arial" w:hAnsi="Arial" w:cs="Arial"/>
          <w:sz w:val="24"/>
          <w:szCs w:val="24"/>
        </w:rPr>
        <w:t xml:space="preserve"> y lo elevó para consideración de la CCM.</w:t>
      </w:r>
    </w:p>
    <w:p w:rsidR="00F83BF8" w:rsidRDefault="00F83BF8">
      <w:pPr>
        <w:widowControl/>
        <w:spacing w:after="0" w:line="259" w:lineRule="auto"/>
        <w:jc w:val="both"/>
        <w:rPr>
          <w:rFonts w:ascii="Arial" w:eastAsia="Arial" w:hAnsi="Arial" w:cs="Arial"/>
          <w:sz w:val="24"/>
          <w:szCs w:val="24"/>
        </w:rPr>
      </w:pPr>
    </w:p>
    <w:p w:rsidR="00F83BF8" w:rsidRDefault="00F83BF8">
      <w:pPr>
        <w:widowControl/>
        <w:spacing w:after="0" w:line="240" w:lineRule="auto"/>
        <w:rPr>
          <w:rFonts w:ascii="Arial" w:eastAsia="Arial" w:hAnsi="Arial" w:cs="Arial"/>
        </w:rPr>
      </w:pPr>
    </w:p>
    <w:p w:rsidR="00F83BF8" w:rsidRDefault="00A62434">
      <w:pPr>
        <w:widowControl/>
        <w:numPr>
          <w:ilvl w:val="0"/>
          <w:numId w:val="1"/>
        </w:numPr>
        <w:spacing w:after="0" w:line="259" w:lineRule="auto"/>
        <w:ind w:left="567" w:hanging="567"/>
        <w:rPr>
          <w:rFonts w:ascii="Arial" w:eastAsia="Arial" w:hAnsi="Arial" w:cs="Arial"/>
          <w:b/>
          <w:sz w:val="24"/>
          <w:szCs w:val="24"/>
        </w:rPr>
      </w:pPr>
      <w:r>
        <w:rPr>
          <w:rFonts w:ascii="Arial" w:eastAsia="Arial" w:hAnsi="Arial" w:cs="Arial"/>
          <w:b/>
          <w:sz w:val="24"/>
          <w:szCs w:val="24"/>
        </w:rPr>
        <w:t>ACUERDO MCS – COLOMBIA (ACE 72)</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SM/SAT realizó la presentación de la nota metodológica para el tratamiento de los REO´s del presente acuerdo </w:t>
      </w:r>
      <w:r>
        <w:rPr>
          <w:rFonts w:ascii="Arial" w:eastAsia="Arial" w:hAnsi="Arial" w:cs="Arial"/>
          <w:b/>
          <w:sz w:val="24"/>
          <w:szCs w:val="24"/>
        </w:rPr>
        <w:t>(Anexo VI)</w:t>
      </w:r>
      <w:r>
        <w:rPr>
          <w:rFonts w:ascii="Arial" w:eastAsia="Arial" w:hAnsi="Arial" w:cs="Arial"/>
          <w:sz w:val="24"/>
          <w:szCs w:val="24"/>
        </w:rPr>
        <w:t xml:space="preserve">.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Brasil mencionó que la diferencia de tratamiento en relación con las preferencias arancelarias se debe a que los requisitos de origen son definidos en NALADISA.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La delegación de Uruguay expresó que, para el trabajo de análisis de origen, se debe respetar todas las observaciones originales del acuerdo, independientemente a la cantidad y complejidad que pudieran ten</w:t>
      </w:r>
      <w:r w:rsidR="00BD7AC9">
        <w:rPr>
          <w:rFonts w:ascii="Arial" w:eastAsia="Arial" w:hAnsi="Arial" w:cs="Arial"/>
          <w:sz w:val="24"/>
          <w:szCs w:val="24"/>
        </w:rPr>
        <w:t>er al realizar la transposición.</w:t>
      </w:r>
    </w:p>
    <w:p w:rsidR="00BD7AC9" w:rsidRDefault="00BD7AC9">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Argentina realizó comentarios respecto a la propuesta </w:t>
      </w:r>
      <w:r w:rsidR="00EF4A8C">
        <w:rPr>
          <w:rFonts w:ascii="Arial" w:eastAsia="Arial" w:hAnsi="Arial" w:cs="Arial"/>
          <w:sz w:val="24"/>
          <w:szCs w:val="24"/>
        </w:rPr>
        <w:t>de convergencia</w:t>
      </w:r>
      <w:r>
        <w:rPr>
          <w:rFonts w:ascii="Arial" w:eastAsia="Arial" w:hAnsi="Arial" w:cs="Arial"/>
          <w:sz w:val="24"/>
          <w:szCs w:val="24"/>
        </w:rPr>
        <w:t xml:space="preserve"> de REO´s en un solo ítem, remarcando la importancia que el ejercicio de </w:t>
      </w:r>
      <w:r w:rsidR="00EF4A8C">
        <w:rPr>
          <w:rFonts w:ascii="Arial" w:eastAsia="Arial" w:hAnsi="Arial" w:cs="Arial"/>
          <w:sz w:val="24"/>
          <w:szCs w:val="24"/>
        </w:rPr>
        <w:t>correlación sea</w:t>
      </w:r>
      <w:r>
        <w:rPr>
          <w:rFonts w:ascii="Arial" w:eastAsia="Arial" w:hAnsi="Arial" w:cs="Arial"/>
          <w:sz w:val="24"/>
          <w:szCs w:val="24"/>
        </w:rPr>
        <w:t xml:space="preserve"> un reflejo exacto de lo negociado en el acuerdo y realizar todas las observaciones que sean necesarias y sus correspondientes aperturas, para que no resulte en una modificación del acuerdo.</w:t>
      </w:r>
    </w:p>
    <w:p w:rsidR="00F83BF8" w:rsidRDefault="00F83BF8">
      <w:pPr>
        <w:widowControl/>
        <w:spacing w:after="0"/>
        <w:ind w:left="36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Respecto a la actualización de las preferencias, la delegación de Uruguay mencionó que se encuentra recopilando todos los antecedentes del presente trabajo y se compromete a responder </w:t>
      </w:r>
      <w:r w:rsidR="00BD7AC9">
        <w:rPr>
          <w:rFonts w:ascii="Arial" w:eastAsia="Arial" w:hAnsi="Arial" w:cs="Arial"/>
          <w:sz w:val="24"/>
          <w:szCs w:val="24"/>
        </w:rPr>
        <w:t>a la brevedad</w:t>
      </w:r>
      <w:r>
        <w:rPr>
          <w:rFonts w:ascii="Arial" w:eastAsia="Arial" w:hAnsi="Arial" w:cs="Arial"/>
          <w:sz w:val="24"/>
          <w:szCs w:val="24"/>
        </w:rPr>
        <w:t>.</w:t>
      </w:r>
    </w:p>
    <w:p w:rsidR="00F83BF8" w:rsidRDefault="00F83BF8">
      <w:pPr>
        <w:widowControl/>
        <w:spacing w:after="0" w:line="259" w:lineRule="auto"/>
        <w:jc w:val="both"/>
        <w:rPr>
          <w:rFonts w:ascii="Arial" w:eastAsia="Arial" w:hAnsi="Arial" w:cs="Arial"/>
          <w:sz w:val="24"/>
          <w:szCs w:val="24"/>
        </w:rPr>
      </w:pPr>
    </w:p>
    <w:p w:rsidR="00F83BF8" w:rsidRDefault="00F83BF8">
      <w:pPr>
        <w:widowControl/>
        <w:spacing w:after="0" w:line="240" w:lineRule="auto"/>
        <w:rPr>
          <w:rFonts w:ascii="Arial" w:eastAsia="Arial" w:hAnsi="Arial" w:cs="Arial"/>
          <w:b/>
          <w:sz w:val="24"/>
          <w:szCs w:val="24"/>
        </w:rPr>
      </w:pPr>
    </w:p>
    <w:p w:rsidR="00F83BF8" w:rsidRDefault="00A62434">
      <w:pPr>
        <w:widowControl/>
        <w:numPr>
          <w:ilvl w:val="0"/>
          <w:numId w:val="1"/>
        </w:numPr>
        <w:spacing w:after="0" w:line="259" w:lineRule="auto"/>
        <w:ind w:left="567" w:hanging="567"/>
        <w:rPr>
          <w:rFonts w:ascii="Arial" w:eastAsia="Arial" w:hAnsi="Arial" w:cs="Arial"/>
          <w:b/>
          <w:sz w:val="24"/>
          <w:szCs w:val="24"/>
        </w:rPr>
      </w:pPr>
      <w:r>
        <w:rPr>
          <w:rFonts w:ascii="Arial" w:eastAsia="Arial" w:hAnsi="Arial" w:cs="Arial"/>
          <w:b/>
          <w:sz w:val="24"/>
          <w:szCs w:val="24"/>
        </w:rPr>
        <w:t>ACUERDO MCS – EFTA</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Las delegaciones acordaron remitir sus observaciones con respecto al documento de transposición presentado oportunamente por la SM/SAT. El documento ya contiene los comentarios preliminares realizados por la delegación de Brasil e se incluyeron al referido documento, los campos correspondientes de las demás delegaciones para mantener un único documento de trabajo.</w:t>
      </w:r>
    </w:p>
    <w:p w:rsidR="00F83BF8" w:rsidRDefault="00F83BF8">
      <w:pPr>
        <w:widowControl/>
        <w:spacing w:after="0"/>
        <w:ind w:left="36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Argentina informó que remitirá sus observaciones al trabajo y mencionó que sería necesario contar con más tiempo para su tratamiento entre las delegaciones.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En ese sentido, la delegación de Brasil solicitó contar con la información con antelación a la próxima reunión y así optimizar los tiempos de la agenda del CT.</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La delegación de Paraguay se comprometió a consolidar la información remitida por las delegaciones. </w:t>
      </w:r>
    </w:p>
    <w:p w:rsidR="00F83BF8" w:rsidRDefault="00F83BF8">
      <w:pPr>
        <w:widowControl/>
        <w:spacing w:after="0"/>
        <w:jc w:val="both"/>
        <w:rPr>
          <w:rFonts w:ascii="Arial" w:eastAsia="Arial" w:hAnsi="Arial" w:cs="Arial"/>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La delegación de Uruguay mencionó su disposición para remitir a la bre</w:t>
      </w:r>
      <w:r w:rsidR="00561C5C">
        <w:rPr>
          <w:rFonts w:ascii="Arial" w:eastAsia="Arial" w:hAnsi="Arial" w:cs="Arial"/>
          <w:sz w:val="24"/>
          <w:szCs w:val="24"/>
        </w:rPr>
        <w:t>vedad posible sus observaciones teniendo en consideración las prioridades asignadas por GRELEX.</w:t>
      </w:r>
    </w:p>
    <w:p w:rsidR="00F83BF8" w:rsidRDefault="00F83BF8">
      <w:pPr>
        <w:widowControl/>
        <w:spacing w:after="0" w:line="259" w:lineRule="auto"/>
        <w:ind w:left="360"/>
        <w:jc w:val="both"/>
        <w:rPr>
          <w:rFonts w:ascii="Arial" w:eastAsia="Arial" w:hAnsi="Arial" w:cs="Arial"/>
          <w:sz w:val="24"/>
          <w:szCs w:val="24"/>
        </w:rPr>
      </w:pPr>
    </w:p>
    <w:p w:rsidR="00F83BF8" w:rsidRDefault="00F83BF8">
      <w:pPr>
        <w:widowControl/>
        <w:spacing w:after="0" w:line="259" w:lineRule="auto"/>
        <w:rPr>
          <w:rFonts w:ascii="Arial" w:eastAsia="Arial" w:hAnsi="Arial" w:cs="Arial"/>
          <w:b/>
          <w:sz w:val="24"/>
          <w:szCs w:val="24"/>
        </w:rPr>
      </w:pPr>
    </w:p>
    <w:p w:rsidR="00F83BF8" w:rsidRDefault="00A62434">
      <w:pPr>
        <w:widowControl/>
        <w:numPr>
          <w:ilvl w:val="0"/>
          <w:numId w:val="1"/>
        </w:numPr>
        <w:spacing w:after="0" w:line="259" w:lineRule="auto"/>
        <w:ind w:left="567" w:hanging="567"/>
        <w:rPr>
          <w:rFonts w:ascii="Arial" w:eastAsia="Arial" w:hAnsi="Arial" w:cs="Arial"/>
          <w:b/>
          <w:sz w:val="24"/>
          <w:szCs w:val="24"/>
        </w:rPr>
      </w:pPr>
      <w:r>
        <w:rPr>
          <w:rFonts w:ascii="Arial" w:eastAsia="Arial" w:hAnsi="Arial" w:cs="Arial"/>
          <w:b/>
          <w:sz w:val="24"/>
          <w:szCs w:val="24"/>
        </w:rPr>
        <w:t xml:space="preserve">OTROS TEMAS: </w:t>
      </w:r>
    </w:p>
    <w:p w:rsidR="00F83BF8" w:rsidRDefault="00F83BF8">
      <w:pPr>
        <w:widowControl/>
        <w:spacing w:after="0" w:line="259" w:lineRule="auto"/>
        <w:ind w:left="720"/>
        <w:rPr>
          <w:rFonts w:ascii="Arial" w:eastAsia="Arial" w:hAnsi="Arial" w:cs="Arial"/>
          <w:b/>
          <w:sz w:val="24"/>
          <w:szCs w:val="24"/>
        </w:rPr>
      </w:pPr>
    </w:p>
    <w:p w:rsidR="00F83BF8" w:rsidRDefault="00A62434">
      <w:pPr>
        <w:widowControl/>
        <w:spacing w:after="0" w:line="259" w:lineRule="auto"/>
        <w:ind w:left="1134" w:hanging="567"/>
        <w:rPr>
          <w:rFonts w:ascii="Arial" w:eastAsia="Arial" w:hAnsi="Arial" w:cs="Arial"/>
          <w:b/>
          <w:sz w:val="24"/>
          <w:szCs w:val="24"/>
        </w:rPr>
      </w:pPr>
      <w:r>
        <w:rPr>
          <w:rFonts w:ascii="Arial" w:eastAsia="Arial" w:hAnsi="Arial" w:cs="Arial"/>
          <w:b/>
          <w:sz w:val="24"/>
          <w:szCs w:val="24"/>
        </w:rPr>
        <w:t>4.1. Grupo Ad Hoc con Colombia y Perú</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line="259" w:lineRule="auto"/>
        <w:jc w:val="both"/>
        <w:rPr>
          <w:rFonts w:ascii="Arial" w:eastAsia="Arial" w:hAnsi="Arial" w:cs="Arial"/>
          <w:sz w:val="24"/>
          <w:szCs w:val="24"/>
        </w:rPr>
      </w:pPr>
      <w:r>
        <w:rPr>
          <w:rFonts w:ascii="Arial" w:eastAsia="Arial" w:hAnsi="Arial" w:cs="Arial"/>
          <w:sz w:val="24"/>
          <w:szCs w:val="24"/>
        </w:rPr>
        <w:t>La delegación de Colombia confirmó la recepción de la lista de puntos focales actualizados por parte del MERCOSUR. Cabe mencionar que luego de los trabajos que involucran la adecuación de la nomenclatura a la VII Enmienda, Colombia ya inició la revisión de la propuesta remitida y esperan comunicar oportunamente sugerencias y comentarios al ejercicio.</w:t>
      </w:r>
    </w:p>
    <w:p w:rsidR="00F83BF8" w:rsidRDefault="00F83BF8">
      <w:pPr>
        <w:widowControl/>
        <w:spacing w:after="0" w:line="259" w:lineRule="auto"/>
        <w:jc w:val="both"/>
        <w:rPr>
          <w:rFonts w:ascii="Arial" w:eastAsia="Arial" w:hAnsi="Arial" w:cs="Arial"/>
          <w:sz w:val="24"/>
          <w:szCs w:val="24"/>
        </w:rPr>
      </w:pPr>
    </w:p>
    <w:p w:rsidR="00F83BF8" w:rsidRDefault="00A62434">
      <w:pPr>
        <w:widowControl/>
        <w:spacing w:after="0" w:line="259" w:lineRule="auto"/>
        <w:jc w:val="both"/>
        <w:rPr>
          <w:rFonts w:ascii="Arial" w:eastAsia="Arial" w:hAnsi="Arial" w:cs="Arial"/>
          <w:sz w:val="24"/>
          <w:szCs w:val="24"/>
        </w:rPr>
      </w:pPr>
      <w:r>
        <w:rPr>
          <w:rFonts w:ascii="Arial" w:eastAsia="Arial" w:hAnsi="Arial" w:cs="Arial"/>
          <w:sz w:val="24"/>
          <w:szCs w:val="24"/>
        </w:rPr>
        <w:t xml:space="preserve">Con relación al Grupo Ad Hoc con Perú, se encuentra pendiente marcar una fecha tentativa de reunión con la contraparte e iniciar los trabajos de transposición de las </w:t>
      </w:r>
      <w:r>
        <w:rPr>
          <w:rFonts w:ascii="Arial" w:eastAsia="Arial" w:hAnsi="Arial" w:cs="Arial"/>
          <w:sz w:val="24"/>
          <w:szCs w:val="24"/>
        </w:rPr>
        <w:lastRenderedPageBreak/>
        <w:t>listas del ACE 58, en atención al establecimiento del grupo y los puntos focales ya designados.</w:t>
      </w:r>
    </w:p>
    <w:p w:rsidR="00F83BF8" w:rsidRDefault="00F83BF8">
      <w:pPr>
        <w:widowControl/>
        <w:spacing w:after="0" w:line="259" w:lineRule="auto"/>
        <w:rPr>
          <w:rFonts w:ascii="Arial" w:eastAsia="Arial" w:hAnsi="Arial" w:cs="Arial"/>
          <w:b/>
          <w:sz w:val="24"/>
          <w:szCs w:val="24"/>
        </w:rPr>
      </w:pPr>
    </w:p>
    <w:p w:rsidR="00F83BF8" w:rsidRDefault="00A62434">
      <w:pPr>
        <w:widowControl/>
        <w:spacing w:after="0" w:line="259" w:lineRule="auto"/>
        <w:ind w:left="1134" w:hanging="567"/>
        <w:rPr>
          <w:rFonts w:ascii="Arial" w:eastAsia="Arial" w:hAnsi="Arial" w:cs="Arial"/>
          <w:b/>
          <w:sz w:val="24"/>
          <w:szCs w:val="24"/>
        </w:rPr>
      </w:pPr>
      <w:r>
        <w:rPr>
          <w:rFonts w:ascii="Arial" w:eastAsia="Arial" w:hAnsi="Arial" w:cs="Arial"/>
          <w:b/>
          <w:sz w:val="24"/>
          <w:szCs w:val="24"/>
        </w:rPr>
        <w:t>4.2. Documento de Israel sobre trabajo enviado por MCS en mayo 2020</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jc w:val="both"/>
        <w:rPr>
          <w:rFonts w:ascii="Arial" w:eastAsia="Arial" w:hAnsi="Arial" w:cs="Arial"/>
          <w:sz w:val="24"/>
          <w:szCs w:val="24"/>
        </w:rPr>
      </w:pPr>
      <w:r>
        <w:rPr>
          <w:rFonts w:ascii="Arial" w:eastAsia="Arial" w:hAnsi="Arial" w:cs="Arial"/>
          <w:sz w:val="24"/>
          <w:szCs w:val="24"/>
        </w:rPr>
        <w:t xml:space="preserve">Se socializó con los demás países el archivo recibido por parte de Israel sobre el documento elaborado por los países del MERCOSUR en el marco de los trabajos de actualización del acuerdo </w:t>
      </w:r>
      <w:r>
        <w:rPr>
          <w:rFonts w:ascii="Arial" w:eastAsia="Arial" w:hAnsi="Arial" w:cs="Arial"/>
          <w:b/>
          <w:sz w:val="24"/>
          <w:szCs w:val="24"/>
        </w:rPr>
        <w:t>(Anexo V)</w:t>
      </w:r>
      <w:r w:rsidR="00EF4A8C">
        <w:rPr>
          <w:rFonts w:ascii="Arial" w:eastAsia="Arial" w:hAnsi="Arial" w:cs="Arial"/>
          <w:sz w:val="24"/>
          <w:szCs w:val="24"/>
        </w:rPr>
        <w:t xml:space="preserve">. Las delegaciones </w:t>
      </w:r>
      <w:r>
        <w:rPr>
          <w:rFonts w:ascii="Arial" w:eastAsia="Arial" w:hAnsi="Arial" w:cs="Arial"/>
          <w:sz w:val="24"/>
          <w:szCs w:val="24"/>
        </w:rPr>
        <w:t>intercambiaron comentarios sobre el mismo y estimaron conveniente realizar una reunión específica de trabajo, el día miércoles 18 de mayo de 2022, para atender cuestiones que puedan solucionarse de manera inmediata y comunicar sobre el resultado, en la siguiente reunión ordinaria del CT.</w:t>
      </w:r>
    </w:p>
    <w:p w:rsidR="00F83BF8" w:rsidRDefault="00F83BF8">
      <w:pPr>
        <w:widowControl/>
        <w:spacing w:after="0" w:line="259" w:lineRule="auto"/>
        <w:rPr>
          <w:rFonts w:ascii="Arial" w:eastAsia="Arial" w:hAnsi="Arial" w:cs="Arial"/>
          <w:b/>
          <w:sz w:val="24"/>
          <w:szCs w:val="24"/>
        </w:rPr>
      </w:pPr>
    </w:p>
    <w:p w:rsidR="00F83BF8" w:rsidRDefault="00A62434">
      <w:pPr>
        <w:widowControl/>
        <w:spacing w:after="0" w:line="259" w:lineRule="auto"/>
        <w:ind w:left="1134" w:hanging="567"/>
        <w:rPr>
          <w:rFonts w:ascii="Arial" w:eastAsia="Arial" w:hAnsi="Arial" w:cs="Arial"/>
          <w:b/>
          <w:sz w:val="24"/>
          <w:szCs w:val="24"/>
        </w:rPr>
      </w:pPr>
      <w:r>
        <w:rPr>
          <w:rFonts w:ascii="Arial" w:eastAsia="Arial" w:hAnsi="Arial" w:cs="Arial"/>
          <w:b/>
          <w:sz w:val="24"/>
          <w:szCs w:val="24"/>
        </w:rPr>
        <w:t>4.3. Otros</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line="259" w:lineRule="auto"/>
        <w:ind w:left="360" w:firstLine="774"/>
        <w:rPr>
          <w:rFonts w:ascii="Arial" w:eastAsia="Arial" w:hAnsi="Arial" w:cs="Arial"/>
          <w:b/>
          <w:sz w:val="24"/>
          <w:szCs w:val="24"/>
        </w:rPr>
      </w:pPr>
      <w:r>
        <w:rPr>
          <w:rFonts w:ascii="Arial" w:eastAsia="Arial" w:hAnsi="Arial" w:cs="Arial"/>
          <w:b/>
          <w:sz w:val="24"/>
          <w:szCs w:val="24"/>
        </w:rPr>
        <w:t>4.3.1. Modalidades de reuniones y trabajos del CT.</w:t>
      </w:r>
    </w:p>
    <w:p w:rsidR="00F83BF8" w:rsidRDefault="00F83BF8">
      <w:pPr>
        <w:widowControl/>
        <w:spacing w:after="0" w:line="259" w:lineRule="auto"/>
        <w:ind w:left="360"/>
        <w:rPr>
          <w:rFonts w:ascii="Arial" w:eastAsia="Arial" w:hAnsi="Arial" w:cs="Arial"/>
          <w:b/>
          <w:sz w:val="24"/>
          <w:szCs w:val="24"/>
        </w:rPr>
      </w:pPr>
    </w:p>
    <w:p w:rsidR="00F83BF8" w:rsidRDefault="00A62434">
      <w:pPr>
        <w:widowControl/>
        <w:spacing w:after="0" w:line="259" w:lineRule="auto"/>
        <w:jc w:val="both"/>
        <w:rPr>
          <w:rFonts w:ascii="Arial" w:eastAsia="Arial" w:hAnsi="Arial" w:cs="Arial"/>
          <w:sz w:val="24"/>
          <w:szCs w:val="24"/>
        </w:rPr>
      </w:pPr>
      <w:r>
        <w:rPr>
          <w:rFonts w:ascii="Arial" w:eastAsia="Arial" w:hAnsi="Arial" w:cs="Arial"/>
          <w:sz w:val="24"/>
          <w:szCs w:val="24"/>
        </w:rPr>
        <w:t>Para el desarrollo de las tareas del programa anual, las delegaciones acuerdan que se precisará de más tiempo para el análisis de los mismos. Por ende, se establecería a partir de la próxima reunión del CT, 2 (dos) jornadas completas, distribuyendo el mismo entre las que involucra a los técnicos en origen y las listas de preferencias arancelarias.</w:t>
      </w:r>
    </w:p>
    <w:p w:rsidR="00F83BF8" w:rsidRDefault="00F83BF8">
      <w:pPr>
        <w:widowControl/>
        <w:spacing w:after="0" w:line="259" w:lineRule="auto"/>
        <w:ind w:left="709"/>
        <w:jc w:val="both"/>
        <w:rPr>
          <w:rFonts w:ascii="Arial" w:eastAsia="Arial" w:hAnsi="Arial" w:cs="Arial"/>
          <w:sz w:val="24"/>
          <w:szCs w:val="24"/>
        </w:rPr>
      </w:pPr>
    </w:p>
    <w:p w:rsidR="00F83BF8" w:rsidRDefault="00F83BF8">
      <w:pPr>
        <w:widowControl/>
        <w:spacing w:after="0" w:line="240" w:lineRule="auto"/>
        <w:rPr>
          <w:rFonts w:ascii="Arial" w:eastAsia="Arial" w:hAnsi="Arial" w:cs="Arial"/>
          <w:b/>
          <w:sz w:val="24"/>
          <w:szCs w:val="24"/>
        </w:rPr>
      </w:pPr>
    </w:p>
    <w:p w:rsidR="00F83BF8" w:rsidRDefault="00A62434">
      <w:pPr>
        <w:spacing w:after="0"/>
        <w:ind w:hanging="2"/>
        <w:jc w:val="both"/>
        <w:rPr>
          <w:rFonts w:ascii="Arial" w:eastAsia="Arial" w:hAnsi="Arial" w:cs="Arial"/>
          <w:sz w:val="24"/>
          <w:szCs w:val="24"/>
        </w:rPr>
      </w:pPr>
      <w:r>
        <w:rPr>
          <w:rFonts w:ascii="Arial" w:eastAsia="Arial" w:hAnsi="Arial" w:cs="Arial"/>
          <w:b/>
          <w:sz w:val="24"/>
          <w:szCs w:val="24"/>
        </w:rPr>
        <w:t>PRÓXIMA REUNIÓN</w:t>
      </w:r>
    </w:p>
    <w:p w:rsidR="00F83BF8" w:rsidRDefault="00F83BF8">
      <w:pPr>
        <w:spacing w:after="0"/>
        <w:ind w:hanging="2"/>
        <w:jc w:val="both"/>
        <w:rPr>
          <w:rFonts w:ascii="Arial" w:eastAsia="Arial" w:hAnsi="Arial" w:cs="Arial"/>
          <w:sz w:val="24"/>
          <w:szCs w:val="24"/>
        </w:rPr>
      </w:pPr>
    </w:p>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 xml:space="preserve">La próxima Reunión del CT Nº 8 está prevista </w:t>
      </w:r>
      <w:r w:rsidR="00561C5C">
        <w:rPr>
          <w:rFonts w:ascii="Arial" w:eastAsia="Arial" w:hAnsi="Arial" w:cs="Arial"/>
          <w:sz w:val="24"/>
          <w:szCs w:val="24"/>
        </w:rPr>
        <w:t xml:space="preserve">tentativamente </w:t>
      </w:r>
      <w:bookmarkStart w:id="3" w:name="_GoBack"/>
      <w:bookmarkEnd w:id="3"/>
      <w:r>
        <w:rPr>
          <w:rFonts w:ascii="Arial" w:eastAsia="Arial" w:hAnsi="Arial" w:cs="Arial"/>
          <w:sz w:val="24"/>
          <w:szCs w:val="24"/>
        </w:rPr>
        <w:t>para el 26 y 27 de mayo del 2022.</w:t>
      </w:r>
    </w:p>
    <w:p w:rsidR="00F83BF8" w:rsidRDefault="00F83BF8">
      <w:pPr>
        <w:spacing w:after="0"/>
        <w:jc w:val="both"/>
        <w:rPr>
          <w:rFonts w:ascii="Arial" w:eastAsia="Arial" w:hAnsi="Arial" w:cs="Arial"/>
          <w:sz w:val="24"/>
          <w:szCs w:val="24"/>
        </w:rPr>
      </w:pPr>
    </w:p>
    <w:p w:rsidR="00F83BF8" w:rsidRDefault="00F83BF8">
      <w:pPr>
        <w:spacing w:after="0"/>
        <w:ind w:hanging="2"/>
        <w:jc w:val="both"/>
        <w:rPr>
          <w:rFonts w:ascii="Arial" w:eastAsia="Arial" w:hAnsi="Arial" w:cs="Arial"/>
          <w:sz w:val="24"/>
          <w:szCs w:val="24"/>
        </w:rPr>
      </w:pPr>
    </w:p>
    <w:p w:rsidR="00F83BF8" w:rsidRDefault="00A62434">
      <w:pPr>
        <w:rPr>
          <w:rFonts w:ascii="Arial" w:eastAsia="Arial" w:hAnsi="Arial" w:cs="Arial"/>
          <w:b/>
          <w:color w:val="000000"/>
          <w:sz w:val="24"/>
          <w:szCs w:val="24"/>
        </w:rPr>
      </w:pPr>
      <w:r>
        <w:br w:type="page"/>
      </w:r>
    </w:p>
    <w:p w:rsidR="00F83BF8" w:rsidRDefault="00A62434">
      <w:pPr>
        <w:pBdr>
          <w:top w:val="nil"/>
          <w:left w:val="nil"/>
          <w:bottom w:val="nil"/>
          <w:right w:val="nil"/>
          <w:between w:val="nil"/>
        </w:pBdr>
        <w:tabs>
          <w:tab w:val="center" w:pos="4252"/>
          <w:tab w:val="right" w:pos="8504"/>
          <w:tab w:val="left" w:pos="2130"/>
        </w:tabs>
        <w:spacing w:after="0" w:line="240" w:lineRule="auto"/>
        <w:ind w:hanging="2"/>
        <w:jc w:val="both"/>
        <w:rPr>
          <w:rFonts w:ascii="Arial" w:eastAsia="Arial" w:hAnsi="Arial" w:cs="Arial"/>
          <w:color w:val="000000"/>
          <w:sz w:val="24"/>
          <w:szCs w:val="24"/>
        </w:rPr>
      </w:pPr>
      <w:r>
        <w:rPr>
          <w:rFonts w:ascii="Arial" w:eastAsia="Arial" w:hAnsi="Arial" w:cs="Arial"/>
          <w:b/>
          <w:color w:val="000000"/>
          <w:sz w:val="24"/>
          <w:szCs w:val="24"/>
        </w:rPr>
        <w:lastRenderedPageBreak/>
        <w:t>ANEXOS</w:t>
      </w:r>
    </w:p>
    <w:p w:rsidR="00F83BF8" w:rsidRDefault="00F83BF8">
      <w:pPr>
        <w:pBdr>
          <w:top w:val="nil"/>
          <w:left w:val="nil"/>
          <w:bottom w:val="nil"/>
          <w:right w:val="nil"/>
          <w:between w:val="nil"/>
        </w:pBdr>
        <w:tabs>
          <w:tab w:val="center" w:pos="4252"/>
          <w:tab w:val="right" w:pos="8504"/>
          <w:tab w:val="left" w:pos="2130"/>
        </w:tabs>
        <w:spacing w:after="0" w:line="240" w:lineRule="auto"/>
        <w:ind w:hanging="2"/>
        <w:jc w:val="both"/>
        <w:rPr>
          <w:rFonts w:ascii="Arial" w:eastAsia="Arial" w:hAnsi="Arial" w:cs="Arial"/>
          <w:color w:val="000000"/>
          <w:sz w:val="24"/>
          <w:szCs w:val="24"/>
        </w:rPr>
      </w:pPr>
    </w:p>
    <w:p w:rsidR="00F83BF8" w:rsidRDefault="00A62434">
      <w:pPr>
        <w:pBdr>
          <w:top w:val="nil"/>
          <w:left w:val="nil"/>
          <w:bottom w:val="nil"/>
          <w:right w:val="nil"/>
          <w:between w:val="nil"/>
        </w:pBdr>
        <w:tabs>
          <w:tab w:val="center" w:pos="4252"/>
          <w:tab w:val="right" w:pos="8504"/>
        </w:tabs>
        <w:spacing w:after="0" w:line="240" w:lineRule="auto"/>
        <w:ind w:hanging="2"/>
        <w:jc w:val="both"/>
        <w:rPr>
          <w:rFonts w:ascii="Arial" w:eastAsia="Arial" w:hAnsi="Arial" w:cs="Arial"/>
          <w:color w:val="000000"/>
          <w:sz w:val="24"/>
          <w:szCs w:val="24"/>
        </w:rPr>
      </w:pPr>
      <w:r>
        <w:rPr>
          <w:rFonts w:ascii="Arial" w:eastAsia="Arial" w:hAnsi="Arial" w:cs="Arial"/>
          <w:color w:val="000000"/>
          <w:sz w:val="24"/>
          <w:szCs w:val="24"/>
        </w:rPr>
        <w:t>Los Anexos que forman parte de la presente Acta son los siguientes:</w:t>
      </w:r>
    </w:p>
    <w:p w:rsidR="00F83BF8" w:rsidRDefault="00F83BF8">
      <w:pPr>
        <w:spacing w:after="0"/>
        <w:ind w:hanging="2"/>
        <w:rPr>
          <w:rFonts w:ascii="Arial" w:eastAsia="Arial" w:hAnsi="Arial" w:cs="Arial"/>
          <w:sz w:val="24"/>
          <w:szCs w:val="24"/>
        </w:rPr>
      </w:pPr>
    </w:p>
    <w:tbl>
      <w:tblPr>
        <w:tblStyle w:val="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121"/>
      </w:tblGrid>
      <w:tr w:rsidR="00F83BF8">
        <w:tc>
          <w:tcPr>
            <w:tcW w:w="1384" w:type="dxa"/>
          </w:tcPr>
          <w:p w:rsidR="00F83BF8" w:rsidRDefault="00A62434">
            <w:pPr>
              <w:spacing w:after="0"/>
              <w:ind w:hanging="2"/>
              <w:rPr>
                <w:rFonts w:ascii="Arial" w:eastAsia="Arial" w:hAnsi="Arial" w:cs="Arial"/>
                <w:sz w:val="24"/>
                <w:szCs w:val="24"/>
              </w:rPr>
            </w:pPr>
            <w:r>
              <w:rPr>
                <w:rFonts w:ascii="Arial" w:eastAsia="Arial" w:hAnsi="Arial" w:cs="Arial"/>
                <w:b/>
                <w:sz w:val="24"/>
                <w:szCs w:val="24"/>
              </w:rPr>
              <w:t>Anexo I</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Lista de Participantes</w:t>
            </w:r>
          </w:p>
        </w:tc>
      </w:tr>
      <w:tr w:rsidR="00F83BF8">
        <w:tc>
          <w:tcPr>
            <w:tcW w:w="1384" w:type="dxa"/>
          </w:tcPr>
          <w:p w:rsidR="00F83BF8" w:rsidRDefault="00A62434">
            <w:pPr>
              <w:spacing w:after="0"/>
              <w:ind w:hanging="2"/>
              <w:rPr>
                <w:rFonts w:ascii="Arial" w:eastAsia="Arial" w:hAnsi="Arial" w:cs="Arial"/>
                <w:sz w:val="24"/>
                <w:szCs w:val="24"/>
              </w:rPr>
            </w:pPr>
            <w:r>
              <w:rPr>
                <w:rFonts w:ascii="Arial" w:eastAsia="Arial" w:hAnsi="Arial" w:cs="Arial"/>
                <w:b/>
                <w:sz w:val="24"/>
                <w:szCs w:val="24"/>
              </w:rPr>
              <w:t>Anexo II</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Agenda aprobada</w:t>
            </w:r>
          </w:p>
        </w:tc>
      </w:tr>
      <w:tr w:rsidR="00F83BF8">
        <w:tc>
          <w:tcPr>
            <w:tcW w:w="1384" w:type="dxa"/>
          </w:tcPr>
          <w:p w:rsidR="00F83BF8" w:rsidRDefault="00A62434">
            <w:pPr>
              <w:spacing w:after="0"/>
              <w:ind w:hanging="2"/>
              <w:rPr>
                <w:rFonts w:ascii="Arial" w:eastAsia="Arial" w:hAnsi="Arial" w:cs="Arial"/>
                <w:sz w:val="24"/>
                <w:szCs w:val="24"/>
              </w:rPr>
            </w:pPr>
            <w:r>
              <w:rPr>
                <w:rFonts w:ascii="Arial" w:eastAsia="Arial" w:hAnsi="Arial" w:cs="Arial"/>
                <w:b/>
                <w:sz w:val="24"/>
                <w:szCs w:val="24"/>
              </w:rPr>
              <w:t>Anexo III</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Resumen del Acta</w:t>
            </w:r>
          </w:p>
        </w:tc>
      </w:tr>
      <w:tr w:rsidR="00F83BF8">
        <w:tc>
          <w:tcPr>
            <w:tcW w:w="1384" w:type="dxa"/>
          </w:tcPr>
          <w:p w:rsidR="00F83BF8" w:rsidRDefault="00A62434">
            <w:pPr>
              <w:spacing w:after="0"/>
              <w:ind w:hanging="2"/>
              <w:rPr>
                <w:rFonts w:ascii="Arial" w:eastAsia="Arial" w:hAnsi="Arial" w:cs="Arial"/>
                <w:b/>
                <w:sz w:val="24"/>
                <w:szCs w:val="24"/>
              </w:rPr>
            </w:pPr>
            <w:r>
              <w:rPr>
                <w:rFonts w:ascii="Arial" w:eastAsia="Arial" w:hAnsi="Arial" w:cs="Arial"/>
                <w:b/>
                <w:sz w:val="24"/>
                <w:szCs w:val="24"/>
              </w:rPr>
              <w:t>Anexo IV</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Programa de Trabajo 2022 del CT N° 8</w:t>
            </w:r>
          </w:p>
        </w:tc>
      </w:tr>
      <w:tr w:rsidR="00F83BF8">
        <w:tc>
          <w:tcPr>
            <w:tcW w:w="1384" w:type="dxa"/>
          </w:tcPr>
          <w:p w:rsidR="00F83BF8" w:rsidRDefault="00A62434">
            <w:pPr>
              <w:spacing w:after="0"/>
              <w:ind w:hanging="2"/>
              <w:rPr>
                <w:rFonts w:ascii="Arial" w:eastAsia="Arial" w:hAnsi="Arial" w:cs="Arial"/>
                <w:b/>
                <w:sz w:val="24"/>
                <w:szCs w:val="24"/>
              </w:rPr>
            </w:pPr>
            <w:r>
              <w:rPr>
                <w:rFonts w:ascii="Arial" w:eastAsia="Arial" w:hAnsi="Arial" w:cs="Arial"/>
                <w:b/>
                <w:sz w:val="24"/>
                <w:szCs w:val="24"/>
              </w:rPr>
              <w:t>Anexo V</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Comentarios de Israel al documento remitido por el MERCOSUR</w:t>
            </w:r>
          </w:p>
        </w:tc>
      </w:tr>
      <w:tr w:rsidR="00F83BF8">
        <w:tc>
          <w:tcPr>
            <w:tcW w:w="1384" w:type="dxa"/>
          </w:tcPr>
          <w:p w:rsidR="00F83BF8" w:rsidRDefault="00A62434">
            <w:pPr>
              <w:spacing w:after="0"/>
              <w:ind w:hanging="2"/>
              <w:rPr>
                <w:rFonts w:ascii="Arial" w:eastAsia="Arial" w:hAnsi="Arial" w:cs="Arial"/>
                <w:b/>
                <w:sz w:val="24"/>
                <w:szCs w:val="24"/>
              </w:rPr>
            </w:pPr>
            <w:r>
              <w:rPr>
                <w:rFonts w:ascii="Arial" w:eastAsia="Arial" w:hAnsi="Arial" w:cs="Arial"/>
                <w:b/>
                <w:sz w:val="24"/>
                <w:szCs w:val="24"/>
              </w:rPr>
              <w:t>Anexo VI</w:t>
            </w:r>
          </w:p>
        </w:tc>
        <w:tc>
          <w:tcPr>
            <w:tcW w:w="7121" w:type="dxa"/>
          </w:tcPr>
          <w:p w:rsidR="00F83BF8" w:rsidRDefault="00A62434">
            <w:pPr>
              <w:spacing w:after="0"/>
              <w:ind w:hanging="2"/>
              <w:jc w:val="both"/>
              <w:rPr>
                <w:rFonts w:ascii="Arial" w:eastAsia="Arial" w:hAnsi="Arial" w:cs="Arial"/>
                <w:sz w:val="24"/>
                <w:szCs w:val="24"/>
              </w:rPr>
            </w:pPr>
            <w:r>
              <w:rPr>
                <w:rFonts w:ascii="Arial" w:eastAsia="Arial" w:hAnsi="Arial" w:cs="Arial"/>
                <w:sz w:val="24"/>
                <w:szCs w:val="24"/>
              </w:rPr>
              <w:t>Presentación de la SM sobre metodología de transposición de REO´s</w:t>
            </w:r>
          </w:p>
        </w:tc>
      </w:tr>
    </w:tbl>
    <w:p w:rsidR="00F83BF8" w:rsidRDefault="00F83BF8">
      <w:pPr>
        <w:spacing w:after="0"/>
        <w:rPr>
          <w:rFonts w:ascii="Arial" w:eastAsia="Arial" w:hAnsi="Arial" w:cs="Arial"/>
          <w:sz w:val="24"/>
          <w:szCs w:val="24"/>
        </w:rPr>
      </w:pPr>
      <w:bookmarkStart w:id="4" w:name="_heading=h.g0cy9kpozuvi" w:colFirst="0" w:colLast="0"/>
      <w:bookmarkEnd w:id="4"/>
    </w:p>
    <w:p w:rsidR="00F83BF8" w:rsidRDefault="00F83BF8">
      <w:pPr>
        <w:spacing w:after="0" w:line="240" w:lineRule="auto"/>
        <w:jc w:val="both"/>
        <w:rPr>
          <w:rFonts w:ascii="Arial" w:eastAsia="Arial" w:hAnsi="Arial" w:cs="Arial"/>
          <w:sz w:val="24"/>
          <w:szCs w:val="24"/>
        </w:rPr>
      </w:pPr>
    </w:p>
    <w:p w:rsidR="00F83BF8" w:rsidRDefault="00F83BF8">
      <w:pPr>
        <w:spacing w:after="0" w:line="240" w:lineRule="auto"/>
        <w:jc w:val="both"/>
        <w:rPr>
          <w:rFonts w:ascii="Arial" w:eastAsia="Arial" w:hAnsi="Arial" w:cs="Arial"/>
          <w:sz w:val="24"/>
          <w:szCs w:val="24"/>
        </w:rPr>
      </w:pPr>
    </w:p>
    <w:tbl>
      <w:tblPr>
        <w:tblStyle w:val="a0"/>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F83BF8">
        <w:tc>
          <w:tcPr>
            <w:tcW w:w="4419" w:type="dxa"/>
          </w:tcPr>
          <w:p w:rsidR="00F83BF8" w:rsidRDefault="00F83BF8">
            <w:pPr>
              <w:pBdr>
                <w:bottom w:val="single" w:sz="12" w:space="1" w:color="000000"/>
              </w:pBd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A62434">
            <w:pPr>
              <w:jc w:val="center"/>
              <w:rPr>
                <w:rFonts w:ascii="Arial" w:eastAsia="Arial" w:hAnsi="Arial" w:cs="Arial"/>
                <w:b/>
                <w:sz w:val="24"/>
                <w:szCs w:val="24"/>
              </w:rPr>
            </w:pPr>
            <w:r>
              <w:rPr>
                <w:rFonts w:ascii="Arial" w:eastAsia="Arial" w:hAnsi="Arial" w:cs="Arial"/>
                <w:b/>
                <w:sz w:val="24"/>
                <w:szCs w:val="24"/>
              </w:rPr>
              <w:t>Por la delegación de Argentina</w:t>
            </w:r>
          </w:p>
          <w:p w:rsidR="00F83BF8" w:rsidRDefault="00A62434">
            <w:pPr>
              <w:jc w:val="center"/>
              <w:rPr>
                <w:rFonts w:ascii="Arial" w:eastAsia="Arial" w:hAnsi="Arial" w:cs="Arial"/>
                <w:sz w:val="24"/>
                <w:szCs w:val="24"/>
              </w:rPr>
            </w:pPr>
            <w:r>
              <w:rPr>
                <w:rFonts w:ascii="Arial" w:eastAsia="Arial" w:hAnsi="Arial" w:cs="Arial"/>
                <w:sz w:val="24"/>
                <w:szCs w:val="24"/>
              </w:rPr>
              <w:t>Paola Alaguibe</w:t>
            </w:r>
          </w:p>
          <w:p w:rsidR="00F83BF8" w:rsidRDefault="00F83BF8">
            <w:pPr>
              <w:jc w:val="center"/>
              <w:rPr>
                <w:rFonts w:ascii="Arial" w:eastAsia="Arial" w:hAnsi="Arial" w:cs="Arial"/>
                <w:sz w:val="24"/>
                <w:szCs w:val="24"/>
              </w:rPr>
            </w:pPr>
          </w:p>
          <w:p w:rsidR="00F83BF8" w:rsidRDefault="00F83BF8">
            <w:pPr>
              <w:jc w:val="center"/>
              <w:rPr>
                <w:rFonts w:ascii="Arial" w:eastAsia="Arial" w:hAnsi="Arial" w:cs="Arial"/>
                <w:sz w:val="24"/>
                <w:szCs w:val="24"/>
              </w:rPr>
            </w:pPr>
          </w:p>
          <w:p w:rsidR="00F83BF8" w:rsidRDefault="00F83BF8">
            <w:pPr>
              <w:jc w:val="center"/>
              <w:rPr>
                <w:rFonts w:ascii="Arial" w:eastAsia="Arial" w:hAnsi="Arial" w:cs="Arial"/>
                <w:sz w:val="24"/>
                <w:szCs w:val="24"/>
              </w:rPr>
            </w:pPr>
          </w:p>
        </w:tc>
        <w:tc>
          <w:tcPr>
            <w:tcW w:w="4419" w:type="dxa"/>
          </w:tcPr>
          <w:p w:rsidR="00F83BF8" w:rsidRDefault="00F83BF8">
            <w:pPr>
              <w:pBdr>
                <w:bottom w:val="single" w:sz="12" w:space="1" w:color="000000"/>
              </w:pBd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A62434">
            <w:pPr>
              <w:jc w:val="center"/>
              <w:rPr>
                <w:rFonts w:ascii="Arial" w:eastAsia="Arial" w:hAnsi="Arial" w:cs="Arial"/>
                <w:b/>
                <w:sz w:val="24"/>
                <w:szCs w:val="24"/>
              </w:rPr>
            </w:pPr>
            <w:r>
              <w:rPr>
                <w:rFonts w:ascii="Arial" w:eastAsia="Arial" w:hAnsi="Arial" w:cs="Arial"/>
                <w:b/>
                <w:sz w:val="24"/>
                <w:szCs w:val="24"/>
              </w:rPr>
              <w:t>Por la delegación de Brasil</w:t>
            </w:r>
          </w:p>
          <w:p w:rsidR="00F83BF8" w:rsidRDefault="00A62434">
            <w:pPr>
              <w:jc w:val="center"/>
              <w:rPr>
                <w:rFonts w:ascii="Arial" w:eastAsia="Arial" w:hAnsi="Arial" w:cs="Arial"/>
                <w:sz w:val="24"/>
                <w:szCs w:val="24"/>
              </w:rPr>
            </w:pPr>
            <w:bookmarkStart w:id="5" w:name="_heading=h.2et92p0" w:colFirst="0" w:colLast="0"/>
            <w:bookmarkEnd w:id="5"/>
            <w:r>
              <w:rPr>
                <w:rFonts w:ascii="Arial" w:eastAsia="Arial" w:hAnsi="Arial" w:cs="Arial"/>
                <w:sz w:val="24"/>
                <w:szCs w:val="24"/>
              </w:rPr>
              <w:t>Eva Costa Lima Pinheiro</w:t>
            </w:r>
          </w:p>
        </w:tc>
      </w:tr>
      <w:tr w:rsidR="00F83BF8">
        <w:tc>
          <w:tcPr>
            <w:tcW w:w="4419" w:type="dxa"/>
          </w:tcPr>
          <w:p w:rsidR="00F83BF8" w:rsidRDefault="00F83BF8">
            <w:pP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A62434">
            <w:pPr>
              <w:jc w:val="center"/>
              <w:rPr>
                <w:rFonts w:ascii="Arial" w:eastAsia="Arial" w:hAnsi="Arial" w:cs="Arial"/>
                <w:b/>
                <w:sz w:val="24"/>
                <w:szCs w:val="24"/>
              </w:rPr>
            </w:pPr>
            <w:r>
              <w:rPr>
                <w:rFonts w:ascii="Arial" w:eastAsia="Arial" w:hAnsi="Arial" w:cs="Arial"/>
                <w:b/>
                <w:sz w:val="24"/>
                <w:szCs w:val="24"/>
              </w:rPr>
              <w:t>Por la delegación de Paraguay</w:t>
            </w:r>
          </w:p>
          <w:p w:rsidR="00F83BF8" w:rsidRDefault="00A62434">
            <w:pPr>
              <w:jc w:val="center"/>
              <w:rPr>
                <w:rFonts w:ascii="Arial" w:eastAsia="Arial" w:hAnsi="Arial" w:cs="Arial"/>
                <w:sz w:val="24"/>
                <w:szCs w:val="24"/>
              </w:rPr>
            </w:pPr>
            <w:r>
              <w:rPr>
                <w:rFonts w:ascii="Arial" w:eastAsia="Arial" w:hAnsi="Arial" w:cs="Arial"/>
                <w:sz w:val="24"/>
                <w:szCs w:val="24"/>
              </w:rPr>
              <w:t>Luis Ojeda</w:t>
            </w:r>
          </w:p>
          <w:p w:rsidR="00F83BF8" w:rsidRDefault="00F83BF8">
            <w:pPr>
              <w:jc w:val="center"/>
              <w:rPr>
                <w:rFonts w:ascii="Arial" w:eastAsia="Arial" w:hAnsi="Arial" w:cs="Arial"/>
                <w:sz w:val="24"/>
                <w:szCs w:val="24"/>
              </w:rPr>
            </w:pPr>
          </w:p>
          <w:p w:rsidR="00F83BF8" w:rsidRDefault="00F83BF8">
            <w:pPr>
              <w:jc w:val="center"/>
              <w:rPr>
                <w:rFonts w:ascii="Arial" w:eastAsia="Arial" w:hAnsi="Arial" w:cs="Arial"/>
                <w:sz w:val="24"/>
                <w:szCs w:val="24"/>
              </w:rPr>
            </w:pPr>
          </w:p>
        </w:tc>
        <w:tc>
          <w:tcPr>
            <w:tcW w:w="4419" w:type="dxa"/>
          </w:tcPr>
          <w:p w:rsidR="00F83BF8" w:rsidRDefault="00F83BF8">
            <w:pPr>
              <w:pBdr>
                <w:bottom w:val="single" w:sz="12" w:space="1" w:color="000000"/>
              </w:pBdr>
              <w:jc w:val="center"/>
              <w:rPr>
                <w:rFonts w:ascii="Arial" w:eastAsia="Arial" w:hAnsi="Arial" w:cs="Arial"/>
                <w:sz w:val="24"/>
                <w:szCs w:val="24"/>
              </w:rPr>
            </w:pPr>
          </w:p>
          <w:p w:rsidR="00F83BF8" w:rsidRDefault="00F83BF8">
            <w:pPr>
              <w:pBdr>
                <w:bottom w:val="single" w:sz="12" w:space="1" w:color="000000"/>
              </w:pBdr>
              <w:jc w:val="center"/>
              <w:rPr>
                <w:rFonts w:ascii="Arial" w:eastAsia="Arial" w:hAnsi="Arial" w:cs="Arial"/>
                <w:sz w:val="24"/>
                <w:szCs w:val="24"/>
              </w:rPr>
            </w:pPr>
          </w:p>
          <w:p w:rsidR="00F83BF8" w:rsidRDefault="00A62434">
            <w:pPr>
              <w:jc w:val="center"/>
              <w:rPr>
                <w:rFonts w:ascii="Arial" w:eastAsia="Arial" w:hAnsi="Arial" w:cs="Arial"/>
                <w:b/>
                <w:sz w:val="24"/>
                <w:szCs w:val="24"/>
              </w:rPr>
            </w:pPr>
            <w:r>
              <w:rPr>
                <w:rFonts w:ascii="Arial" w:eastAsia="Arial" w:hAnsi="Arial" w:cs="Arial"/>
                <w:b/>
                <w:sz w:val="24"/>
                <w:szCs w:val="24"/>
              </w:rPr>
              <w:t>Por la delegación de Uruguay</w:t>
            </w:r>
          </w:p>
          <w:p w:rsidR="00F83BF8" w:rsidRDefault="00A62434">
            <w:pPr>
              <w:jc w:val="center"/>
              <w:rPr>
                <w:rFonts w:ascii="Arial" w:eastAsia="Arial" w:hAnsi="Arial" w:cs="Arial"/>
                <w:sz w:val="24"/>
                <w:szCs w:val="24"/>
              </w:rPr>
            </w:pPr>
            <w:r>
              <w:rPr>
                <w:rFonts w:ascii="Arial" w:eastAsia="Arial" w:hAnsi="Arial" w:cs="Arial"/>
                <w:sz w:val="24"/>
                <w:szCs w:val="24"/>
              </w:rPr>
              <w:t xml:space="preserve">Sofia </w:t>
            </w:r>
            <w:proofErr w:type="spellStart"/>
            <w:r>
              <w:rPr>
                <w:rFonts w:ascii="Arial" w:eastAsia="Arial" w:hAnsi="Arial" w:cs="Arial"/>
                <w:sz w:val="24"/>
                <w:szCs w:val="24"/>
              </w:rPr>
              <w:t>Tuyaré</w:t>
            </w:r>
            <w:proofErr w:type="spellEnd"/>
          </w:p>
        </w:tc>
      </w:tr>
    </w:tbl>
    <w:p w:rsidR="00F83BF8" w:rsidRDefault="00F83BF8">
      <w:pPr>
        <w:spacing w:after="0" w:line="240" w:lineRule="auto"/>
        <w:jc w:val="both"/>
        <w:rPr>
          <w:rFonts w:ascii="Arial" w:eastAsia="Arial" w:hAnsi="Arial" w:cs="Arial"/>
          <w:sz w:val="24"/>
          <w:szCs w:val="24"/>
        </w:rPr>
      </w:pPr>
    </w:p>
    <w:p w:rsidR="00F83BF8" w:rsidRDefault="00F83BF8">
      <w:pPr>
        <w:rPr>
          <w:rFonts w:ascii="Arial" w:eastAsia="Arial" w:hAnsi="Arial" w:cs="Arial"/>
          <w:sz w:val="24"/>
          <w:szCs w:val="24"/>
        </w:rPr>
      </w:pPr>
    </w:p>
    <w:sectPr w:rsidR="00F83BF8">
      <w:headerReference w:type="default" r:id="rId8"/>
      <w:footerReference w:type="default" r:id="rId9"/>
      <w:headerReference w:type="first" r:id="rId10"/>
      <w:footerReference w:type="first" r:id="rId11"/>
      <w:pgSz w:w="12240" w:h="1584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B0" w:rsidRDefault="006722B0">
      <w:pPr>
        <w:spacing w:after="0" w:line="240" w:lineRule="auto"/>
      </w:pPr>
      <w:r>
        <w:separator/>
      </w:r>
    </w:p>
  </w:endnote>
  <w:endnote w:type="continuationSeparator" w:id="0">
    <w:p w:rsidR="006722B0" w:rsidRDefault="0067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F8" w:rsidRDefault="00A6243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1C5C">
      <w:rPr>
        <w:noProof/>
        <w:color w:val="000000"/>
      </w:rPr>
      <w:t>2</w:t>
    </w:r>
    <w:r>
      <w:rPr>
        <w:color w:val="000000"/>
      </w:rPr>
      <w:fldChar w:fldCharType="end"/>
    </w:r>
  </w:p>
  <w:p w:rsidR="00F83BF8" w:rsidRDefault="00F83BF8">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F8" w:rsidRDefault="00A62434">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D7AC9">
      <w:rPr>
        <w:noProof/>
        <w:color w:val="000000"/>
      </w:rPr>
      <w:t>1</w:t>
    </w:r>
    <w:r>
      <w:rPr>
        <w:color w:val="000000"/>
      </w:rPr>
      <w:fldChar w:fldCharType="end"/>
    </w:r>
  </w:p>
  <w:p w:rsidR="00F83BF8" w:rsidRDefault="00A62434">
    <w:pPr>
      <w:tabs>
        <w:tab w:val="center" w:pos="4252"/>
        <w:tab w:val="right" w:pos="8504"/>
      </w:tabs>
      <w:spacing w:after="0" w:line="240" w:lineRule="auto"/>
      <w:jc w:val="center"/>
      <w:rPr>
        <w:rFonts w:ascii="Arial" w:eastAsia="Arial" w:hAnsi="Arial" w:cs="Arial"/>
        <w:b/>
        <w:i/>
        <w:sz w:val="16"/>
        <w:szCs w:val="16"/>
      </w:rPr>
    </w:pPr>
    <w:r>
      <w:rPr>
        <w:rFonts w:ascii="Arial" w:eastAsia="Arial" w:hAnsi="Arial" w:cs="Arial"/>
        <w:b/>
        <w:i/>
        <w:sz w:val="16"/>
        <w:szCs w:val="16"/>
      </w:rPr>
      <w:t>Secretaría del MERCOSUR</w:t>
    </w:r>
  </w:p>
  <w:p w:rsidR="00F83BF8" w:rsidRDefault="00A62434">
    <w:pPr>
      <w:tabs>
        <w:tab w:val="center" w:pos="4252"/>
        <w:tab w:val="right" w:pos="8504"/>
      </w:tabs>
      <w:spacing w:after="0" w:line="240" w:lineRule="auto"/>
      <w:jc w:val="center"/>
      <w:rPr>
        <w:rFonts w:ascii="Arial" w:eastAsia="Arial" w:hAnsi="Arial" w:cs="Arial"/>
        <w:b/>
        <w:sz w:val="16"/>
        <w:szCs w:val="16"/>
      </w:rPr>
    </w:pPr>
    <w:r>
      <w:rPr>
        <w:rFonts w:ascii="Arial" w:eastAsia="Arial" w:hAnsi="Arial" w:cs="Arial"/>
        <w:b/>
        <w:sz w:val="16"/>
        <w:szCs w:val="16"/>
      </w:rPr>
      <w:t xml:space="preserve">        Archivo Oficial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B0" w:rsidRDefault="006722B0">
      <w:pPr>
        <w:spacing w:after="0" w:line="240" w:lineRule="auto"/>
      </w:pPr>
      <w:r>
        <w:separator/>
      </w:r>
    </w:p>
  </w:footnote>
  <w:footnote w:type="continuationSeparator" w:id="0">
    <w:p w:rsidR="006722B0" w:rsidRDefault="0067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F8" w:rsidRDefault="00A62434">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F8" w:rsidRDefault="00A62434">
    <w:pPr>
      <w:pBdr>
        <w:top w:val="nil"/>
        <w:left w:val="nil"/>
        <w:bottom w:val="nil"/>
        <w:right w:val="nil"/>
        <w:between w:val="nil"/>
      </w:pBdr>
      <w:tabs>
        <w:tab w:val="center" w:pos="4252"/>
        <w:tab w:val="right" w:pos="8504"/>
      </w:tabs>
      <w:spacing w:after="0" w:line="240" w:lineRule="auto"/>
      <w:rPr>
        <w:color w:val="000000"/>
      </w:rPr>
    </w:pPr>
    <w:r>
      <w:rPr>
        <w:noProof/>
        <w:lang w:val="es-PY"/>
      </w:rPr>
      <w:drawing>
        <wp:anchor distT="0" distB="0" distL="114300" distR="114300" simplePos="0" relativeHeight="251658240" behindDoc="0" locked="0" layoutInCell="1" hidden="0" allowOverlap="1">
          <wp:simplePos x="0" y="0"/>
          <wp:positionH relativeFrom="margin">
            <wp:posOffset>4545330</wp:posOffset>
          </wp:positionH>
          <wp:positionV relativeFrom="margin">
            <wp:posOffset>-696594</wp:posOffset>
          </wp:positionV>
          <wp:extent cx="1186180" cy="74803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6180" cy="748030"/>
                  </a:xfrm>
                  <a:prstGeom prst="rect">
                    <a:avLst/>
                  </a:prstGeom>
                  <a:ln/>
                </pic:spPr>
              </pic:pic>
            </a:graphicData>
          </a:graphic>
        </wp:anchor>
      </w:drawing>
    </w:r>
    <w:r>
      <w:rPr>
        <w:noProof/>
        <w:color w:val="000000"/>
        <w:lang w:val="es-PY"/>
      </w:rPr>
      <w:drawing>
        <wp:inline distT="0" distB="0" distL="0" distR="0">
          <wp:extent cx="1199515" cy="76009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99515" cy="76009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9AC"/>
    <w:multiLevelType w:val="multilevel"/>
    <w:tmpl w:val="D55EEF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F8"/>
    <w:rsid w:val="00023898"/>
    <w:rsid w:val="00561C5C"/>
    <w:rsid w:val="006722B0"/>
    <w:rsid w:val="00A62434"/>
    <w:rsid w:val="00BD7AC9"/>
    <w:rsid w:val="00E55F1D"/>
    <w:rsid w:val="00EF4A8C"/>
    <w:rsid w:val="00F83BF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E4A2"/>
  <w15:docId w15:val="{1CD049C8-A363-45CF-B38C-B9CF90FB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PY"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dhB1F5GyquZZ1GE+DpWW0Skkg==">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 Luis Alberto Ojeda Adlan 2408203</cp:lastModifiedBy>
  <cp:revision>5</cp:revision>
  <dcterms:created xsi:type="dcterms:W3CDTF">2022-05-10T17:57:00Z</dcterms:created>
  <dcterms:modified xsi:type="dcterms:W3CDTF">2022-05-10T20:53:00Z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