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5937" w14:textId="77777777" w:rsidR="008F13F0" w:rsidRDefault="008F13F0" w:rsidP="008F13F0">
      <w:pPr>
        <w:pStyle w:val="Ttulo1"/>
        <w:numPr>
          <w:ilvl w:val="0"/>
          <w:numId w:val="0"/>
        </w:numPr>
        <w:spacing w:line="300" w:lineRule="exact"/>
        <w:jc w:val="left"/>
        <w:rPr>
          <w:rFonts w:cs="Arial"/>
          <w:color w:val="auto"/>
          <w:szCs w:val="24"/>
          <w:lang w:val="pt-BR"/>
        </w:rPr>
      </w:pPr>
      <w:bookmarkStart w:id="0" w:name="_Hlk73544118"/>
    </w:p>
    <w:p w14:paraId="4E456194" w14:textId="77777777" w:rsidR="008F13F0" w:rsidRDefault="008F13F0" w:rsidP="008F13F0">
      <w:pPr>
        <w:pStyle w:val="Ttulo1"/>
        <w:numPr>
          <w:ilvl w:val="0"/>
          <w:numId w:val="0"/>
        </w:numPr>
        <w:spacing w:line="300" w:lineRule="exact"/>
        <w:jc w:val="left"/>
        <w:rPr>
          <w:rFonts w:cs="Arial"/>
          <w:color w:val="auto"/>
          <w:szCs w:val="24"/>
          <w:lang w:val="pt-BR"/>
        </w:rPr>
      </w:pPr>
    </w:p>
    <w:p w14:paraId="38EBFE3A" w14:textId="77777777" w:rsidR="008F13F0" w:rsidRDefault="008F13F0" w:rsidP="008F13F0">
      <w:pPr>
        <w:pStyle w:val="Ttulo1"/>
        <w:numPr>
          <w:ilvl w:val="0"/>
          <w:numId w:val="0"/>
        </w:numPr>
        <w:spacing w:line="300" w:lineRule="exact"/>
        <w:jc w:val="left"/>
        <w:rPr>
          <w:rFonts w:cs="Arial"/>
          <w:color w:val="auto"/>
          <w:szCs w:val="24"/>
          <w:lang w:val="pt-BR"/>
        </w:rPr>
      </w:pPr>
    </w:p>
    <w:p w14:paraId="12076F8D" w14:textId="424F418D" w:rsidR="008F13F0" w:rsidRDefault="008F13F0" w:rsidP="008F13F0">
      <w:pPr>
        <w:pStyle w:val="Ttulo1"/>
        <w:numPr>
          <w:ilvl w:val="0"/>
          <w:numId w:val="0"/>
        </w:numPr>
        <w:spacing w:line="300" w:lineRule="exact"/>
        <w:jc w:val="left"/>
        <w:rPr>
          <w:rFonts w:cs="Arial"/>
          <w:color w:val="auto"/>
          <w:szCs w:val="24"/>
          <w:lang w:val="pt-BR"/>
        </w:rPr>
      </w:pPr>
    </w:p>
    <w:p w14:paraId="75928314" w14:textId="77777777" w:rsidR="008F13F0" w:rsidRPr="008F13F0" w:rsidRDefault="008F13F0" w:rsidP="008F13F0">
      <w:pPr>
        <w:rPr>
          <w:lang w:val="pt-BR"/>
        </w:rPr>
      </w:pPr>
    </w:p>
    <w:p w14:paraId="0C376343" w14:textId="33476F7B" w:rsidR="00333106" w:rsidRDefault="00333106" w:rsidP="008F13F0">
      <w:pPr>
        <w:pStyle w:val="Ttulo1"/>
        <w:numPr>
          <w:ilvl w:val="0"/>
          <w:numId w:val="0"/>
        </w:numPr>
        <w:spacing w:line="300" w:lineRule="exact"/>
        <w:jc w:val="left"/>
        <w:rPr>
          <w:rFonts w:cs="Arial"/>
          <w:color w:val="auto"/>
          <w:szCs w:val="24"/>
          <w:lang w:val="pt-BR"/>
        </w:rPr>
      </w:pPr>
      <w:r w:rsidRPr="005E78F9">
        <w:rPr>
          <w:rFonts w:cs="Arial"/>
          <w:color w:val="auto"/>
          <w:szCs w:val="24"/>
          <w:lang w:val="pt-BR"/>
        </w:rPr>
        <w:t>MERCOSU</w:t>
      </w:r>
      <w:r w:rsidR="00F91521">
        <w:rPr>
          <w:rFonts w:cs="Arial"/>
          <w:color w:val="auto"/>
          <w:szCs w:val="24"/>
          <w:lang w:val="pt-BR"/>
        </w:rPr>
        <w:t>L</w:t>
      </w:r>
      <w:r w:rsidRPr="005E78F9">
        <w:rPr>
          <w:rFonts w:cs="Arial"/>
          <w:color w:val="auto"/>
          <w:szCs w:val="24"/>
          <w:lang w:val="pt-BR"/>
        </w:rPr>
        <w:t>/CCM/CT N</w:t>
      </w:r>
      <w:r w:rsidRPr="005E78F9">
        <w:rPr>
          <w:rFonts w:cs="Arial"/>
          <w:color w:val="auto"/>
          <w:szCs w:val="24"/>
          <w:vertAlign w:val="superscript"/>
          <w:lang w:val="pt-BR"/>
        </w:rPr>
        <w:t>o</w:t>
      </w:r>
      <w:r w:rsidR="00FA7627" w:rsidRPr="005E78F9">
        <w:rPr>
          <w:rFonts w:cs="Arial"/>
          <w:color w:val="auto"/>
          <w:szCs w:val="24"/>
          <w:vertAlign w:val="superscript"/>
          <w:lang w:val="pt-BR"/>
        </w:rPr>
        <w:t xml:space="preserve"> </w:t>
      </w:r>
      <w:r w:rsidR="00026E46" w:rsidRPr="005E78F9">
        <w:rPr>
          <w:rFonts w:cs="Arial"/>
          <w:color w:val="auto"/>
          <w:szCs w:val="24"/>
          <w:lang w:val="pt-BR"/>
        </w:rPr>
        <w:t>1/</w:t>
      </w:r>
      <w:r w:rsidRPr="005E78F9">
        <w:rPr>
          <w:rFonts w:cs="Arial"/>
          <w:color w:val="auto"/>
          <w:szCs w:val="24"/>
          <w:lang w:val="pt-BR"/>
        </w:rPr>
        <w:t>ATA N</w:t>
      </w:r>
      <w:r w:rsidRPr="005E78F9">
        <w:rPr>
          <w:rFonts w:cs="Arial"/>
          <w:color w:val="auto"/>
          <w:szCs w:val="24"/>
          <w:vertAlign w:val="superscript"/>
          <w:lang w:val="pt-BR"/>
        </w:rPr>
        <w:t>o</w:t>
      </w:r>
      <w:r w:rsidR="00FA7627" w:rsidRPr="005E78F9">
        <w:rPr>
          <w:rFonts w:cs="Arial"/>
          <w:color w:val="auto"/>
          <w:szCs w:val="24"/>
          <w:vertAlign w:val="superscript"/>
          <w:lang w:val="pt-BR"/>
        </w:rPr>
        <w:t xml:space="preserve"> </w:t>
      </w:r>
      <w:r w:rsidR="001E0D83" w:rsidRPr="005E78F9">
        <w:rPr>
          <w:rFonts w:cs="Arial"/>
          <w:color w:val="auto"/>
          <w:szCs w:val="24"/>
          <w:lang w:val="pt-BR"/>
        </w:rPr>
        <w:t>0</w:t>
      </w:r>
      <w:r w:rsidR="008F13F0">
        <w:rPr>
          <w:rFonts w:cs="Arial"/>
          <w:color w:val="auto"/>
          <w:szCs w:val="24"/>
          <w:lang w:val="pt-BR"/>
        </w:rPr>
        <w:t>6</w:t>
      </w:r>
      <w:r w:rsidRPr="005E78F9">
        <w:rPr>
          <w:rFonts w:cs="Arial"/>
          <w:color w:val="auto"/>
          <w:szCs w:val="24"/>
          <w:lang w:val="pt-BR"/>
        </w:rPr>
        <w:t>/21</w:t>
      </w:r>
    </w:p>
    <w:p w14:paraId="568C7E26" w14:textId="7DA06BBA" w:rsidR="006371DB" w:rsidRPr="006371DB" w:rsidRDefault="006371DB" w:rsidP="006371DB">
      <w:pPr>
        <w:rPr>
          <w:b/>
          <w:bCs/>
          <w:i/>
          <w:iCs/>
          <w:lang w:val="pt-BR"/>
        </w:rPr>
      </w:pPr>
      <w:r w:rsidRPr="006371DB">
        <w:rPr>
          <w:b/>
          <w:bCs/>
          <w:i/>
          <w:iCs/>
          <w:lang w:val="pt-BR"/>
        </w:rPr>
        <w:t>“Corr.1”</w:t>
      </w:r>
    </w:p>
    <w:p w14:paraId="071DF034" w14:textId="77777777" w:rsidR="008F13F0" w:rsidRPr="008F13F0" w:rsidRDefault="008F13F0" w:rsidP="008F13F0">
      <w:pPr>
        <w:rPr>
          <w:lang w:val="pt-BR"/>
        </w:rPr>
      </w:pPr>
    </w:p>
    <w:p w14:paraId="43E7CA78" w14:textId="2294BAE2" w:rsidR="00333106" w:rsidRDefault="00333106" w:rsidP="008F13F0">
      <w:pPr>
        <w:pStyle w:val="Ttulo3"/>
        <w:numPr>
          <w:ilvl w:val="0"/>
          <w:numId w:val="0"/>
        </w:numPr>
        <w:spacing w:line="300" w:lineRule="exact"/>
        <w:rPr>
          <w:rFonts w:cs="Arial"/>
          <w:szCs w:val="24"/>
          <w:lang w:val="pt-BR"/>
        </w:rPr>
      </w:pPr>
      <w:r w:rsidRPr="005E78F9">
        <w:rPr>
          <w:rFonts w:cs="Arial"/>
          <w:szCs w:val="24"/>
          <w:lang w:val="pt-BR"/>
        </w:rPr>
        <w:t>CC</w:t>
      </w:r>
      <w:r w:rsidR="00B74B11" w:rsidRPr="005E78F9">
        <w:rPr>
          <w:rFonts w:cs="Arial"/>
          <w:szCs w:val="24"/>
          <w:lang w:val="pt-BR"/>
        </w:rPr>
        <w:t>X</w:t>
      </w:r>
      <w:r w:rsidR="00F27F01">
        <w:rPr>
          <w:rFonts w:cs="Arial"/>
          <w:szCs w:val="24"/>
          <w:lang w:val="pt-BR"/>
        </w:rPr>
        <w:t>I</w:t>
      </w:r>
      <w:r w:rsidR="00B74B11" w:rsidRPr="005E78F9">
        <w:rPr>
          <w:rFonts w:cs="Arial"/>
          <w:szCs w:val="24"/>
          <w:lang w:val="pt-BR"/>
        </w:rPr>
        <w:t xml:space="preserve"> </w:t>
      </w:r>
      <w:r w:rsidR="00A36DAF" w:rsidRPr="005E78F9">
        <w:rPr>
          <w:rFonts w:cs="Arial"/>
          <w:szCs w:val="24"/>
          <w:lang w:val="pt-BR"/>
        </w:rPr>
        <w:t xml:space="preserve">REUNIÃO DO </w:t>
      </w:r>
      <w:r w:rsidRPr="005E78F9">
        <w:rPr>
          <w:rFonts w:cs="Arial"/>
          <w:szCs w:val="24"/>
          <w:lang w:val="pt-BR"/>
        </w:rPr>
        <w:t>COMIT</w:t>
      </w:r>
      <w:r w:rsidR="00A36DAF" w:rsidRPr="005E78F9">
        <w:rPr>
          <w:rFonts w:cs="Arial"/>
          <w:szCs w:val="24"/>
          <w:lang w:val="pt-BR"/>
        </w:rPr>
        <w:t>Ê</w:t>
      </w:r>
      <w:r w:rsidR="005B532A" w:rsidRPr="005E78F9">
        <w:rPr>
          <w:rFonts w:cs="Arial"/>
          <w:szCs w:val="24"/>
          <w:lang w:val="pt-BR"/>
        </w:rPr>
        <w:t xml:space="preserve"> </w:t>
      </w:r>
      <w:r w:rsidRPr="005E78F9">
        <w:rPr>
          <w:rFonts w:cs="Arial"/>
          <w:szCs w:val="24"/>
          <w:lang w:val="pt-BR"/>
        </w:rPr>
        <w:t>TÉCNICO N</w:t>
      </w:r>
      <w:r w:rsidRPr="005E78F9">
        <w:rPr>
          <w:rFonts w:cs="Arial"/>
          <w:szCs w:val="24"/>
          <w:u w:val="single"/>
          <w:vertAlign w:val="superscript"/>
          <w:lang w:val="pt-BR"/>
        </w:rPr>
        <w:t>o</w:t>
      </w:r>
      <w:r w:rsidR="00FA7627" w:rsidRPr="005E78F9">
        <w:rPr>
          <w:rFonts w:cs="Arial"/>
          <w:szCs w:val="24"/>
          <w:vertAlign w:val="superscript"/>
          <w:lang w:val="pt-BR"/>
        </w:rPr>
        <w:t xml:space="preserve"> </w:t>
      </w:r>
      <w:r w:rsidRPr="005E78F9">
        <w:rPr>
          <w:rFonts w:cs="Arial"/>
          <w:szCs w:val="24"/>
          <w:lang w:val="pt-BR"/>
        </w:rPr>
        <w:t>1</w:t>
      </w:r>
    </w:p>
    <w:p w14:paraId="3ED22839" w14:textId="77777777" w:rsidR="008F13F0" w:rsidRPr="008F13F0" w:rsidRDefault="008F13F0" w:rsidP="008F13F0">
      <w:pPr>
        <w:rPr>
          <w:lang w:val="pt-BR"/>
        </w:rPr>
      </w:pPr>
    </w:p>
    <w:p w14:paraId="2E4F4239" w14:textId="1F5DEE6C" w:rsidR="00333106" w:rsidRDefault="00333106" w:rsidP="008F13F0">
      <w:pPr>
        <w:pStyle w:val="Ttulo4"/>
        <w:numPr>
          <w:ilvl w:val="0"/>
          <w:numId w:val="0"/>
        </w:numPr>
        <w:tabs>
          <w:tab w:val="clear" w:pos="8496"/>
          <w:tab w:val="left" w:pos="5040"/>
        </w:tabs>
        <w:spacing w:line="300" w:lineRule="exact"/>
        <w:rPr>
          <w:rFonts w:cs="Arial"/>
          <w:szCs w:val="24"/>
          <w:lang w:val="pt-BR"/>
        </w:rPr>
      </w:pPr>
      <w:r w:rsidRPr="005E78F9">
        <w:rPr>
          <w:rFonts w:cs="Arial"/>
          <w:szCs w:val="24"/>
          <w:lang w:val="pt-BR"/>
        </w:rPr>
        <w:t>“</w:t>
      </w:r>
      <w:r w:rsidR="00CC1630" w:rsidRPr="005E78F9">
        <w:rPr>
          <w:rFonts w:cs="Arial"/>
          <w:szCs w:val="24"/>
          <w:lang w:val="pt-BR"/>
        </w:rPr>
        <w:t>TARIFAS, NOMENCLATURA E CLASSIFICAÇÃO DE MERCADORIAS</w:t>
      </w:r>
      <w:r w:rsidRPr="005E78F9">
        <w:rPr>
          <w:rFonts w:cs="Arial"/>
          <w:szCs w:val="24"/>
          <w:lang w:val="pt-BR"/>
        </w:rPr>
        <w:t>”</w:t>
      </w:r>
    </w:p>
    <w:p w14:paraId="7190654C" w14:textId="77777777" w:rsidR="008F13F0" w:rsidRPr="008F13F0" w:rsidRDefault="008F13F0" w:rsidP="008F13F0">
      <w:pPr>
        <w:rPr>
          <w:lang w:val="pt-BR"/>
        </w:rPr>
      </w:pPr>
    </w:p>
    <w:p w14:paraId="21E52FA5" w14:textId="4B8AFA10" w:rsidR="0087160D" w:rsidRDefault="006F3894" w:rsidP="008F13F0">
      <w:pPr>
        <w:pStyle w:val="Textoindependiente"/>
        <w:tabs>
          <w:tab w:val="left" w:pos="709"/>
        </w:tabs>
        <w:spacing w:line="300" w:lineRule="exact"/>
        <w:rPr>
          <w:rFonts w:cs="Arial"/>
          <w:szCs w:val="24"/>
          <w:lang w:val="pt-BR"/>
        </w:rPr>
      </w:pPr>
      <w:r w:rsidRPr="005E78F9">
        <w:rPr>
          <w:rFonts w:cs="Arial"/>
          <w:szCs w:val="24"/>
          <w:lang w:val="pt-BR"/>
        </w:rPr>
        <w:t>No exercício da Presidência Pro T</w:t>
      </w:r>
      <w:r w:rsidR="00F91521">
        <w:rPr>
          <w:rFonts w:cs="Arial"/>
          <w:szCs w:val="24"/>
          <w:lang w:val="pt-BR"/>
        </w:rPr>
        <w:t>e</w:t>
      </w:r>
      <w:r w:rsidRPr="005E78F9">
        <w:rPr>
          <w:rFonts w:cs="Arial"/>
          <w:szCs w:val="24"/>
          <w:lang w:val="pt-BR"/>
        </w:rPr>
        <w:t>mpore do Brasil (PPTB), foi realizada, entre os dias 2</w:t>
      </w:r>
      <w:r w:rsidR="000E7866">
        <w:rPr>
          <w:rFonts w:cs="Arial"/>
          <w:szCs w:val="24"/>
          <w:lang w:val="pt-BR"/>
        </w:rPr>
        <w:t>8</w:t>
      </w:r>
      <w:r w:rsidRPr="005E78F9">
        <w:rPr>
          <w:rFonts w:cs="Arial"/>
          <w:szCs w:val="24"/>
          <w:lang w:val="pt-BR"/>
        </w:rPr>
        <w:t xml:space="preserve"> </w:t>
      </w:r>
      <w:r w:rsidR="000E7866">
        <w:rPr>
          <w:rFonts w:cs="Arial"/>
          <w:szCs w:val="24"/>
          <w:lang w:val="pt-BR"/>
        </w:rPr>
        <w:t xml:space="preserve">de setembro a 01 de outubro </w:t>
      </w:r>
      <w:r w:rsidRPr="005E78F9">
        <w:rPr>
          <w:rFonts w:cs="Arial"/>
          <w:szCs w:val="24"/>
          <w:lang w:val="pt-BR"/>
        </w:rPr>
        <w:t>de 2021, a CCX</w:t>
      </w:r>
      <w:r w:rsidR="00992766">
        <w:rPr>
          <w:rFonts w:cs="Arial"/>
          <w:szCs w:val="24"/>
          <w:lang w:val="pt-BR"/>
        </w:rPr>
        <w:t>I</w:t>
      </w:r>
      <w:r w:rsidRPr="005E78F9">
        <w:rPr>
          <w:rFonts w:cs="Arial"/>
          <w:szCs w:val="24"/>
          <w:lang w:val="pt-BR"/>
        </w:rPr>
        <w:t xml:space="preserve"> Reunião Ordinária do Comitê Técnico N° 1 “Tarifas, Nomenclatura e Classificação de Mercadorias” (CT N°1), com a participação das delegações da Argentina, do Brasil, Paraguai e Uruguai. A reunião ocorreu por meio de sistema de </w:t>
      </w:r>
      <w:r w:rsidR="0087160D">
        <w:rPr>
          <w:rFonts w:cs="Arial"/>
          <w:szCs w:val="24"/>
          <w:lang w:val="pt-BR"/>
        </w:rPr>
        <w:t xml:space="preserve">vídeo </w:t>
      </w:r>
      <w:r w:rsidRPr="005E78F9">
        <w:rPr>
          <w:rFonts w:cs="Arial"/>
          <w:szCs w:val="24"/>
          <w:lang w:val="pt-BR"/>
        </w:rPr>
        <w:t>confer</w:t>
      </w:r>
      <w:r w:rsidR="0087160D">
        <w:rPr>
          <w:rFonts w:cs="Arial"/>
          <w:szCs w:val="24"/>
          <w:lang w:val="pt-BR"/>
        </w:rPr>
        <w:t>ê</w:t>
      </w:r>
      <w:r w:rsidRPr="005E78F9">
        <w:rPr>
          <w:rFonts w:cs="Arial"/>
          <w:szCs w:val="24"/>
          <w:lang w:val="pt-BR"/>
        </w:rPr>
        <w:t xml:space="preserve">ncia, conforme o disposto na Resolução GMC N° 19/12. </w:t>
      </w:r>
    </w:p>
    <w:p w14:paraId="2DA80F8E" w14:textId="77777777" w:rsidR="008F13F0" w:rsidRPr="00F91521" w:rsidRDefault="008F13F0" w:rsidP="008F13F0">
      <w:pPr>
        <w:pStyle w:val="Textoindependiente"/>
        <w:tabs>
          <w:tab w:val="left" w:pos="709"/>
        </w:tabs>
        <w:spacing w:line="300" w:lineRule="exact"/>
        <w:rPr>
          <w:rFonts w:cs="Arial"/>
          <w:color w:val="FF0000"/>
          <w:szCs w:val="24"/>
          <w:lang w:val="pt-BR"/>
        </w:rPr>
      </w:pPr>
    </w:p>
    <w:p w14:paraId="3C609648" w14:textId="0E9CF282" w:rsidR="00333106" w:rsidRDefault="006F3894" w:rsidP="008F13F0">
      <w:pPr>
        <w:tabs>
          <w:tab w:val="left" w:pos="851"/>
          <w:tab w:val="left" w:pos="5040"/>
        </w:tabs>
        <w:spacing w:line="300" w:lineRule="exact"/>
        <w:jc w:val="both"/>
        <w:rPr>
          <w:rFonts w:cs="Arial"/>
          <w:b/>
          <w:szCs w:val="24"/>
          <w:lang w:val="pt-BR"/>
        </w:rPr>
      </w:pPr>
      <w:r w:rsidRPr="005E78F9">
        <w:rPr>
          <w:rFonts w:cs="Arial"/>
          <w:szCs w:val="24"/>
          <w:lang w:val="pt-BR"/>
        </w:rPr>
        <w:t>A</w:t>
      </w:r>
      <w:r w:rsidR="00333106" w:rsidRPr="005E78F9">
        <w:rPr>
          <w:rFonts w:cs="Arial"/>
          <w:szCs w:val="24"/>
          <w:lang w:val="pt-BR"/>
        </w:rPr>
        <w:t xml:space="preserve"> </w:t>
      </w:r>
      <w:r w:rsidR="00305BB6" w:rsidRPr="005E78F9">
        <w:rPr>
          <w:rFonts w:cs="Arial"/>
          <w:szCs w:val="24"/>
          <w:lang w:val="pt-BR"/>
        </w:rPr>
        <w:t>L</w:t>
      </w:r>
      <w:r w:rsidR="00333106" w:rsidRPr="005E78F9">
        <w:rPr>
          <w:rFonts w:cs="Arial"/>
          <w:szCs w:val="24"/>
          <w:lang w:val="pt-BR"/>
        </w:rPr>
        <w:t xml:space="preserve">ista de </w:t>
      </w:r>
      <w:r w:rsidR="00305BB6" w:rsidRPr="005E78F9">
        <w:rPr>
          <w:rFonts w:cs="Arial"/>
          <w:szCs w:val="24"/>
          <w:lang w:val="pt-BR"/>
        </w:rPr>
        <w:t>P</w:t>
      </w:r>
      <w:r w:rsidR="00333106" w:rsidRPr="005E78F9">
        <w:rPr>
          <w:rFonts w:cs="Arial"/>
          <w:szCs w:val="24"/>
          <w:lang w:val="pt-BR"/>
        </w:rPr>
        <w:t xml:space="preserve">articipantes consta </w:t>
      </w:r>
      <w:r w:rsidRPr="005E78F9">
        <w:rPr>
          <w:rFonts w:cs="Arial"/>
          <w:szCs w:val="24"/>
          <w:lang w:val="pt-BR"/>
        </w:rPr>
        <w:t>no</w:t>
      </w:r>
      <w:r w:rsidR="00333106" w:rsidRPr="005E78F9">
        <w:rPr>
          <w:rFonts w:cs="Arial"/>
          <w:szCs w:val="24"/>
          <w:lang w:val="pt-BR"/>
        </w:rPr>
        <w:t xml:space="preserve"> </w:t>
      </w:r>
      <w:r w:rsidR="002C123D" w:rsidRPr="005E78F9">
        <w:rPr>
          <w:rFonts w:cs="Arial"/>
          <w:b/>
          <w:szCs w:val="24"/>
          <w:lang w:val="pt-BR"/>
        </w:rPr>
        <w:t>ANEXO</w:t>
      </w:r>
      <w:r w:rsidR="00333106" w:rsidRPr="005E78F9">
        <w:rPr>
          <w:rFonts w:cs="Arial"/>
          <w:b/>
          <w:szCs w:val="24"/>
          <w:lang w:val="pt-BR"/>
        </w:rPr>
        <w:t xml:space="preserve"> I.</w:t>
      </w:r>
    </w:p>
    <w:p w14:paraId="22B81F0F" w14:textId="77777777" w:rsidR="008F13F0" w:rsidRPr="005E78F9" w:rsidRDefault="008F13F0" w:rsidP="008F13F0">
      <w:pPr>
        <w:tabs>
          <w:tab w:val="left" w:pos="851"/>
          <w:tab w:val="left" w:pos="5040"/>
        </w:tabs>
        <w:spacing w:line="300" w:lineRule="exact"/>
        <w:jc w:val="both"/>
        <w:rPr>
          <w:rFonts w:cs="Arial"/>
          <w:szCs w:val="24"/>
          <w:lang w:val="pt-BR"/>
        </w:rPr>
      </w:pPr>
    </w:p>
    <w:p w14:paraId="607225F7" w14:textId="63AA0CE4" w:rsidR="00333106" w:rsidRDefault="00150245" w:rsidP="008F13F0">
      <w:pPr>
        <w:tabs>
          <w:tab w:val="left" w:pos="0"/>
          <w:tab w:val="left" w:pos="5040"/>
        </w:tabs>
        <w:spacing w:line="300" w:lineRule="exact"/>
        <w:jc w:val="both"/>
        <w:rPr>
          <w:rFonts w:cs="Arial"/>
          <w:b/>
          <w:szCs w:val="24"/>
          <w:lang w:val="pt-BR"/>
        </w:rPr>
      </w:pPr>
      <w:r w:rsidRPr="005E78F9">
        <w:rPr>
          <w:rFonts w:cs="Arial"/>
          <w:szCs w:val="24"/>
          <w:lang w:val="pt-BR"/>
        </w:rPr>
        <w:t>A</w:t>
      </w:r>
      <w:r w:rsidR="00305BB6" w:rsidRPr="005E78F9">
        <w:rPr>
          <w:rFonts w:cs="Arial"/>
          <w:szCs w:val="24"/>
          <w:lang w:val="pt-BR"/>
        </w:rPr>
        <w:t xml:space="preserve"> A</w:t>
      </w:r>
      <w:r w:rsidR="00333106" w:rsidRPr="005E78F9">
        <w:rPr>
          <w:rFonts w:cs="Arial"/>
          <w:szCs w:val="24"/>
          <w:lang w:val="pt-BR"/>
        </w:rPr>
        <w:t xml:space="preserve">genda </w:t>
      </w:r>
      <w:r w:rsidRPr="005E78F9">
        <w:rPr>
          <w:rFonts w:cs="Arial"/>
          <w:szCs w:val="24"/>
          <w:lang w:val="pt-BR"/>
        </w:rPr>
        <w:t>dos</w:t>
      </w:r>
      <w:r w:rsidR="00333106" w:rsidRPr="005E78F9">
        <w:rPr>
          <w:rFonts w:cs="Arial"/>
          <w:szCs w:val="24"/>
          <w:lang w:val="pt-BR"/>
        </w:rPr>
        <w:t xml:space="preserve"> temas tratados consta </w:t>
      </w:r>
      <w:r w:rsidRPr="005E78F9">
        <w:rPr>
          <w:rFonts w:cs="Arial"/>
          <w:szCs w:val="24"/>
          <w:lang w:val="pt-BR"/>
        </w:rPr>
        <w:t>no</w:t>
      </w:r>
      <w:r w:rsidR="00333106" w:rsidRPr="005E78F9">
        <w:rPr>
          <w:rFonts w:cs="Arial"/>
          <w:szCs w:val="24"/>
          <w:lang w:val="pt-BR"/>
        </w:rPr>
        <w:t xml:space="preserve"> </w:t>
      </w:r>
      <w:r w:rsidR="00412349" w:rsidRPr="005E78F9">
        <w:rPr>
          <w:rFonts w:cs="Arial"/>
          <w:b/>
          <w:szCs w:val="24"/>
          <w:lang w:val="pt-BR"/>
        </w:rPr>
        <w:t>ANEXO</w:t>
      </w:r>
      <w:r w:rsidR="00333106" w:rsidRPr="005E78F9">
        <w:rPr>
          <w:rFonts w:cs="Arial"/>
          <w:b/>
          <w:szCs w:val="24"/>
          <w:lang w:val="pt-BR"/>
        </w:rPr>
        <w:t xml:space="preserve"> II.</w:t>
      </w:r>
    </w:p>
    <w:p w14:paraId="7C6D5AB4" w14:textId="77777777" w:rsidR="008F13F0" w:rsidRPr="005E78F9" w:rsidRDefault="008F13F0" w:rsidP="008F13F0">
      <w:pPr>
        <w:tabs>
          <w:tab w:val="left" w:pos="0"/>
          <w:tab w:val="left" w:pos="5040"/>
        </w:tabs>
        <w:spacing w:line="300" w:lineRule="exact"/>
        <w:jc w:val="both"/>
        <w:rPr>
          <w:rFonts w:cs="Arial"/>
          <w:szCs w:val="24"/>
          <w:lang w:val="pt-BR"/>
        </w:rPr>
      </w:pPr>
    </w:p>
    <w:p w14:paraId="16275E75" w14:textId="33D4FD4A" w:rsidR="00333106" w:rsidRDefault="0026032E" w:rsidP="008F13F0">
      <w:pPr>
        <w:tabs>
          <w:tab w:val="left" w:pos="0"/>
          <w:tab w:val="left" w:pos="5040"/>
        </w:tabs>
        <w:spacing w:line="300" w:lineRule="exact"/>
        <w:jc w:val="both"/>
        <w:rPr>
          <w:rFonts w:cs="Arial"/>
          <w:b/>
          <w:szCs w:val="24"/>
          <w:lang w:val="pt-BR"/>
        </w:rPr>
      </w:pPr>
      <w:r w:rsidRPr="005E78F9">
        <w:rPr>
          <w:rFonts w:cs="Arial"/>
          <w:szCs w:val="24"/>
          <w:lang w:val="pt-BR"/>
        </w:rPr>
        <w:t>O Resumo</w:t>
      </w:r>
      <w:r w:rsidR="00333106" w:rsidRPr="005E78F9">
        <w:rPr>
          <w:rFonts w:cs="Arial"/>
          <w:szCs w:val="24"/>
          <w:lang w:val="pt-BR"/>
        </w:rPr>
        <w:t xml:space="preserve"> </w:t>
      </w:r>
      <w:r w:rsidRPr="005E78F9">
        <w:rPr>
          <w:rFonts w:cs="Arial"/>
          <w:szCs w:val="24"/>
          <w:lang w:val="pt-BR"/>
        </w:rPr>
        <w:t>da</w:t>
      </w:r>
      <w:r w:rsidR="00333106" w:rsidRPr="005E78F9">
        <w:rPr>
          <w:rFonts w:cs="Arial"/>
          <w:szCs w:val="24"/>
          <w:lang w:val="pt-BR"/>
        </w:rPr>
        <w:t xml:space="preserve"> Ata consta </w:t>
      </w:r>
      <w:r w:rsidRPr="005E78F9">
        <w:rPr>
          <w:rFonts w:cs="Arial"/>
          <w:szCs w:val="24"/>
          <w:lang w:val="pt-BR"/>
        </w:rPr>
        <w:t>no</w:t>
      </w:r>
      <w:r w:rsidR="00333106" w:rsidRPr="005E78F9">
        <w:rPr>
          <w:rFonts w:cs="Arial"/>
          <w:szCs w:val="24"/>
          <w:lang w:val="pt-BR"/>
        </w:rPr>
        <w:t xml:space="preserve"> </w:t>
      </w:r>
      <w:r w:rsidR="002C123D" w:rsidRPr="005E78F9">
        <w:rPr>
          <w:rFonts w:cs="Arial"/>
          <w:b/>
          <w:szCs w:val="24"/>
          <w:lang w:val="pt-BR"/>
        </w:rPr>
        <w:t>ANEXO</w:t>
      </w:r>
      <w:r w:rsidR="00333106" w:rsidRPr="005E78F9">
        <w:rPr>
          <w:rFonts w:cs="Arial"/>
          <w:b/>
          <w:szCs w:val="24"/>
          <w:lang w:val="pt-BR"/>
        </w:rPr>
        <w:t xml:space="preserve"> III.</w:t>
      </w:r>
    </w:p>
    <w:p w14:paraId="79126D60" w14:textId="77777777" w:rsidR="008F13F0" w:rsidRPr="005E78F9" w:rsidRDefault="008F13F0" w:rsidP="008F13F0">
      <w:pPr>
        <w:tabs>
          <w:tab w:val="left" w:pos="0"/>
          <w:tab w:val="left" w:pos="5040"/>
        </w:tabs>
        <w:spacing w:line="300" w:lineRule="exact"/>
        <w:jc w:val="both"/>
        <w:rPr>
          <w:rFonts w:cs="Arial"/>
          <w:b/>
          <w:szCs w:val="24"/>
          <w:lang w:val="pt-BR"/>
        </w:rPr>
      </w:pPr>
    </w:p>
    <w:p w14:paraId="7F5F6D4A" w14:textId="3659FCA1" w:rsidR="00333106" w:rsidRPr="005E78F9" w:rsidRDefault="0026032E" w:rsidP="008F13F0">
      <w:pPr>
        <w:tabs>
          <w:tab w:val="left" w:pos="0"/>
          <w:tab w:val="left" w:pos="5040"/>
        </w:tabs>
        <w:spacing w:line="300" w:lineRule="exact"/>
        <w:jc w:val="both"/>
        <w:rPr>
          <w:rFonts w:cs="Arial"/>
          <w:szCs w:val="24"/>
          <w:lang w:val="pt-BR"/>
        </w:rPr>
      </w:pPr>
      <w:r w:rsidRPr="005E78F9">
        <w:rPr>
          <w:rFonts w:cs="Arial"/>
          <w:szCs w:val="24"/>
          <w:lang w:val="pt-BR"/>
        </w:rPr>
        <w:t>Os</w:t>
      </w:r>
      <w:r w:rsidR="00333106" w:rsidRPr="005E78F9">
        <w:rPr>
          <w:rFonts w:cs="Arial"/>
          <w:szCs w:val="24"/>
          <w:lang w:val="pt-BR"/>
        </w:rPr>
        <w:t xml:space="preserve"> temas tratados </w:t>
      </w:r>
      <w:r w:rsidRPr="005E78F9">
        <w:rPr>
          <w:rFonts w:cs="Arial"/>
          <w:szCs w:val="24"/>
          <w:lang w:val="pt-BR"/>
        </w:rPr>
        <w:t>na</w:t>
      </w:r>
      <w:r w:rsidR="00333106" w:rsidRPr="005E78F9">
        <w:rPr>
          <w:rFonts w:cs="Arial"/>
          <w:szCs w:val="24"/>
          <w:lang w:val="pt-BR"/>
        </w:rPr>
        <w:t xml:space="preserve"> </w:t>
      </w:r>
      <w:r w:rsidRPr="005E78F9">
        <w:rPr>
          <w:rFonts w:cs="Arial"/>
          <w:szCs w:val="24"/>
          <w:lang w:val="pt-BR"/>
        </w:rPr>
        <w:t>reunião</w:t>
      </w:r>
      <w:r w:rsidR="00333106" w:rsidRPr="005E78F9">
        <w:rPr>
          <w:rFonts w:cs="Arial"/>
          <w:szCs w:val="24"/>
          <w:lang w:val="pt-BR"/>
        </w:rPr>
        <w:t xml:space="preserve"> </w:t>
      </w:r>
      <w:r w:rsidRPr="005E78F9">
        <w:rPr>
          <w:rFonts w:cs="Arial"/>
          <w:szCs w:val="24"/>
          <w:lang w:val="pt-BR"/>
        </w:rPr>
        <w:t>foram os</w:t>
      </w:r>
      <w:r w:rsidR="00333106" w:rsidRPr="005E78F9">
        <w:rPr>
          <w:rFonts w:cs="Arial"/>
          <w:szCs w:val="24"/>
          <w:lang w:val="pt-BR"/>
        </w:rPr>
        <w:t xml:space="preserve"> </w:t>
      </w:r>
      <w:r w:rsidRPr="005E78F9">
        <w:rPr>
          <w:rFonts w:cs="Arial"/>
          <w:szCs w:val="24"/>
          <w:lang w:val="pt-BR"/>
        </w:rPr>
        <w:t>seguintes</w:t>
      </w:r>
      <w:r w:rsidR="00333106" w:rsidRPr="005E78F9">
        <w:rPr>
          <w:rFonts w:cs="Arial"/>
          <w:szCs w:val="24"/>
          <w:lang w:val="pt-BR"/>
        </w:rPr>
        <w:t>:</w:t>
      </w:r>
    </w:p>
    <w:p w14:paraId="31804110" w14:textId="52FAFF00" w:rsidR="007972B5" w:rsidRDefault="007972B5" w:rsidP="007F74DA">
      <w:pPr>
        <w:tabs>
          <w:tab w:val="left" w:pos="851"/>
          <w:tab w:val="left" w:pos="5040"/>
        </w:tabs>
        <w:jc w:val="both"/>
        <w:rPr>
          <w:rFonts w:cs="Arial"/>
          <w:szCs w:val="24"/>
          <w:lang w:val="pt-BR"/>
        </w:rPr>
      </w:pPr>
    </w:p>
    <w:p w14:paraId="0215780C" w14:textId="77777777" w:rsidR="008F13F0" w:rsidRDefault="008F13F0" w:rsidP="007F74DA">
      <w:pPr>
        <w:tabs>
          <w:tab w:val="left" w:pos="851"/>
          <w:tab w:val="left" w:pos="5040"/>
        </w:tabs>
        <w:jc w:val="both"/>
        <w:rPr>
          <w:rFonts w:cs="Arial"/>
          <w:szCs w:val="24"/>
          <w:lang w:val="pt-BR"/>
        </w:rPr>
      </w:pPr>
    </w:p>
    <w:p w14:paraId="5714C21C" w14:textId="1494C811" w:rsidR="007F74DA" w:rsidRDefault="007F74DA" w:rsidP="007F74DA">
      <w:pPr>
        <w:jc w:val="both"/>
        <w:rPr>
          <w:rFonts w:cs="Arial"/>
          <w:b/>
          <w:szCs w:val="24"/>
          <w:lang w:val="pt-BR"/>
        </w:rPr>
      </w:pPr>
      <w:r>
        <w:rPr>
          <w:rFonts w:cs="Arial"/>
          <w:b/>
          <w:szCs w:val="24"/>
          <w:lang w:val="pt-BR"/>
        </w:rPr>
        <w:t xml:space="preserve">1. </w:t>
      </w:r>
      <w:r w:rsidRPr="007F74DA">
        <w:rPr>
          <w:rFonts w:cs="Arial"/>
          <w:b/>
          <w:szCs w:val="24"/>
          <w:lang w:val="pt-BR"/>
        </w:rPr>
        <w:t>APROVAÇÃO DA AGENDA</w:t>
      </w:r>
    </w:p>
    <w:p w14:paraId="2ACBE3E8" w14:textId="6AF309CE" w:rsidR="007F74DA" w:rsidRDefault="007F74DA" w:rsidP="007F74DA">
      <w:pPr>
        <w:jc w:val="both"/>
        <w:rPr>
          <w:rFonts w:cs="Arial"/>
          <w:b/>
          <w:szCs w:val="24"/>
          <w:lang w:val="pt-BR"/>
        </w:rPr>
      </w:pPr>
    </w:p>
    <w:p w14:paraId="16911664" w14:textId="2CC8C22B" w:rsidR="007F74DA" w:rsidRDefault="007F74DA" w:rsidP="007F74DA">
      <w:pPr>
        <w:tabs>
          <w:tab w:val="left" w:pos="851"/>
          <w:tab w:val="left" w:pos="5040"/>
        </w:tabs>
        <w:jc w:val="both"/>
        <w:rPr>
          <w:rFonts w:cs="Arial"/>
          <w:szCs w:val="24"/>
          <w:lang w:val="pt-BR"/>
        </w:rPr>
      </w:pPr>
      <w:r>
        <w:rPr>
          <w:rFonts w:cs="Arial"/>
          <w:bCs/>
          <w:szCs w:val="24"/>
          <w:lang w:val="pt-BR"/>
        </w:rPr>
        <w:t xml:space="preserve">A agenda foi aprovada conforme documento que consta do </w:t>
      </w:r>
      <w:r w:rsidRPr="005E78F9">
        <w:rPr>
          <w:rFonts w:cs="Arial"/>
          <w:b/>
          <w:szCs w:val="24"/>
          <w:lang w:val="pt-BR"/>
        </w:rPr>
        <w:t>ANEXO II.</w:t>
      </w:r>
    </w:p>
    <w:p w14:paraId="2CCDA8D7" w14:textId="353D7638" w:rsidR="007F74DA" w:rsidRDefault="007F74DA" w:rsidP="007F74DA">
      <w:pPr>
        <w:tabs>
          <w:tab w:val="left" w:pos="851"/>
          <w:tab w:val="left" w:pos="5040"/>
        </w:tabs>
        <w:jc w:val="both"/>
        <w:rPr>
          <w:rFonts w:cs="Arial"/>
          <w:szCs w:val="24"/>
          <w:lang w:val="pt-BR"/>
        </w:rPr>
      </w:pPr>
    </w:p>
    <w:p w14:paraId="11ED11FF" w14:textId="77777777" w:rsidR="008F13F0" w:rsidRPr="005E78F9" w:rsidRDefault="008F13F0" w:rsidP="007F74DA">
      <w:pPr>
        <w:tabs>
          <w:tab w:val="left" w:pos="851"/>
          <w:tab w:val="left" w:pos="5040"/>
        </w:tabs>
        <w:jc w:val="both"/>
        <w:rPr>
          <w:rFonts w:cs="Arial"/>
          <w:szCs w:val="24"/>
          <w:lang w:val="pt-BR"/>
        </w:rPr>
      </w:pPr>
    </w:p>
    <w:p w14:paraId="0AF0B855" w14:textId="79B1CE82" w:rsidR="00333106" w:rsidRDefault="007F74DA" w:rsidP="73884E24">
      <w:pPr>
        <w:pStyle w:val="Textoindependiente"/>
        <w:tabs>
          <w:tab w:val="left" w:pos="284"/>
        </w:tabs>
        <w:spacing w:before="120" w:after="240" w:line="259" w:lineRule="auto"/>
        <w:rPr>
          <w:rFonts w:cs="Arial"/>
          <w:b/>
          <w:bCs/>
          <w:color w:val="auto"/>
          <w:szCs w:val="24"/>
          <w:lang w:val="pt-BR"/>
        </w:rPr>
      </w:pPr>
      <w:r>
        <w:rPr>
          <w:rFonts w:cs="Arial"/>
          <w:b/>
          <w:bCs/>
          <w:color w:val="auto"/>
          <w:szCs w:val="24"/>
          <w:lang w:val="pt-BR"/>
        </w:rPr>
        <w:t xml:space="preserve">2. </w:t>
      </w:r>
      <w:r w:rsidR="00FB6155" w:rsidRPr="005E78F9">
        <w:rPr>
          <w:rFonts w:cs="Arial"/>
          <w:b/>
          <w:bCs/>
          <w:color w:val="auto"/>
          <w:szCs w:val="24"/>
          <w:lang w:val="pt-BR"/>
        </w:rPr>
        <w:t xml:space="preserve">INSTRUÇÕES DA COMISSÃO DE COMÉRCIO DO MERCOSUL </w:t>
      </w:r>
    </w:p>
    <w:p w14:paraId="2D6EC652" w14:textId="5277FD1A" w:rsidR="000E7866" w:rsidRPr="00A671A6" w:rsidRDefault="000E7866" w:rsidP="000E7866">
      <w:pPr>
        <w:spacing w:line="259" w:lineRule="auto"/>
        <w:jc w:val="both"/>
        <w:rPr>
          <w:rFonts w:cs="Arial"/>
          <w:lang w:val="pt-BR"/>
        </w:rPr>
      </w:pPr>
    </w:p>
    <w:p w14:paraId="0DBB038C" w14:textId="4E3ACA4B" w:rsidR="000E7866" w:rsidRDefault="00B35CE2" w:rsidP="00B35CE2">
      <w:pPr>
        <w:spacing w:after="5" w:line="249" w:lineRule="auto"/>
        <w:jc w:val="both"/>
        <w:rPr>
          <w:rFonts w:cs="Arial"/>
          <w:b/>
          <w:bCs/>
          <w:lang w:val="pt-BR"/>
        </w:rPr>
      </w:pPr>
      <w:r w:rsidRPr="00B35CE2">
        <w:rPr>
          <w:rFonts w:cs="Arial"/>
          <w:b/>
          <w:bCs/>
          <w:i/>
          <w:iCs/>
          <w:szCs w:val="24"/>
          <w:lang w:val="pt-BR"/>
        </w:rPr>
        <w:t>2.1.</w:t>
      </w:r>
      <w:r>
        <w:rPr>
          <w:rFonts w:cs="Arial"/>
          <w:b/>
          <w:bCs/>
          <w:i/>
          <w:iCs/>
          <w:sz w:val="20"/>
          <w:lang w:val="pt-BR"/>
        </w:rPr>
        <w:t xml:space="preserve"> </w:t>
      </w:r>
      <w:r w:rsidR="000E7866" w:rsidRPr="009D4A96">
        <w:rPr>
          <w:rFonts w:cs="Arial"/>
          <w:b/>
          <w:bCs/>
          <w:lang w:val="pt-BR"/>
        </w:rPr>
        <w:t>Elaboração de propostas sobre revisão parcial da TEC (setor químico) para produtos formulados (Ata CCM 06/19)</w:t>
      </w:r>
    </w:p>
    <w:p w14:paraId="406F768A" w14:textId="6D05C91B" w:rsidR="009D4A96" w:rsidRDefault="009D4A96" w:rsidP="00B35CE2">
      <w:pPr>
        <w:spacing w:after="5" w:line="249" w:lineRule="auto"/>
        <w:jc w:val="both"/>
        <w:rPr>
          <w:rFonts w:cs="Arial"/>
          <w:b/>
          <w:bCs/>
          <w:lang w:val="pt-BR"/>
        </w:rPr>
      </w:pPr>
    </w:p>
    <w:p w14:paraId="4D8656CE" w14:textId="77777777" w:rsidR="00321A76" w:rsidRPr="00F6669D" w:rsidRDefault="00321A76" w:rsidP="00321A76">
      <w:pPr>
        <w:spacing w:after="5" w:line="249" w:lineRule="auto"/>
        <w:jc w:val="both"/>
        <w:rPr>
          <w:rFonts w:cs="Arial"/>
          <w:i/>
          <w:color w:val="000000" w:themeColor="text1"/>
          <w:szCs w:val="24"/>
          <w:lang w:val="pt-BR"/>
        </w:rPr>
      </w:pPr>
      <w:r w:rsidRPr="00F6669D">
        <w:rPr>
          <w:rFonts w:cs="Arial"/>
          <w:i/>
          <w:color w:val="000000" w:themeColor="text1"/>
          <w:szCs w:val="24"/>
          <w:lang w:val="pt-BR"/>
        </w:rPr>
        <w:t xml:space="preserve">Análise das modificações tarifárias para produtos formulados (Ata CCM 06/19). </w:t>
      </w:r>
    </w:p>
    <w:p w14:paraId="12010E18" w14:textId="77777777" w:rsidR="00321A76" w:rsidRDefault="00321A76" w:rsidP="00B35CE2">
      <w:pPr>
        <w:spacing w:after="5" w:line="249" w:lineRule="auto"/>
        <w:jc w:val="both"/>
        <w:rPr>
          <w:rFonts w:cs="Arial"/>
          <w:b/>
          <w:bCs/>
          <w:lang w:val="pt-BR"/>
        </w:rPr>
      </w:pPr>
    </w:p>
    <w:p w14:paraId="59CFCCDD" w14:textId="6907A4C9" w:rsidR="009D4A96" w:rsidRDefault="009D4A96" w:rsidP="00B35CE2">
      <w:pPr>
        <w:spacing w:after="5" w:line="249" w:lineRule="auto"/>
        <w:jc w:val="both"/>
        <w:rPr>
          <w:rFonts w:cs="Arial"/>
          <w:lang w:val="pt-BR"/>
        </w:rPr>
      </w:pPr>
      <w:r>
        <w:rPr>
          <w:rFonts w:cs="Arial"/>
          <w:lang w:val="pt-BR"/>
        </w:rPr>
        <w:t xml:space="preserve">Os Estados Partes continuaram a discussão sobre o tema, com vistas a buscar encerrar o seu tratamento na próxima reunião do CT-1. </w:t>
      </w:r>
    </w:p>
    <w:p w14:paraId="6549B3BF" w14:textId="57818279" w:rsidR="009D4A96" w:rsidRDefault="009D4A96" w:rsidP="00B35CE2">
      <w:pPr>
        <w:spacing w:after="5" w:line="249" w:lineRule="auto"/>
        <w:jc w:val="both"/>
        <w:rPr>
          <w:rFonts w:cs="Arial"/>
          <w:lang w:val="pt-BR"/>
        </w:rPr>
      </w:pPr>
    </w:p>
    <w:p w14:paraId="2C1EFB05" w14:textId="53A72A99" w:rsidR="00F4011D" w:rsidRDefault="009D4A96" w:rsidP="00B35CE2">
      <w:pPr>
        <w:spacing w:after="5" w:line="249" w:lineRule="auto"/>
        <w:jc w:val="both"/>
        <w:rPr>
          <w:rFonts w:cs="Arial"/>
          <w:lang w:val="pt-BR"/>
        </w:rPr>
      </w:pPr>
      <w:r>
        <w:rPr>
          <w:rFonts w:cs="Arial"/>
          <w:lang w:val="pt-BR"/>
        </w:rPr>
        <w:t>Paralelamente, as delegações se comprometeram a realizar consultas internas</w:t>
      </w:r>
      <w:r w:rsidR="00F4011D">
        <w:rPr>
          <w:rFonts w:cs="Arial"/>
          <w:lang w:val="pt-BR"/>
        </w:rPr>
        <w:t xml:space="preserve">, até a mencionada ocasião, </w:t>
      </w:r>
      <w:r>
        <w:rPr>
          <w:rFonts w:cs="Arial"/>
          <w:lang w:val="pt-BR"/>
        </w:rPr>
        <w:t xml:space="preserve">sobre a proposta brasileira </w:t>
      </w:r>
      <w:r w:rsidRPr="00F4011D">
        <w:rPr>
          <w:rFonts w:cs="Arial"/>
          <w:lang w:val="pt-BR"/>
        </w:rPr>
        <w:t xml:space="preserve">de redução tarifária </w:t>
      </w:r>
      <w:r w:rsidRPr="00F4011D">
        <w:rPr>
          <w:rFonts w:cs="Arial"/>
          <w:lang w:val="pt-BR"/>
        </w:rPr>
        <w:lastRenderedPageBreak/>
        <w:t>complementar para</w:t>
      </w:r>
      <w:r w:rsidR="00F4011D" w:rsidRPr="00F4011D">
        <w:rPr>
          <w:rFonts w:cs="Arial"/>
          <w:lang w:val="pt-BR"/>
        </w:rPr>
        <w:t xml:space="preserve"> 4 códigos</w:t>
      </w:r>
      <w:r w:rsidRPr="00F4011D">
        <w:rPr>
          <w:rFonts w:cs="Arial"/>
          <w:lang w:val="pt-BR"/>
        </w:rPr>
        <w:t xml:space="preserve"> </w:t>
      </w:r>
      <w:r w:rsidR="00F4011D" w:rsidRPr="00F4011D">
        <w:rPr>
          <w:rFonts w:cs="Arial"/>
          <w:lang w:val="pt-BR"/>
        </w:rPr>
        <w:t>de</w:t>
      </w:r>
      <w:r w:rsidRPr="00F4011D">
        <w:rPr>
          <w:rFonts w:cs="Arial"/>
          <w:lang w:val="pt-BR"/>
        </w:rPr>
        <w:t xml:space="preserve"> princípios</w:t>
      </w:r>
      <w:r w:rsidR="00F4011D">
        <w:rPr>
          <w:rFonts w:cs="Arial"/>
          <w:color w:val="FF0000"/>
          <w:szCs w:val="24"/>
          <w:lang w:val="pt-BR"/>
        </w:rPr>
        <w:t xml:space="preserve"> </w:t>
      </w:r>
      <w:r w:rsidR="00F4011D">
        <w:rPr>
          <w:rFonts w:cs="Arial"/>
          <w:color w:val="000000" w:themeColor="text1"/>
          <w:szCs w:val="24"/>
          <w:lang w:val="pt-BR"/>
        </w:rPr>
        <w:t xml:space="preserve">ativos sem produção regional registrada no </w:t>
      </w:r>
      <w:r w:rsidR="00F4011D" w:rsidRPr="006D5F8B">
        <w:rPr>
          <w:rFonts w:cs="Arial"/>
          <w:b/>
          <w:bCs/>
          <w:lang w:val="pt-BR"/>
        </w:rPr>
        <w:t xml:space="preserve">Anexo XV – RESERVADO </w:t>
      </w:r>
      <w:r w:rsidR="00F4011D" w:rsidRPr="00F4011D">
        <w:rPr>
          <w:rFonts w:cs="Arial"/>
          <w:lang w:val="pt-BR"/>
        </w:rPr>
        <w:t>da Ata 04</w:t>
      </w:r>
      <w:r w:rsidR="00F4011D">
        <w:rPr>
          <w:rFonts w:cs="Arial"/>
          <w:lang w:val="pt-BR"/>
        </w:rPr>
        <w:t>/</w:t>
      </w:r>
      <w:r w:rsidR="00F4011D" w:rsidRPr="00F4011D">
        <w:rPr>
          <w:rFonts w:cs="Arial"/>
          <w:lang w:val="pt-BR"/>
        </w:rPr>
        <w:t>21, uma vez que é recomendável manter a coerência tarifária entre os medicamentos formulados e</w:t>
      </w:r>
      <w:r w:rsidR="00F4011D">
        <w:rPr>
          <w:rFonts w:cs="Arial"/>
          <w:lang w:val="pt-BR"/>
        </w:rPr>
        <w:t xml:space="preserve"> seus</w:t>
      </w:r>
      <w:r w:rsidR="00F4011D" w:rsidRPr="00F4011D">
        <w:rPr>
          <w:rFonts w:cs="Arial"/>
          <w:lang w:val="pt-BR"/>
        </w:rPr>
        <w:t xml:space="preserve"> princípios ativos</w:t>
      </w:r>
      <w:r w:rsidR="00F4011D">
        <w:rPr>
          <w:rFonts w:cs="Arial"/>
          <w:lang w:val="pt-BR"/>
        </w:rPr>
        <w:t>.</w:t>
      </w:r>
    </w:p>
    <w:p w14:paraId="4F19FFD4" w14:textId="33785676" w:rsidR="008C3296" w:rsidRDefault="008C3296" w:rsidP="00B35CE2">
      <w:pPr>
        <w:spacing w:after="5" w:line="249" w:lineRule="auto"/>
        <w:jc w:val="both"/>
        <w:rPr>
          <w:rFonts w:cs="Arial"/>
          <w:lang w:val="pt-BR"/>
        </w:rPr>
      </w:pPr>
    </w:p>
    <w:p w14:paraId="2A99BCAB" w14:textId="7E1DBCCF" w:rsidR="008C3296" w:rsidRPr="00F4011D" w:rsidRDefault="008C3296" w:rsidP="00B35CE2">
      <w:pPr>
        <w:spacing w:after="5" w:line="249" w:lineRule="auto"/>
        <w:jc w:val="both"/>
        <w:rPr>
          <w:rFonts w:cs="Arial"/>
          <w:lang w:val="pt-BR"/>
        </w:rPr>
      </w:pPr>
      <w:r>
        <w:rPr>
          <w:rFonts w:cs="Arial"/>
          <w:lang w:val="pt-BR"/>
        </w:rPr>
        <w:t xml:space="preserve">O tema continua em agenda. </w:t>
      </w:r>
    </w:p>
    <w:p w14:paraId="5A83C51C" w14:textId="56CEB208" w:rsidR="000E7866" w:rsidRDefault="000E7866" w:rsidP="000E7866">
      <w:pPr>
        <w:jc w:val="both"/>
        <w:rPr>
          <w:rFonts w:cs="Arial"/>
          <w:color w:val="FF0000"/>
          <w:lang w:val="pt-BR"/>
        </w:rPr>
      </w:pPr>
    </w:p>
    <w:p w14:paraId="5290C402" w14:textId="77777777" w:rsidR="00A73711" w:rsidRPr="005B3AEE" w:rsidRDefault="00A73711" w:rsidP="000E7866">
      <w:pPr>
        <w:jc w:val="both"/>
        <w:rPr>
          <w:rFonts w:cs="Arial"/>
          <w:color w:val="FF0000"/>
          <w:lang w:val="pt-BR"/>
        </w:rPr>
      </w:pPr>
    </w:p>
    <w:p w14:paraId="0C2DA64E" w14:textId="105D5745" w:rsidR="000E7866" w:rsidRPr="005B3AEE" w:rsidRDefault="005B3AEE" w:rsidP="00A3629D">
      <w:pPr>
        <w:spacing w:after="5" w:line="249" w:lineRule="auto"/>
        <w:jc w:val="both"/>
        <w:rPr>
          <w:rFonts w:cs="Arial"/>
          <w:b/>
          <w:lang w:val="pt-BR"/>
        </w:rPr>
      </w:pPr>
      <w:r w:rsidRPr="005B3AEE">
        <w:rPr>
          <w:rFonts w:cs="Arial"/>
          <w:b/>
          <w:lang w:val="pt-BR"/>
        </w:rPr>
        <w:t>3. SOLICITAÇÕES DE MODIFICAÇÃO DA NCM E DA TEC.</w:t>
      </w:r>
    </w:p>
    <w:p w14:paraId="4E51BDBA" w14:textId="77777777" w:rsidR="000E7866" w:rsidRPr="00A671A6" w:rsidRDefault="000E7866" w:rsidP="000E7866">
      <w:pPr>
        <w:spacing w:line="259" w:lineRule="auto"/>
        <w:jc w:val="both"/>
        <w:rPr>
          <w:rFonts w:cs="Arial"/>
          <w:lang w:val="pt-BR"/>
        </w:rPr>
      </w:pPr>
      <w:r w:rsidRPr="00A671A6">
        <w:rPr>
          <w:rFonts w:cs="Arial"/>
          <w:lang w:val="pt-BR"/>
        </w:rPr>
        <w:t xml:space="preserve"> </w:t>
      </w:r>
    </w:p>
    <w:p w14:paraId="30E855AC" w14:textId="56498414" w:rsidR="000E7866" w:rsidRPr="00F4011D" w:rsidRDefault="000E7866" w:rsidP="00B35CE2">
      <w:pPr>
        <w:spacing w:after="5" w:line="249" w:lineRule="auto"/>
        <w:jc w:val="both"/>
        <w:rPr>
          <w:rFonts w:cs="Arial"/>
          <w:b/>
          <w:bCs/>
          <w:lang w:val="pt-BR"/>
        </w:rPr>
      </w:pPr>
      <w:r w:rsidRPr="00F4011D">
        <w:rPr>
          <w:rFonts w:cs="Arial"/>
          <w:b/>
          <w:bCs/>
          <w:lang w:val="pt-BR"/>
        </w:rPr>
        <w:t xml:space="preserve">3.1 Análise dos casos pendentes do Anexo V. </w:t>
      </w:r>
    </w:p>
    <w:p w14:paraId="03D000DB" w14:textId="5D5CD44C" w:rsidR="000E7866" w:rsidRDefault="000E7866" w:rsidP="000E7866">
      <w:pPr>
        <w:spacing w:after="5" w:line="249" w:lineRule="auto"/>
        <w:ind w:left="360"/>
        <w:jc w:val="both"/>
        <w:rPr>
          <w:rFonts w:cs="Arial"/>
          <w:lang w:val="pt-BR"/>
        </w:rPr>
      </w:pPr>
    </w:p>
    <w:p w14:paraId="0FAB3B94" w14:textId="77777777" w:rsidR="000E7866" w:rsidRPr="00F4011D" w:rsidRDefault="000E7866" w:rsidP="000E7866">
      <w:pPr>
        <w:pStyle w:val="Sangradetextonormal"/>
        <w:tabs>
          <w:tab w:val="left" w:pos="993"/>
        </w:tabs>
        <w:spacing w:after="0"/>
        <w:ind w:left="0"/>
        <w:jc w:val="both"/>
        <w:rPr>
          <w:rFonts w:cs="Arial"/>
          <w:color w:val="000000" w:themeColor="text1"/>
          <w:szCs w:val="24"/>
          <w:lang w:val="pt-BR"/>
        </w:rPr>
      </w:pPr>
      <w:r w:rsidRPr="00F4011D">
        <w:rPr>
          <w:rFonts w:cs="Arial"/>
          <w:color w:val="000000" w:themeColor="text1"/>
          <w:szCs w:val="24"/>
          <w:lang w:val="pt-BR"/>
        </w:rPr>
        <w:t>Foram analisados ​​os pedidos pendentes de modificação da NCM e da TEC que constam do ANEXO V.</w:t>
      </w:r>
    </w:p>
    <w:p w14:paraId="5C2B7DCD" w14:textId="77777777" w:rsidR="000E7866" w:rsidRPr="00A671A6" w:rsidRDefault="000E7866" w:rsidP="00F4011D">
      <w:pPr>
        <w:spacing w:after="5" w:line="249" w:lineRule="auto"/>
        <w:jc w:val="both"/>
        <w:rPr>
          <w:rFonts w:cs="Arial"/>
          <w:lang w:val="pt-BR"/>
        </w:rPr>
      </w:pPr>
    </w:p>
    <w:p w14:paraId="405D0411" w14:textId="77777777" w:rsidR="005B3AEE" w:rsidRPr="00262928" w:rsidRDefault="00B35CE2" w:rsidP="005B3AEE">
      <w:pPr>
        <w:pStyle w:val="Sangradetextonormal"/>
        <w:tabs>
          <w:tab w:val="left" w:pos="993"/>
        </w:tabs>
        <w:spacing w:after="0"/>
        <w:ind w:left="0"/>
        <w:jc w:val="both"/>
        <w:rPr>
          <w:rFonts w:cs="Arial"/>
          <w:b/>
          <w:szCs w:val="24"/>
          <w:lang w:val="pt-BR"/>
        </w:rPr>
      </w:pPr>
      <w:r w:rsidRPr="00321A76">
        <w:rPr>
          <w:rFonts w:cs="Arial"/>
          <w:b/>
          <w:bCs/>
          <w:color w:val="000000" w:themeColor="text1"/>
          <w:lang w:val="pt-BR"/>
        </w:rPr>
        <w:t xml:space="preserve">3.2. </w:t>
      </w:r>
      <w:r w:rsidR="005B3AEE" w:rsidRPr="00262928">
        <w:rPr>
          <w:rFonts w:cs="Arial"/>
          <w:b/>
          <w:bCs/>
          <w:szCs w:val="24"/>
          <w:lang w:val="pt-BR"/>
        </w:rPr>
        <w:t>Seguimento dos casos em a</w:t>
      </w:r>
      <w:r w:rsidR="005B3AEE">
        <w:rPr>
          <w:rFonts w:cs="Arial"/>
          <w:b/>
          <w:bCs/>
          <w:szCs w:val="24"/>
          <w:lang w:val="pt-BR"/>
        </w:rPr>
        <w:t>nálise no Anexo V pelos</w:t>
      </w:r>
      <w:r w:rsidR="005B3AEE">
        <w:rPr>
          <w:rFonts w:cs="Arial"/>
          <w:b/>
          <w:szCs w:val="24"/>
          <w:lang w:val="pt-BR"/>
        </w:rPr>
        <w:t xml:space="preserve"> </w:t>
      </w:r>
      <w:r w:rsidR="005B3AEE" w:rsidRPr="00262928">
        <w:rPr>
          <w:rFonts w:cs="Arial"/>
          <w:b/>
          <w:szCs w:val="24"/>
          <w:lang w:val="pt-BR"/>
        </w:rPr>
        <w:t>Técnicos de Nomenclatura</w:t>
      </w:r>
      <w:r w:rsidR="005B3AEE" w:rsidRPr="00262928">
        <w:rPr>
          <w:rFonts w:cs="Arial"/>
          <w:b/>
          <w:bCs/>
          <w:szCs w:val="24"/>
          <w:lang w:val="pt-BR"/>
        </w:rPr>
        <w:t>.</w:t>
      </w:r>
    </w:p>
    <w:p w14:paraId="5C98C205" w14:textId="4B71E8C6" w:rsidR="000E7866" w:rsidRDefault="000E7866" w:rsidP="005B3AEE">
      <w:pPr>
        <w:spacing w:after="5" w:line="249" w:lineRule="auto"/>
        <w:jc w:val="both"/>
        <w:rPr>
          <w:rFonts w:cs="Arial"/>
          <w:lang w:val="pt-BR"/>
        </w:rPr>
      </w:pPr>
    </w:p>
    <w:p w14:paraId="49D7AF33" w14:textId="5FED4FA4" w:rsidR="00B047BC" w:rsidRPr="00B047BC" w:rsidRDefault="00B047BC" w:rsidP="00B047BC">
      <w:pPr>
        <w:jc w:val="both"/>
        <w:rPr>
          <w:rFonts w:cs="Arial"/>
          <w:b/>
          <w:lang w:val="pt-BR"/>
        </w:rPr>
      </w:pPr>
      <w:r w:rsidRPr="00B047BC">
        <w:rPr>
          <w:rFonts w:cs="Arial"/>
          <w:b/>
          <w:lang w:val="pt-BR"/>
        </w:rPr>
        <w:t>3.2.1</w:t>
      </w:r>
      <w:r>
        <w:rPr>
          <w:rFonts w:cs="Arial"/>
          <w:b/>
          <w:lang w:val="pt-BR"/>
        </w:rPr>
        <w:t>.</w:t>
      </w:r>
      <w:r w:rsidRPr="00B047BC">
        <w:rPr>
          <w:rFonts w:cs="Arial"/>
          <w:b/>
          <w:lang w:val="pt-BR"/>
        </w:rPr>
        <w:t xml:space="preserve"> Posição tarifaria 2820.10.00 “Dióxido de manganeso”</w:t>
      </w:r>
      <w:r>
        <w:rPr>
          <w:rFonts w:cs="Arial"/>
          <w:b/>
          <w:lang w:val="pt-BR"/>
        </w:rPr>
        <w:t xml:space="preserve"> (</w:t>
      </w:r>
      <w:r>
        <w:rPr>
          <w:b/>
          <w:bCs/>
          <w:sz w:val="22"/>
          <w:szCs w:val="22"/>
          <w:lang w:val="pt-BR"/>
        </w:rPr>
        <w:t>Nº de ordem 1215)</w:t>
      </w:r>
    </w:p>
    <w:p w14:paraId="53092DCD" w14:textId="77777777" w:rsidR="00B047BC" w:rsidRPr="00B047BC" w:rsidRDefault="00B047BC" w:rsidP="00B047BC">
      <w:pPr>
        <w:jc w:val="both"/>
        <w:rPr>
          <w:rFonts w:cs="Arial"/>
          <w:bCs/>
          <w:lang w:val="pt-BR"/>
        </w:rPr>
      </w:pPr>
    </w:p>
    <w:p w14:paraId="726925E5" w14:textId="77777777" w:rsidR="00B047BC" w:rsidRPr="00B047BC" w:rsidRDefault="00B047BC" w:rsidP="00B047BC">
      <w:pPr>
        <w:jc w:val="both"/>
        <w:rPr>
          <w:rFonts w:cs="Arial"/>
          <w:bCs/>
          <w:szCs w:val="24"/>
          <w:lang w:val="pt-BR"/>
        </w:rPr>
      </w:pPr>
      <w:r w:rsidRPr="00B047BC">
        <w:rPr>
          <w:rFonts w:cs="Arial"/>
          <w:bCs/>
          <w:szCs w:val="24"/>
          <w:lang w:val="pt-BR"/>
        </w:rPr>
        <w:t>Os Técnicos em Nomenclatura analisaram o caso tendo em vista a informação adicional fornecida. A análise continuará na próxima reunião.</w:t>
      </w:r>
    </w:p>
    <w:p w14:paraId="0EA4EBB9" w14:textId="77777777" w:rsidR="00B047BC" w:rsidRPr="00B047BC" w:rsidRDefault="00B047BC" w:rsidP="00B047BC">
      <w:pPr>
        <w:jc w:val="both"/>
        <w:rPr>
          <w:rFonts w:cs="Arial"/>
          <w:bCs/>
          <w:szCs w:val="24"/>
          <w:lang w:val="pt-BR"/>
        </w:rPr>
      </w:pPr>
    </w:p>
    <w:p w14:paraId="37AD0735" w14:textId="3A155868" w:rsidR="00B047BC" w:rsidRPr="00B047BC" w:rsidRDefault="00B047BC" w:rsidP="00B047BC">
      <w:pPr>
        <w:jc w:val="both"/>
        <w:rPr>
          <w:b/>
          <w:bCs/>
          <w:szCs w:val="24"/>
          <w:lang w:val="pt-BR"/>
        </w:rPr>
      </w:pPr>
      <w:r w:rsidRPr="00B047BC">
        <w:rPr>
          <w:rFonts w:cs="Arial"/>
          <w:b/>
          <w:szCs w:val="24"/>
          <w:lang w:val="pt-BR"/>
        </w:rPr>
        <w:t>3.2.2. Posição tarifaria 9002.90.00 “Lentes, prismas, espejos y otros elementos de óptica”. (</w:t>
      </w:r>
      <w:r w:rsidRPr="00B047BC">
        <w:rPr>
          <w:b/>
          <w:bCs/>
          <w:szCs w:val="24"/>
          <w:lang w:val="pt-BR"/>
        </w:rPr>
        <w:t>Nº de ordem 1223)</w:t>
      </w:r>
    </w:p>
    <w:p w14:paraId="67F3D9FE" w14:textId="3455B8F2" w:rsidR="00B047BC" w:rsidRPr="00B047BC" w:rsidRDefault="00B047BC" w:rsidP="00B047BC">
      <w:pPr>
        <w:jc w:val="both"/>
        <w:rPr>
          <w:rFonts w:cs="Arial"/>
          <w:bCs/>
          <w:lang w:val="pt-BR"/>
        </w:rPr>
      </w:pPr>
    </w:p>
    <w:p w14:paraId="10FED18C" w14:textId="748253C5" w:rsidR="00B047BC" w:rsidRDefault="00B047BC" w:rsidP="00B047BC">
      <w:pPr>
        <w:jc w:val="both"/>
        <w:rPr>
          <w:rFonts w:cs="Arial"/>
          <w:bCs/>
          <w:lang w:val="pt-BR"/>
        </w:rPr>
      </w:pPr>
      <w:r w:rsidRPr="00B047BC">
        <w:rPr>
          <w:rFonts w:cs="Arial"/>
          <w:bCs/>
          <w:lang w:val="pt-BR"/>
        </w:rPr>
        <w:t>Os Técnicos em Nomenclatura solicitam que se forneça imagens nítidas do produto</w:t>
      </w:r>
      <w:r w:rsidR="006461C4">
        <w:rPr>
          <w:rFonts w:cs="Arial"/>
          <w:bCs/>
          <w:lang w:val="pt-BR"/>
        </w:rPr>
        <w:t xml:space="preserve"> </w:t>
      </w:r>
      <w:r w:rsidRPr="00B047BC">
        <w:rPr>
          <w:rFonts w:cs="Arial"/>
          <w:bCs/>
          <w:lang w:val="pt-BR"/>
        </w:rPr>
        <w:t>e esquema do seu funcionamento interno.</w:t>
      </w:r>
    </w:p>
    <w:p w14:paraId="7F57EEB3" w14:textId="77777777" w:rsidR="00B047BC" w:rsidRPr="00B047BC" w:rsidRDefault="00B047BC" w:rsidP="00B047BC">
      <w:pPr>
        <w:jc w:val="both"/>
        <w:rPr>
          <w:rFonts w:cs="Arial"/>
          <w:bCs/>
          <w:lang w:val="pt-BR"/>
        </w:rPr>
      </w:pPr>
    </w:p>
    <w:p w14:paraId="1AB9AD65" w14:textId="77777777" w:rsidR="00B047BC" w:rsidRPr="00B047BC" w:rsidRDefault="00B047BC" w:rsidP="00B047BC">
      <w:pPr>
        <w:jc w:val="both"/>
        <w:rPr>
          <w:rFonts w:cs="Arial"/>
          <w:bCs/>
          <w:lang w:val="pt-BR"/>
        </w:rPr>
      </w:pPr>
      <w:r w:rsidRPr="00B047BC">
        <w:rPr>
          <w:rFonts w:cs="Arial"/>
          <w:bCs/>
          <w:lang w:val="pt-BR"/>
        </w:rPr>
        <w:t>Também solicitam que se indiquem detalhadamente os elementos internos que constituem o produto, bem como seus conectores externos.</w:t>
      </w:r>
    </w:p>
    <w:p w14:paraId="3CB1B10C" w14:textId="77777777" w:rsidR="00B047BC" w:rsidRPr="00B047BC" w:rsidRDefault="00B047BC" w:rsidP="00B047BC">
      <w:pPr>
        <w:jc w:val="both"/>
        <w:rPr>
          <w:rFonts w:cs="Arial"/>
          <w:bCs/>
          <w:lang w:val="pt-BR"/>
        </w:rPr>
      </w:pPr>
    </w:p>
    <w:p w14:paraId="07E1F526" w14:textId="76C9ED6E" w:rsidR="00B047BC" w:rsidRPr="00B047BC" w:rsidRDefault="00B047BC" w:rsidP="00B047BC">
      <w:pPr>
        <w:jc w:val="both"/>
        <w:rPr>
          <w:rFonts w:cs="Arial"/>
          <w:b/>
          <w:lang w:val="pt-BR"/>
        </w:rPr>
      </w:pPr>
      <w:r w:rsidRPr="00B047BC">
        <w:rPr>
          <w:rFonts w:cs="Arial"/>
          <w:b/>
          <w:lang w:val="pt-BR"/>
        </w:rPr>
        <w:t xml:space="preserve">3.2.3. Posição tarifaria 9021.10.10 “Artículos ortopédicos para implantes” </w:t>
      </w:r>
      <w:r w:rsidRPr="00B047BC">
        <w:rPr>
          <w:rFonts w:cs="Arial"/>
          <w:b/>
          <w:szCs w:val="24"/>
          <w:lang w:val="pt-BR"/>
        </w:rPr>
        <w:t>(</w:t>
      </w:r>
      <w:r w:rsidRPr="00B047BC">
        <w:rPr>
          <w:b/>
          <w:szCs w:val="24"/>
          <w:lang w:val="pt-BR"/>
        </w:rPr>
        <w:t>Nº de ordem 1224)</w:t>
      </w:r>
    </w:p>
    <w:p w14:paraId="7E96E45E" w14:textId="77777777" w:rsidR="00B047BC" w:rsidRPr="00B047BC" w:rsidRDefault="00B047BC" w:rsidP="00B047BC">
      <w:pPr>
        <w:jc w:val="both"/>
        <w:rPr>
          <w:rFonts w:cs="Arial"/>
          <w:bCs/>
          <w:lang w:val="pt-BR"/>
        </w:rPr>
      </w:pPr>
    </w:p>
    <w:p w14:paraId="028679D7" w14:textId="77777777" w:rsidR="00B047BC" w:rsidRPr="00B047BC" w:rsidRDefault="00B047BC" w:rsidP="00B047BC">
      <w:pPr>
        <w:jc w:val="both"/>
        <w:rPr>
          <w:rFonts w:cs="Arial"/>
          <w:bCs/>
          <w:lang w:val="pt-BR"/>
        </w:rPr>
      </w:pPr>
      <w:r w:rsidRPr="00B047BC">
        <w:rPr>
          <w:rFonts w:cs="Arial"/>
          <w:bCs/>
          <w:lang w:val="pt-BR"/>
        </w:rPr>
        <w:t xml:space="preserve">Os Técnicos em Nomenclatura acordaram os textos em suas versões em espanhol e português, que constam no </w:t>
      </w:r>
      <w:r w:rsidRPr="00B047BC">
        <w:rPr>
          <w:rFonts w:cs="Arial"/>
          <w:b/>
          <w:lang w:val="pt-BR"/>
        </w:rPr>
        <w:t>ANEXO VIII</w:t>
      </w:r>
      <w:r w:rsidRPr="00B047BC">
        <w:rPr>
          <w:rFonts w:cs="Arial"/>
          <w:bCs/>
          <w:lang w:val="pt-BR"/>
        </w:rPr>
        <w:t>.</w:t>
      </w:r>
    </w:p>
    <w:p w14:paraId="305FF8DF" w14:textId="77777777" w:rsidR="00B047BC" w:rsidRPr="00B047BC" w:rsidRDefault="00B047BC" w:rsidP="00B047BC">
      <w:pPr>
        <w:jc w:val="both"/>
        <w:rPr>
          <w:rFonts w:cs="Arial"/>
          <w:bCs/>
          <w:lang w:val="pt-BR"/>
        </w:rPr>
      </w:pPr>
    </w:p>
    <w:p w14:paraId="2AC69BD5" w14:textId="5D490C62" w:rsidR="00B047BC" w:rsidRPr="00B047BC" w:rsidRDefault="00B047BC" w:rsidP="00B047BC">
      <w:pPr>
        <w:jc w:val="both"/>
        <w:rPr>
          <w:rFonts w:cs="Arial"/>
          <w:b/>
          <w:lang w:val="pt-BR"/>
        </w:rPr>
      </w:pPr>
      <w:r w:rsidRPr="00B047BC">
        <w:rPr>
          <w:rFonts w:cs="Arial"/>
          <w:b/>
          <w:lang w:val="pt-BR"/>
        </w:rPr>
        <w:t>3.2.4.</w:t>
      </w:r>
      <w:r>
        <w:rPr>
          <w:rFonts w:cs="Arial"/>
          <w:bCs/>
          <w:lang w:val="pt-BR"/>
        </w:rPr>
        <w:t xml:space="preserve"> </w:t>
      </w:r>
      <w:r w:rsidRPr="00B047BC">
        <w:rPr>
          <w:rFonts w:cs="Arial"/>
          <w:b/>
          <w:lang w:val="pt-BR"/>
        </w:rPr>
        <w:t>Posição tarifaria 1901.90.90 “</w:t>
      </w:r>
      <w:bookmarkStart w:id="1" w:name="_Hlk83732486"/>
      <w:r w:rsidRPr="00B047BC">
        <w:rPr>
          <w:rFonts w:cs="Arial"/>
          <w:b/>
          <w:lang w:val="pt-BR"/>
        </w:rPr>
        <w:t>Los demás (pasta cruda de pán)</w:t>
      </w:r>
      <w:bookmarkEnd w:id="1"/>
      <w:r w:rsidRPr="00B047BC">
        <w:rPr>
          <w:rFonts w:cs="Arial"/>
          <w:b/>
          <w:lang w:val="pt-BR"/>
        </w:rPr>
        <w:t xml:space="preserve">” </w:t>
      </w:r>
      <w:r w:rsidRPr="00B047BC">
        <w:rPr>
          <w:rFonts w:cs="Arial"/>
          <w:b/>
          <w:szCs w:val="24"/>
          <w:lang w:val="pt-BR"/>
        </w:rPr>
        <w:t>(</w:t>
      </w:r>
      <w:r w:rsidRPr="00B047BC">
        <w:rPr>
          <w:b/>
          <w:szCs w:val="24"/>
          <w:lang w:val="pt-BR"/>
        </w:rPr>
        <w:t>Nº de ordem 1227)</w:t>
      </w:r>
    </w:p>
    <w:p w14:paraId="6CDB5701" w14:textId="20550C21" w:rsidR="00B047BC" w:rsidRPr="00B047BC" w:rsidRDefault="00B047BC" w:rsidP="00B047BC">
      <w:pPr>
        <w:jc w:val="both"/>
        <w:rPr>
          <w:rFonts w:cs="Arial"/>
          <w:bCs/>
          <w:lang w:val="pt-BR"/>
        </w:rPr>
      </w:pPr>
    </w:p>
    <w:p w14:paraId="161735B1" w14:textId="3E5BE682" w:rsidR="00B047BC" w:rsidRPr="00B047BC" w:rsidRDefault="00B047BC" w:rsidP="00B047BC">
      <w:pPr>
        <w:jc w:val="both"/>
        <w:rPr>
          <w:rFonts w:cs="Arial"/>
          <w:b/>
          <w:lang w:val="pt-BR"/>
        </w:rPr>
      </w:pPr>
      <w:r w:rsidRPr="00B047BC">
        <w:rPr>
          <w:rFonts w:cs="Arial"/>
          <w:bCs/>
          <w:lang w:val="pt-BR"/>
        </w:rPr>
        <w:t xml:space="preserve">Os Técnicos em Nomenclatura acordaram os textos em suas versões em espanhol e português, que constam no </w:t>
      </w:r>
      <w:r w:rsidRPr="00B047BC">
        <w:rPr>
          <w:rFonts w:cs="Arial"/>
          <w:b/>
          <w:lang w:val="pt-BR"/>
        </w:rPr>
        <w:t>ANEXO VIII</w:t>
      </w:r>
      <w:r w:rsidRPr="00B047BC">
        <w:rPr>
          <w:rFonts w:cs="Arial"/>
          <w:bCs/>
          <w:lang w:val="pt-BR"/>
        </w:rPr>
        <w:t>.</w:t>
      </w:r>
      <w:r>
        <w:rPr>
          <w:rFonts w:cs="Arial"/>
          <w:bCs/>
          <w:lang w:val="pt-BR"/>
        </w:rPr>
        <w:t xml:space="preserve"> </w:t>
      </w:r>
    </w:p>
    <w:p w14:paraId="156DEC0C" w14:textId="77777777" w:rsidR="00B047BC" w:rsidRPr="00B047BC" w:rsidRDefault="00B047BC" w:rsidP="00B047BC">
      <w:pPr>
        <w:jc w:val="both"/>
        <w:rPr>
          <w:rFonts w:cs="Arial"/>
          <w:b/>
          <w:lang w:val="pt-BR"/>
        </w:rPr>
      </w:pPr>
    </w:p>
    <w:p w14:paraId="7DBB65A6" w14:textId="6118CF5E" w:rsidR="00B047BC" w:rsidRPr="00B047BC" w:rsidRDefault="00B047BC" w:rsidP="00B047BC">
      <w:pPr>
        <w:jc w:val="both"/>
        <w:rPr>
          <w:rFonts w:cs="Arial"/>
          <w:b/>
          <w:lang w:val="pt-BR"/>
        </w:rPr>
      </w:pPr>
      <w:r w:rsidRPr="00B047BC">
        <w:rPr>
          <w:rFonts w:cs="Arial"/>
          <w:b/>
          <w:lang w:val="pt-BR"/>
        </w:rPr>
        <w:t xml:space="preserve">3.2.5. Posição tarifaria </w:t>
      </w:r>
      <w:r w:rsidRPr="00B047BC">
        <w:rPr>
          <w:rFonts w:cs="Arial"/>
          <w:b/>
          <w:color w:val="000000"/>
          <w:lang w:val="pt-BR" w:eastAsia="pt-BR"/>
        </w:rPr>
        <w:t xml:space="preserve">3004.90.69 “Los demás (Etravirina e ibrutinibe)” </w:t>
      </w:r>
      <w:r w:rsidRPr="00B047BC">
        <w:rPr>
          <w:rFonts w:cs="Arial"/>
          <w:b/>
          <w:szCs w:val="24"/>
          <w:lang w:val="pt-BR"/>
        </w:rPr>
        <w:t>(</w:t>
      </w:r>
      <w:r w:rsidRPr="00B047BC">
        <w:rPr>
          <w:b/>
          <w:szCs w:val="24"/>
          <w:lang w:val="pt-BR"/>
        </w:rPr>
        <w:t>Nº de ordem 122</w:t>
      </w:r>
      <w:r>
        <w:rPr>
          <w:b/>
          <w:szCs w:val="24"/>
          <w:lang w:val="pt-BR"/>
        </w:rPr>
        <w:t>9</w:t>
      </w:r>
      <w:r w:rsidRPr="00B047BC">
        <w:rPr>
          <w:b/>
          <w:szCs w:val="24"/>
          <w:lang w:val="pt-BR"/>
        </w:rPr>
        <w:t>)</w:t>
      </w:r>
    </w:p>
    <w:p w14:paraId="350533E5" w14:textId="19377AA8" w:rsidR="00B047BC" w:rsidRPr="00B047BC" w:rsidRDefault="00B047BC" w:rsidP="00B047BC">
      <w:pPr>
        <w:jc w:val="both"/>
        <w:rPr>
          <w:rFonts w:cs="Arial"/>
          <w:color w:val="000000"/>
          <w:lang w:val="pt-BR" w:eastAsia="pt-BR"/>
        </w:rPr>
      </w:pPr>
    </w:p>
    <w:p w14:paraId="23A4A020" w14:textId="77777777" w:rsidR="00B047BC" w:rsidRPr="00B047BC" w:rsidRDefault="00B047BC" w:rsidP="00B047BC">
      <w:pPr>
        <w:jc w:val="both"/>
        <w:rPr>
          <w:rFonts w:cs="Arial"/>
          <w:bCs/>
          <w:lang w:val="pt-BR"/>
        </w:rPr>
      </w:pPr>
      <w:r w:rsidRPr="00B047BC">
        <w:rPr>
          <w:rFonts w:cs="Arial"/>
          <w:bCs/>
          <w:lang w:val="pt-BR"/>
        </w:rPr>
        <w:lastRenderedPageBreak/>
        <w:t xml:space="preserve">Os Técnicos em Nomenclatura acordaram os textos em suas versões em espanhol e português, que constam no </w:t>
      </w:r>
      <w:r w:rsidRPr="00B047BC">
        <w:rPr>
          <w:rFonts w:cs="Arial"/>
          <w:b/>
          <w:lang w:val="pt-BR"/>
        </w:rPr>
        <w:t>ANEXO VIII</w:t>
      </w:r>
      <w:r w:rsidRPr="00B047BC">
        <w:rPr>
          <w:rFonts w:cs="Arial"/>
          <w:bCs/>
          <w:lang w:val="pt-BR"/>
        </w:rPr>
        <w:t>.</w:t>
      </w:r>
    </w:p>
    <w:p w14:paraId="71CF6149" w14:textId="77777777" w:rsidR="00B047BC" w:rsidRPr="00B047BC" w:rsidRDefault="00B047BC" w:rsidP="00B047BC">
      <w:pPr>
        <w:jc w:val="both"/>
        <w:rPr>
          <w:rFonts w:cs="Arial"/>
          <w:color w:val="000000"/>
          <w:lang w:val="pt-BR" w:eastAsia="pt-BR"/>
        </w:rPr>
      </w:pPr>
    </w:p>
    <w:p w14:paraId="2B54F4EE" w14:textId="55EF06ED" w:rsidR="00B047BC" w:rsidRPr="00B047BC" w:rsidRDefault="00B047BC" w:rsidP="00B047BC">
      <w:pPr>
        <w:jc w:val="both"/>
        <w:rPr>
          <w:rFonts w:cs="Arial"/>
          <w:b/>
          <w:lang w:val="pt-BR"/>
        </w:rPr>
      </w:pPr>
      <w:r w:rsidRPr="00B047BC">
        <w:rPr>
          <w:rFonts w:cs="Arial"/>
          <w:b/>
          <w:bCs/>
          <w:color w:val="000000"/>
          <w:lang w:val="pt-BR" w:eastAsia="pt-BR"/>
        </w:rPr>
        <w:t xml:space="preserve">3.2.6. </w:t>
      </w:r>
      <w:r w:rsidRPr="00B047BC">
        <w:rPr>
          <w:rFonts w:cs="Arial"/>
          <w:b/>
          <w:bCs/>
          <w:lang w:val="pt-BR"/>
        </w:rPr>
        <w:t xml:space="preserve">Posição tarifaria </w:t>
      </w:r>
      <w:r w:rsidRPr="00B047BC">
        <w:rPr>
          <w:rFonts w:cs="Arial"/>
          <w:b/>
          <w:bCs/>
          <w:color w:val="000000"/>
          <w:lang w:val="pt-BR" w:eastAsia="pt-BR"/>
        </w:rPr>
        <w:t>3004.90.79 “Los demás (Darunavir)”</w:t>
      </w:r>
      <w:r>
        <w:rPr>
          <w:rFonts w:cs="Arial"/>
          <w:color w:val="000000"/>
          <w:lang w:val="pt-BR" w:eastAsia="pt-BR"/>
        </w:rPr>
        <w:t xml:space="preserve"> </w:t>
      </w:r>
      <w:r w:rsidRPr="00B047BC">
        <w:rPr>
          <w:rFonts w:cs="Arial"/>
          <w:b/>
          <w:szCs w:val="24"/>
          <w:lang w:val="pt-BR"/>
        </w:rPr>
        <w:t>(</w:t>
      </w:r>
      <w:r w:rsidRPr="00B047BC">
        <w:rPr>
          <w:b/>
          <w:szCs w:val="24"/>
          <w:lang w:val="pt-BR"/>
        </w:rPr>
        <w:t>Nº de ordem 12</w:t>
      </w:r>
      <w:r>
        <w:rPr>
          <w:b/>
          <w:szCs w:val="24"/>
          <w:lang w:val="pt-BR"/>
        </w:rPr>
        <w:t>30</w:t>
      </w:r>
      <w:r w:rsidRPr="00B047BC">
        <w:rPr>
          <w:b/>
          <w:szCs w:val="24"/>
          <w:lang w:val="pt-BR"/>
        </w:rPr>
        <w:t>)</w:t>
      </w:r>
    </w:p>
    <w:p w14:paraId="3BD41572" w14:textId="7545095A" w:rsidR="00B047BC" w:rsidRPr="00B047BC" w:rsidRDefault="00B047BC" w:rsidP="00B047BC">
      <w:pPr>
        <w:jc w:val="both"/>
        <w:rPr>
          <w:rFonts w:cs="Arial"/>
          <w:color w:val="000000"/>
          <w:lang w:val="pt-BR" w:eastAsia="pt-BR"/>
        </w:rPr>
      </w:pPr>
    </w:p>
    <w:p w14:paraId="52478DDB" w14:textId="77777777" w:rsidR="00B047BC" w:rsidRPr="00B047BC" w:rsidRDefault="00B047BC" w:rsidP="00B047BC">
      <w:pPr>
        <w:jc w:val="both"/>
        <w:rPr>
          <w:rFonts w:cs="Arial"/>
          <w:bCs/>
          <w:lang w:val="pt-BR"/>
        </w:rPr>
      </w:pPr>
      <w:r w:rsidRPr="00B047BC">
        <w:rPr>
          <w:rFonts w:cs="Arial"/>
          <w:bCs/>
          <w:lang w:val="pt-BR"/>
        </w:rPr>
        <w:t xml:space="preserve">Os Técnicos em Nomenclatura acordaram os textos em suas versões em espanhol e português, que constam no </w:t>
      </w:r>
      <w:r w:rsidRPr="00B047BC">
        <w:rPr>
          <w:rFonts w:cs="Arial"/>
          <w:b/>
          <w:lang w:val="pt-BR"/>
        </w:rPr>
        <w:t>ANEXO VIII</w:t>
      </w:r>
      <w:r w:rsidRPr="00B047BC">
        <w:rPr>
          <w:rFonts w:cs="Arial"/>
          <w:bCs/>
          <w:lang w:val="pt-BR"/>
        </w:rPr>
        <w:t>.</w:t>
      </w:r>
    </w:p>
    <w:p w14:paraId="62369068" w14:textId="77777777" w:rsidR="00B047BC" w:rsidRPr="00B047BC" w:rsidRDefault="00B047BC" w:rsidP="00B047BC">
      <w:pPr>
        <w:jc w:val="both"/>
        <w:rPr>
          <w:rFonts w:cs="Arial"/>
          <w:color w:val="000000"/>
          <w:lang w:val="pt-BR" w:eastAsia="pt-BR"/>
        </w:rPr>
      </w:pPr>
    </w:p>
    <w:p w14:paraId="624ECE61" w14:textId="6B51B076" w:rsidR="00B047BC" w:rsidRPr="00AA50FF" w:rsidRDefault="00B047BC" w:rsidP="00B047BC">
      <w:pPr>
        <w:jc w:val="both"/>
        <w:rPr>
          <w:rFonts w:cs="Arial"/>
          <w:color w:val="000000"/>
          <w:lang w:val="pt-BR" w:eastAsia="pt-BR"/>
        </w:rPr>
      </w:pPr>
      <w:r w:rsidRPr="00AA50FF">
        <w:rPr>
          <w:rFonts w:cs="Arial"/>
          <w:b/>
          <w:bCs/>
          <w:color w:val="000000"/>
          <w:lang w:val="pt-BR" w:eastAsia="pt-BR"/>
        </w:rPr>
        <w:t>3.2.7.</w:t>
      </w:r>
      <w:r w:rsidRPr="00AA50FF">
        <w:rPr>
          <w:rFonts w:cs="Arial"/>
          <w:color w:val="000000"/>
          <w:lang w:val="pt-BR" w:eastAsia="pt-BR"/>
        </w:rPr>
        <w:t xml:space="preserve"> </w:t>
      </w:r>
      <w:r w:rsidRPr="00AA50FF">
        <w:rPr>
          <w:rFonts w:cs="Arial"/>
          <w:b/>
          <w:lang w:val="pt-BR"/>
        </w:rPr>
        <w:t xml:space="preserve">Posição tarifaria </w:t>
      </w:r>
      <w:r w:rsidRPr="00AA50FF">
        <w:rPr>
          <w:rFonts w:cs="Arial"/>
          <w:b/>
          <w:color w:val="000000"/>
          <w:lang w:val="pt-BR" w:eastAsia="pt-BR"/>
        </w:rPr>
        <w:t xml:space="preserve">3006.30.19 “Los demás -  Iomeprol (medio de contraste para uso en exámenes de diagnóstico)” </w:t>
      </w:r>
      <w:r w:rsidRPr="00B047BC">
        <w:rPr>
          <w:rFonts w:cs="Arial"/>
          <w:b/>
          <w:szCs w:val="24"/>
          <w:lang w:val="pt-BR"/>
        </w:rPr>
        <w:t>(</w:t>
      </w:r>
      <w:r w:rsidRPr="00B047BC">
        <w:rPr>
          <w:b/>
          <w:szCs w:val="24"/>
          <w:lang w:val="pt-BR"/>
        </w:rPr>
        <w:t>Nº de ordem 12</w:t>
      </w:r>
      <w:r>
        <w:rPr>
          <w:b/>
          <w:szCs w:val="24"/>
          <w:lang w:val="pt-BR"/>
        </w:rPr>
        <w:t>31</w:t>
      </w:r>
      <w:r w:rsidRPr="00B047BC">
        <w:rPr>
          <w:b/>
          <w:szCs w:val="24"/>
          <w:lang w:val="pt-BR"/>
        </w:rPr>
        <w:t>)</w:t>
      </w:r>
    </w:p>
    <w:p w14:paraId="02495FC3" w14:textId="77777777" w:rsidR="00B047BC" w:rsidRPr="00AA50FF" w:rsidRDefault="00B047BC" w:rsidP="00B047BC">
      <w:pPr>
        <w:jc w:val="both"/>
        <w:rPr>
          <w:rFonts w:cs="Arial"/>
          <w:color w:val="000000"/>
          <w:lang w:val="pt-BR" w:eastAsia="pt-BR"/>
        </w:rPr>
      </w:pPr>
    </w:p>
    <w:p w14:paraId="04504EF6" w14:textId="77777777" w:rsidR="00B047BC" w:rsidRPr="00B047BC" w:rsidRDefault="00B047BC" w:rsidP="00B047BC">
      <w:pPr>
        <w:jc w:val="both"/>
        <w:rPr>
          <w:rFonts w:cs="Arial"/>
          <w:bCs/>
          <w:lang w:val="pt-BR"/>
        </w:rPr>
      </w:pPr>
      <w:r w:rsidRPr="00B047BC">
        <w:rPr>
          <w:rFonts w:cs="Arial"/>
          <w:bCs/>
          <w:lang w:val="pt-BR"/>
        </w:rPr>
        <w:t xml:space="preserve">Os Técnicos em Nomenclatura acordaram os textos em suas versões em espanhol e português, que constam no </w:t>
      </w:r>
      <w:r w:rsidRPr="00B047BC">
        <w:rPr>
          <w:rFonts w:cs="Arial"/>
          <w:b/>
          <w:lang w:val="pt-BR"/>
        </w:rPr>
        <w:t>ANEXO VIII</w:t>
      </w:r>
      <w:r w:rsidRPr="00B047BC">
        <w:rPr>
          <w:rFonts w:cs="Arial"/>
          <w:bCs/>
          <w:lang w:val="pt-BR"/>
        </w:rPr>
        <w:t>.</w:t>
      </w:r>
    </w:p>
    <w:p w14:paraId="3531E9A7" w14:textId="77777777" w:rsidR="00B047BC" w:rsidRPr="00B047BC" w:rsidRDefault="00B047BC" w:rsidP="00B047BC">
      <w:pPr>
        <w:jc w:val="both"/>
        <w:rPr>
          <w:rFonts w:cs="Arial"/>
          <w:color w:val="000000"/>
          <w:lang w:val="pt-BR" w:eastAsia="pt-BR"/>
        </w:rPr>
      </w:pPr>
    </w:p>
    <w:p w14:paraId="2CF2943D" w14:textId="0184C585" w:rsidR="00B047BC" w:rsidRPr="00B047BC" w:rsidRDefault="00B047BC" w:rsidP="00B047BC">
      <w:pPr>
        <w:jc w:val="both"/>
        <w:rPr>
          <w:rFonts w:cs="Arial"/>
          <w:b/>
          <w:bCs/>
          <w:color w:val="000000"/>
          <w:lang w:val="pt-BR" w:eastAsia="pt-BR"/>
        </w:rPr>
      </w:pPr>
      <w:r w:rsidRPr="00B047BC">
        <w:rPr>
          <w:rFonts w:cs="Arial"/>
          <w:b/>
          <w:bCs/>
          <w:color w:val="000000"/>
          <w:lang w:val="pt-BR" w:eastAsia="pt-BR"/>
        </w:rPr>
        <w:t xml:space="preserve">3.2.8. Posição tarifaria 3908.10.24 “Poliamida 6 o Poliamida-6.6, sin carga” </w:t>
      </w:r>
      <w:r w:rsidRPr="00B047BC">
        <w:rPr>
          <w:rFonts w:cs="Arial"/>
          <w:b/>
          <w:bCs/>
          <w:szCs w:val="24"/>
          <w:lang w:val="pt-BR"/>
        </w:rPr>
        <w:t>(</w:t>
      </w:r>
      <w:r w:rsidRPr="00B047BC">
        <w:rPr>
          <w:b/>
          <w:bCs/>
          <w:szCs w:val="24"/>
          <w:lang w:val="pt-BR"/>
        </w:rPr>
        <w:t>Nº de ordem 1232)</w:t>
      </w:r>
    </w:p>
    <w:p w14:paraId="070FBEB3" w14:textId="77777777" w:rsidR="00B047BC" w:rsidRPr="00B047BC" w:rsidRDefault="00B047BC" w:rsidP="00B047BC">
      <w:pPr>
        <w:jc w:val="both"/>
        <w:rPr>
          <w:rFonts w:cs="Arial"/>
          <w:color w:val="000000"/>
          <w:lang w:val="pt-BR" w:eastAsia="pt-BR"/>
        </w:rPr>
      </w:pPr>
    </w:p>
    <w:p w14:paraId="08BF9BC7" w14:textId="77777777" w:rsidR="00B047BC" w:rsidRPr="00B047BC" w:rsidRDefault="00B047BC" w:rsidP="00B047BC">
      <w:pPr>
        <w:jc w:val="both"/>
        <w:rPr>
          <w:rFonts w:cs="Arial"/>
          <w:bCs/>
          <w:lang w:val="pt-BR"/>
        </w:rPr>
      </w:pPr>
      <w:r w:rsidRPr="00B047BC">
        <w:rPr>
          <w:rFonts w:cs="Arial"/>
          <w:bCs/>
          <w:lang w:val="pt-BR"/>
        </w:rPr>
        <w:t xml:space="preserve">Os Técnicos em Nomenclatura acordaram os textos em suas versões em espanhol e português, que constam no </w:t>
      </w:r>
      <w:r w:rsidRPr="00B047BC">
        <w:rPr>
          <w:rFonts w:cs="Arial"/>
          <w:b/>
          <w:lang w:val="pt-BR"/>
        </w:rPr>
        <w:t>ANEXO VIII</w:t>
      </w:r>
      <w:r w:rsidRPr="00B047BC">
        <w:rPr>
          <w:rFonts w:cs="Arial"/>
          <w:bCs/>
          <w:lang w:val="pt-BR"/>
        </w:rPr>
        <w:t>.</w:t>
      </w:r>
    </w:p>
    <w:p w14:paraId="4118084D" w14:textId="77777777" w:rsidR="00B047BC" w:rsidRPr="00B047BC" w:rsidRDefault="00B047BC" w:rsidP="00B047BC">
      <w:pPr>
        <w:jc w:val="both"/>
        <w:rPr>
          <w:rFonts w:cs="Arial"/>
          <w:color w:val="000000"/>
          <w:lang w:val="pt-BR" w:eastAsia="pt-BR"/>
        </w:rPr>
      </w:pPr>
    </w:p>
    <w:p w14:paraId="6EC5E2C8" w14:textId="5885DE36" w:rsidR="00D3381C" w:rsidRPr="00B047BC" w:rsidRDefault="00B047BC" w:rsidP="00D3381C">
      <w:pPr>
        <w:jc w:val="both"/>
        <w:rPr>
          <w:rFonts w:cs="Arial"/>
          <w:b/>
          <w:bCs/>
          <w:color w:val="000000"/>
          <w:lang w:val="pt-BR" w:eastAsia="pt-BR"/>
        </w:rPr>
      </w:pPr>
      <w:r w:rsidRPr="00D3381C">
        <w:rPr>
          <w:rFonts w:cs="Arial"/>
          <w:b/>
          <w:bCs/>
          <w:color w:val="000000"/>
          <w:lang w:val="pt-BR" w:eastAsia="pt-BR"/>
        </w:rPr>
        <w:t>3.2.9. Posição tarifaria 3923.90.00 “</w:t>
      </w:r>
      <w:bookmarkStart w:id="2" w:name="_Hlk83913793"/>
      <w:r w:rsidRPr="00D3381C">
        <w:rPr>
          <w:rFonts w:cs="Arial"/>
          <w:b/>
          <w:bCs/>
          <w:color w:val="000000"/>
          <w:lang w:val="pt-BR" w:eastAsia="pt-BR"/>
        </w:rPr>
        <w:t>- Los demás (Palets</w:t>
      </w:r>
      <w:r w:rsidRPr="00D3381C">
        <w:rPr>
          <w:rFonts w:cs="Arial"/>
          <w:color w:val="000000"/>
          <w:lang w:val="pt-BR" w:eastAsia="pt-BR"/>
        </w:rPr>
        <w:t>)</w:t>
      </w:r>
      <w:bookmarkEnd w:id="2"/>
      <w:r w:rsidRPr="00D3381C">
        <w:rPr>
          <w:rFonts w:cs="Arial"/>
          <w:color w:val="000000"/>
          <w:lang w:val="pt-BR" w:eastAsia="pt-BR"/>
        </w:rPr>
        <w:t>”</w:t>
      </w:r>
      <w:r w:rsidR="00D3381C" w:rsidRPr="00D3381C">
        <w:rPr>
          <w:rFonts w:cs="Arial"/>
          <w:color w:val="000000"/>
          <w:lang w:val="pt-BR" w:eastAsia="pt-BR"/>
        </w:rPr>
        <w:t xml:space="preserve"> </w:t>
      </w:r>
      <w:r w:rsidR="00D3381C">
        <w:rPr>
          <w:rFonts w:cs="Arial"/>
          <w:color w:val="000000"/>
          <w:lang w:val="pt-BR" w:eastAsia="pt-BR"/>
        </w:rPr>
        <w:t>(</w:t>
      </w:r>
      <w:r w:rsidR="00D3381C" w:rsidRPr="00B047BC">
        <w:rPr>
          <w:b/>
          <w:bCs/>
          <w:szCs w:val="24"/>
          <w:lang w:val="pt-BR"/>
        </w:rPr>
        <w:t>Nº de ordem 1232)</w:t>
      </w:r>
    </w:p>
    <w:p w14:paraId="52034598" w14:textId="389A0EE3" w:rsidR="00B047BC" w:rsidRPr="00D3381C" w:rsidRDefault="00B047BC" w:rsidP="00B047BC">
      <w:pPr>
        <w:jc w:val="both"/>
        <w:rPr>
          <w:rFonts w:cs="Arial"/>
          <w:color w:val="000000"/>
          <w:lang w:val="pt-BR" w:eastAsia="pt-BR"/>
        </w:rPr>
      </w:pPr>
    </w:p>
    <w:p w14:paraId="6291A6F7" w14:textId="77777777" w:rsidR="00B047BC" w:rsidRPr="00B047BC" w:rsidRDefault="00B047BC" w:rsidP="00B047BC">
      <w:pPr>
        <w:jc w:val="both"/>
        <w:rPr>
          <w:rFonts w:cs="Arial"/>
          <w:bCs/>
          <w:lang w:val="pt-BR"/>
        </w:rPr>
      </w:pPr>
      <w:r w:rsidRPr="00B047BC">
        <w:rPr>
          <w:rFonts w:cs="Arial"/>
          <w:bCs/>
          <w:lang w:val="pt-BR"/>
        </w:rPr>
        <w:t xml:space="preserve">Os Técnicos em Nomenclatura acordaram os textos em suas versões em espanhol e português, que constam no </w:t>
      </w:r>
      <w:r w:rsidRPr="00B047BC">
        <w:rPr>
          <w:rFonts w:cs="Arial"/>
          <w:b/>
          <w:lang w:val="pt-BR"/>
        </w:rPr>
        <w:t>ANEXO VIII</w:t>
      </w:r>
      <w:r w:rsidRPr="00B047BC">
        <w:rPr>
          <w:rFonts w:cs="Arial"/>
          <w:bCs/>
          <w:lang w:val="pt-BR"/>
        </w:rPr>
        <w:t>.</w:t>
      </w:r>
    </w:p>
    <w:p w14:paraId="2E2A35D6" w14:textId="77777777" w:rsidR="00B047BC" w:rsidRPr="00B047BC" w:rsidRDefault="00B047BC" w:rsidP="00B047BC">
      <w:pPr>
        <w:jc w:val="both"/>
        <w:rPr>
          <w:rFonts w:cs="Arial"/>
          <w:color w:val="000000"/>
          <w:lang w:val="pt-BR" w:eastAsia="pt-BR"/>
        </w:rPr>
      </w:pPr>
    </w:p>
    <w:p w14:paraId="4D39A340" w14:textId="328814DB" w:rsidR="00D3381C" w:rsidRPr="00D3381C" w:rsidRDefault="00D3381C" w:rsidP="00D3381C">
      <w:pPr>
        <w:jc w:val="both"/>
        <w:rPr>
          <w:rFonts w:cs="Arial"/>
          <w:b/>
          <w:bCs/>
          <w:color w:val="000000"/>
          <w:lang w:val="pt-BR" w:eastAsia="pt-BR"/>
        </w:rPr>
      </w:pPr>
      <w:r w:rsidRPr="00AA50FF">
        <w:rPr>
          <w:rFonts w:cs="Arial"/>
          <w:b/>
          <w:bCs/>
          <w:color w:val="000000"/>
          <w:lang w:val="pt-BR" w:eastAsia="pt-BR"/>
        </w:rPr>
        <w:t>3.2.10.</w:t>
      </w:r>
      <w:r w:rsidR="00B047BC" w:rsidRPr="00AA50FF">
        <w:rPr>
          <w:rFonts w:cs="Arial"/>
          <w:b/>
          <w:bCs/>
          <w:color w:val="000000"/>
          <w:lang w:val="pt-BR" w:eastAsia="pt-BR"/>
        </w:rPr>
        <w:t xml:space="preserve"> Posição tarifaria 4002.19.19 “Los demás (Caucho sintético SBS para suelas de calzado)”</w:t>
      </w:r>
      <w:r w:rsidRPr="00AA50FF">
        <w:rPr>
          <w:rFonts w:cs="Arial"/>
          <w:b/>
          <w:bCs/>
          <w:color w:val="000000"/>
          <w:lang w:val="pt-BR" w:eastAsia="pt-BR"/>
        </w:rPr>
        <w:t xml:space="preserve"> </w:t>
      </w:r>
      <w:r w:rsidRPr="00D3381C">
        <w:rPr>
          <w:rFonts w:cs="Arial"/>
          <w:b/>
          <w:bCs/>
          <w:color w:val="000000"/>
          <w:lang w:val="pt-BR" w:eastAsia="pt-BR"/>
        </w:rPr>
        <w:t>(</w:t>
      </w:r>
      <w:r w:rsidRPr="00D3381C">
        <w:rPr>
          <w:b/>
          <w:bCs/>
          <w:szCs w:val="24"/>
          <w:lang w:val="pt-BR"/>
        </w:rPr>
        <w:t>Nº de ordem 1235)</w:t>
      </w:r>
    </w:p>
    <w:p w14:paraId="58FFB2EE" w14:textId="77777777" w:rsidR="00D3381C" w:rsidRPr="00AA50FF" w:rsidRDefault="00D3381C" w:rsidP="00B047BC">
      <w:pPr>
        <w:jc w:val="both"/>
        <w:rPr>
          <w:rFonts w:cs="Arial"/>
          <w:color w:val="000000"/>
          <w:lang w:val="pt-BR" w:eastAsia="pt-BR"/>
        </w:rPr>
      </w:pPr>
    </w:p>
    <w:p w14:paraId="144E3356" w14:textId="77777777" w:rsidR="00B047BC" w:rsidRPr="00B047BC" w:rsidRDefault="00B047BC" w:rsidP="00B047BC">
      <w:pPr>
        <w:jc w:val="both"/>
        <w:rPr>
          <w:rFonts w:cs="Arial"/>
          <w:color w:val="000000"/>
          <w:lang w:val="pt-BR" w:eastAsia="pt-BR"/>
        </w:rPr>
      </w:pPr>
      <w:r w:rsidRPr="00B047BC">
        <w:rPr>
          <w:rFonts w:cs="Arial"/>
          <w:color w:val="000000"/>
          <w:lang w:val="pt-BR" w:eastAsia="pt-BR"/>
        </w:rPr>
        <w:t xml:space="preserve">Os Técnicos em Nomenclatura trocaram informações sobre o tema. </w:t>
      </w:r>
      <w:r w:rsidRPr="00B047BC">
        <w:rPr>
          <w:rFonts w:cs="Arial"/>
          <w:bCs/>
          <w:lang w:val="pt-BR"/>
        </w:rPr>
        <w:t>A análise continuará na próxima reunião</w:t>
      </w:r>
      <w:r w:rsidRPr="00B047BC">
        <w:rPr>
          <w:rFonts w:cs="Arial"/>
          <w:color w:val="000000"/>
          <w:lang w:val="pt-BR" w:eastAsia="pt-BR"/>
        </w:rPr>
        <w:t xml:space="preserve">. </w:t>
      </w:r>
    </w:p>
    <w:p w14:paraId="37F4FD32" w14:textId="4CA24499" w:rsidR="00321A76" w:rsidRPr="00B047BC" w:rsidRDefault="00321A76" w:rsidP="00321A76">
      <w:pPr>
        <w:spacing w:after="5" w:line="249" w:lineRule="auto"/>
        <w:jc w:val="both"/>
        <w:rPr>
          <w:rFonts w:cs="Arial"/>
          <w:lang w:val="pt-BR"/>
        </w:rPr>
      </w:pPr>
    </w:p>
    <w:p w14:paraId="7D2A2E68" w14:textId="77777777" w:rsidR="00321A76" w:rsidRDefault="00321A76" w:rsidP="00321A76">
      <w:pPr>
        <w:jc w:val="both"/>
        <w:rPr>
          <w:rFonts w:cs="Arial"/>
          <w:b/>
          <w:szCs w:val="24"/>
          <w:lang w:val="pt-BR"/>
        </w:rPr>
      </w:pPr>
      <w:r>
        <w:rPr>
          <w:rFonts w:cs="Arial"/>
          <w:b/>
          <w:szCs w:val="24"/>
          <w:lang w:val="pt-BR"/>
        </w:rPr>
        <w:t>3</w:t>
      </w:r>
      <w:r w:rsidRPr="00F6669D">
        <w:rPr>
          <w:rFonts w:cs="Arial"/>
          <w:b/>
          <w:szCs w:val="24"/>
          <w:lang w:val="pt-BR"/>
        </w:rPr>
        <w:t>.</w:t>
      </w:r>
      <w:r>
        <w:rPr>
          <w:rFonts w:cs="Arial"/>
          <w:b/>
          <w:szCs w:val="24"/>
          <w:lang w:val="pt-BR"/>
        </w:rPr>
        <w:t xml:space="preserve">3. </w:t>
      </w:r>
      <w:r w:rsidRPr="00F6669D">
        <w:rPr>
          <w:rFonts w:cs="Arial"/>
          <w:b/>
          <w:szCs w:val="24"/>
          <w:lang w:val="pt-BR"/>
        </w:rPr>
        <w:t xml:space="preserve">Aporte de informação adicional aos casos em estudo no Anexo V. </w:t>
      </w:r>
    </w:p>
    <w:p w14:paraId="5643525A" w14:textId="77777777" w:rsidR="00321A76" w:rsidRDefault="00321A76" w:rsidP="00321A76">
      <w:pPr>
        <w:jc w:val="both"/>
        <w:rPr>
          <w:rFonts w:cs="Arial"/>
          <w:b/>
          <w:szCs w:val="24"/>
          <w:lang w:val="pt-BR"/>
        </w:rPr>
      </w:pPr>
    </w:p>
    <w:p w14:paraId="78AEB004" w14:textId="47FE7CA1" w:rsidR="005D5696" w:rsidRDefault="005D5696" w:rsidP="00321A76">
      <w:pPr>
        <w:jc w:val="both"/>
        <w:rPr>
          <w:rFonts w:cs="Arial"/>
          <w:bCs/>
          <w:szCs w:val="24"/>
          <w:lang w:val="pt-BR"/>
        </w:rPr>
      </w:pPr>
      <w:r>
        <w:rPr>
          <w:rFonts w:cs="Arial"/>
          <w:bCs/>
          <w:szCs w:val="24"/>
          <w:lang w:val="pt-BR"/>
        </w:rPr>
        <w:t xml:space="preserve">A delegação da Argentina apresentou informações adicionais sobre os casos </w:t>
      </w:r>
      <w:r w:rsidRPr="00321A76">
        <w:rPr>
          <w:sz w:val="22"/>
          <w:szCs w:val="22"/>
          <w:lang w:val="pt-BR"/>
        </w:rPr>
        <w:t xml:space="preserve">Nº </w:t>
      </w:r>
      <w:r>
        <w:rPr>
          <w:sz w:val="22"/>
          <w:szCs w:val="22"/>
          <w:lang w:val="pt-BR"/>
        </w:rPr>
        <w:t xml:space="preserve">1103, 1106, 1140, 1141 e 1142 que constam </w:t>
      </w:r>
      <w:r>
        <w:rPr>
          <w:rFonts w:cs="Arial"/>
          <w:color w:val="000000" w:themeColor="text1"/>
          <w:szCs w:val="24"/>
          <w:lang w:val="pt-BR"/>
        </w:rPr>
        <w:t xml:space="preserve">do </w:t>
      </w:r>
      <w:r w:rsidRPr="006D5F8B">
        <w:rPr>
          <w:rFonts w:cs="Arial"/>
          <w:b/>
          <w:szCs w:val="24"/>
          <w:lang w:val="pt-BR"/>
        </w:rPr>
        <w:t>Anexo VII – RESERVADO</w:t>
      </w:r>
      <w:r w:rsidRPr="006D5F8B">
        <w:rPr>
          <w:rFonts w:cs="Arial"/>
          <w:bCs/>
          <w:szCs w:val="24"/>
          <w:lang w:val="pt-BR"/>
        </w:rPr>
        <w:t>.</w:t>
      </w:r>
    </w:p>
    <w:p w14:paraId="7DD3591E" w14:textId="77777777" w:rsidR="005D5696" w:rsidRDefault="005D5696" w:rsidP="00321A76">
      <w:pPr>
        <w:jc w:val="both"/>
        <w:rPr>
          <w:rFonts w:cs="Arial"/>
          <w:bCs/>
          <w:szCs w:val="24"/>
          <w:lang w:val="pt-BR"/>
        </w:rPr>
      </w:pPr>
    </w:p>
    <w:p w14:paraId="12BDC540" w14:textId="1F343F24" w:rsidR="006D5F8B" w:rsidRDefault="00321A76" w:rsidP="00321A76">
      <w:pPr>
        <w:jc w:val="both"/>
        <w:rPr>
          <w:rFonts w:cs="Arial"/>
          <w:bCs/>
          <w:szCs w:val="24"/>
          <w:lang w:val="pt-BR"/>
        </w:rPr>
      </w:pPr>
      <w:r>
        <w:rPr>
          <w:rFonts w:cs="Arial"/>
          <w:bCs/>
          <w:szCs w:val="24"/>
          <w:lang w:val="pt-BR"/>
        </w:rPr>
        <w:t>A delegação do Brasil apresentou informações adicionais sobre o</w:t>
      </w:r>
      <w:r w:rsidR="008B559C">
        <w:rPr>
          <w:rFonts w:cs="Arial"/>
          <w:bCs/>
          <w:szCs w:val="24"/>
          <w:lang w:val="pt-BR"/>
        </w:rPr>
        <w:t>s</w:t>
      </w:r>
      <w:r>
        <w:rPr>
          <w:rFonts w:cs="Arial"/>
          <w:bCs/>
          <w:szCs w:val="24"/>
          <w:lang w:val="pt-BR"/>
        </w:rPr>
        <w:t xml:space="preserve"> caso</w:t>
      </w:r>
      <w:r w:rsidR="008B559C">
        <w:rPr>
          <w:rFonts w:cs="Arial"/>
          <w:bCs/>
          <w:szCs w:val="24"/>
          <w:lang w:val="pt-BR"/>
        </w:rPr>
        <w:t>s</w:t>
      </w:r>
      <w:r>
        <w:rPr>
          <w:rFonts w:cs="Arial"/>
          <w:bCs/>
          <w:szCs w:val="24"/>
          <w:lang w:val="pt-BR"/>
        </w:rPr>
        <w:t xml:space="preserve"> </w:t>
      </w:r>
      <w:r w:rsidRPr="00321A76">
        <w:rPr>
          <w:sz w:val="22"/>
          <w:szCs w:val="22"/>
          <w:lang w:val="pt-BR"/>
        </w:rPr>
        <w:t>Nº 1215</w:t>
      </w:r>
      <w:r w:rsidR="008B559C">
        <w:rPr>
          <w:sz w:val="22"/>
          <w:szCs w:val="22"/>
          <w:lang w:val="pt-BR"/>
        </w:rPr>
        <w:t xml:space="preserve"> e 1220</w:t>
      </w:r>
      <w:r>
        <w:rPr>
          <w:sz w:val="22"/>
          <w:szCs w:val="22"/>
          <w:lang w:val="pt-BR"/>
        </w:rPr>
        <w:t xml:space="preserve"> que consta</w:t>
      </w:r>
      <w:r w:rsidR="00B5390D">
        <w:rPr>
          <w:sz w:val="22"/>
          <w:szCs w:val="22"/>
          <w:lang w:val="pt-BR"/>
        </w:rPr>
        <w:t>m</w:t>
      </w:r>
      <w:r>
        <w:rPr>
          <w:sz w:val="22"/>
          <w:szCs w:val="22"/>
          <w:lang w:val="pt-BR"/>
        </w:rPr>
        <w:t xml:space="preserve"> </w:t>
      </w:r>
      <w:r w:rsidR="006D5F8B">
        <w:rPr>
          <w:rFonts w:cs="Arial"/>
          <w:color w:val="000000" w:themeColor="text1"/>
          <w:szCs w:val="24"/>
          <w:lang w:val="pt-BR"/>
        </w:rPr>
        <w:t xml:space="preserve">do </w:t>
      </w:r>
      <w:r w:rsidR="006D5F8B" w:rsidRPr="006D5F8B">
        <w:rPr>
          <w:rFonts w:cs="Arial"/>
          <w:b/>
          <w:szCs w:val="24"/>
          <w:lang w:val="pt-BR"/>
        </w:rPr>
        <w:t>Anexo VII – RESERVADO</w:t>
      </w:r>
      <w:r w:rsidR="006D5F8B" w:rsidRPr="006D5F8B">
        <w:rPr>
          <w:rFonts w:cs="Arial"/>
          <w:bCs/>
          <w:szCs w:val="24"/>
          <w:lang w:val="pt-BR"/>
        </w:rPr>
        <w:t>.</w:t>
      </w:r>
    </w:p>
    <w:p w14:paraId="2F76ED2F" w14:textId="77777777" w:rsidR="000E7866" w:rsidRPr="00A671A6" w:rsidRDefault="000E7866" w:rsidP="000E7866">
      <w:pPr>
        <w:spacing w:after="5" w:line="249" w:lineRule="auto"/>
        <w:jc w:val="both"/>
        <w:rPr>
          <w:rFonts w:cs="Arial"/>
          <w:lang w:val="pt-BR"/>
        </w:rPr>
      </w:pPr>
    </w:p>
    <w:p w14:paraId="0075E0B2" w14:textId="0111D9C3" w:rsidR="000E7866" w:rsidRPr="006D5F8B" w:rsidRDefault="00B35CE2" w:rsidP="000E7866">
      <w:pPr>
        <w:spacing w:after="5" w:line="249" w:lineRule="auto"/>
        <w:jc w:val="both"/>
        <w:rPr>
          <w:rFonts w:cs="Arial"/>
          <w:b/>
          <w:bCs/>
          <w:lang w:val="pt-BR"/>
        </w:rPr>
      </w:pPr>
      <w:r w:rsidRPr="006D5F8B">
        <w:rPr>
          <w:rFonts w:cs="Arial"/>
          <w:b/>
          <w:bCs/>
          <w:lang w:val="pt-BR"/>
        </w:rPr>
        <w:t xml:space="preserve">3.3. </w:t>
      </w:r>
      <w:r w:rsidR="000E7866" w:rsidRPr="006D5F8B">
        <w:rPr>
          <w:rFonts w:cs="Arial"/>
          <w:b/>
          <w:bCs/>
          <w:lang w:val="pt-BR"/>
        </w:rPr>
        <w:t xml:space="preserve">Apresentação de novos casos </w:t>
      </w:r>
    </w:p>
    <w:p w14:paraId="06AD6C81" w14:textId="723A65D2" w:rsidR="000E7866" w:rsidRPr="0004468D" w:rsidRDefault="000E7866" w:rsidP="000E7866">
      <w:pPr>
        <w:spacing w:after="5" w:line="249" w:lineRule="auto"/>
        <w:ind w:left="-7"/>
        <w:jc w:val="both"/>
        <w:rPr>
          <w:rFonts w:cs="Arial"/>
          <w:lang w:val="pt-BR"/>
        </w:rPr>
      </w:pPr>
    </w:p>
    <w:p w14:paraId="2F8B0A26" w14:textId="38B3A341" w:rsidR="00B35CE2" w:rsidRDefault="00B35CE2" w:rsidP="00B35CE2">
      <w:pPr>
        <w:jc w:val="both"/>
        <w:rPr>
          <w:rFonts w:cs="Arial"/>
          <w:bCs/>
          <w:szCs w:val="24"/>
          <w:lang w:val="pt-BR"/>
        </w:rPr>
      </w:pPr>
      <w:r w:rsidRPr="0004468D">
        <w:rPr>
          <w:rFonts w:cs="Arial"/>
          <w:bCs/>
          <w:szCs w:val="24"/>
          <w:lang w:val="pt-BR"/>
        </w:rPr>
        <w:t xml:space="preserve">A </w:t>
      </w:r>
      <w:r w:rsidR="000A3497">
        <w:rPr>
          <w:rFonts w:cs="Arial"/>
          <w:bCs/>
          <w:szCs w:val="24"/>
          <w:lang w:val="pt-BR"/>
        </w:rPr>
        <w:t>d</w:t>
      </w:r>
      <w:r w:rsidRPr="0004468D">
        <w:rPr>
          <w:rFonts w:cs="Arial"/>
          <w:bCs/>
          <w:szCs w:val="24"/>
          <w:lang w:val="pt-BR"/>
        </w:rPr>
        <w:t xml:space="preserve">elegação do Brasil apresentou </w:t>
      </w:r>
      <w:r w:rsidR="00B5390D">
        <w:rPr>
          <w:rFonts w:cs="Arial"/>
          <w:bCs/>
          <w:szCs w:val="24"/>
          <w:lang w:val="pt-BR"/>
        </w:rPr>
        <w:t>doze</w:t>
      </w:r>
      <w:r w:rsidRPr="0004468D">
        <w:rPr>
          <w:rFonts w:cs="Arial"/>
          <w:bCs/>
          <w:szCs w:val="24"/>
          <w:lang w:val="pt-BR"/>
        </w:rPr>
        <w:t xml:space="preserve"> (</w:t>
      </w:r>
      <w:r w:rsidR="0004468D" w:rsidRPr="0004468D">
        <w:rPr>
          <w:rFonts w:cs="Arial"/>
          <w:bCs/>
          <w:szCs w:val="24"/>
          <w:lang w:val="pt-BR"/>
        </w:rPr>
        <w:t>12</w:t>
      </w:r>
      <w:r w:rsidRPr="0004468D">
        <w:rPr>
          <w:rFonts w:cs="Arial"/>
          <w:bCs/>
          <w:szCs w:val="24"/>
          <w:lang w:val="pt-BR"/>
        </w:rPr>
        <w:t xml:space="preserve">) novos casos: </w:t>
      </w:r>
    </w:p>
    <w:p w14:paraId="04112C4D" w14:textId="77777777" w:rsidR="00B35CE2" w:rsidRPr="00B35CE2" w:rsidRDefault="00B35CE2" w:rsidP="00B35CE2">
      <w:pPr>
        <w:jc w:val="both"/>
        <w:rPr>
          <w:rFonts w:cs="Arial"/>
          <w:bCs/>
          <w:color w:val="FF0000"/>
          <w:szCs w:val="24"/>
          <w:lang w:val="pt-BR"/>
        </w:rPr>
      </w:pPr>
    </w:p>
    <w:p w14:paraId="3C1960E1" w14:textId="77777777" w:rsidR="0004468D" w:rsidRPr="002A3C77" w:rsidRDefault="0004468D" w:rsidP="0004468D">
      <w:pPr>
        <w:jc w:val="both"/>
        <w:rPr>
          <w:rFonts w:cs="Arial"/>
          <w:bCs/>
          <w:szCs w:val="24"/>
          <w:lang w:val="pt-BR"/>
        </w:rPr>
      </w:pPr>
      <w:r w:rsidRPr="002A3C77">
        <w:rPr>
          <w:rFonts w:cs="Arial"/>
          <w:bCs/>
          <w:szCs w:val="24"/>
          <w:lang w:val="pt-BR"/>
        </w:rPr>
        <w:t>- Caso 1250 - Posição tarifaria   0207.12.00 da NCM</w:t>
      </w:r>
    </w:p>
    <w:p w14:paraId="34A67DCB" w14:textId="77777777" w:rsidR="0004468D" w:rsidRPr="002A3C77" w:rsidRDefault="0004468D" w:rsidP="0004468D">
      <w:pPr>
        <w:jc w:val="both"/>
        <w:rPr>
          <w:rFonts w:cs="Arial"/>
          <w:bCs/>
          <w:szCs w:val="24"/>
          <w:lang w:val="pt-BR"/>
        </w:rPr>
      </w:pPr>
    </w:p>
    <w:p w14:paraId="7234975B" w14:textId="3D730B65" w:rsidR="0004468D" w:rsidRPr="002A3C77" w:rsidRDefault="0004468D" w:rsidP="0004468D">
      <w:pPr>
        <w:jc w:val="both"/>
        <w:rPr>
          <w:rFonts w:cs="Arial"/>
          <w:bCs/>
          <w:szCs w:val="24"/>
          <w:lang w:val="pt-BR"/>
        </w:rPr>
      </w:pPr>
      <w:r w:rsidRPr="002A3C77">
        <w:rPr>
          <w:rFonts w:cs="Arial"/>
          <w:bCs/>
          <w:szCs w:val="24"/>
          <w:lang w:val="pt-BR"/>
        </w:rPr>
        <w:t>- Caso 1251 - Posição tarifaria "0302.91.00, 0303.91.00, 0305.20.00" da NCM</w:t>
      </w:r>
    </w:p>
    <w:p w14:paraId="669F6A41" w14:textId="77777777" w:rsidR="0004468D" w:rsidRPr="002A3C77" w:rsidRDefault="0004468D" w:rsidP="0004468D">
      <w:pPr>
        <w:jc w:val="both"/>
        <w:rPr>
          <w:rFonts w:cs="Arial"/>
          <w:bCs/>
          <w:szCs w:val="24"/>
          <w:lang w:val="pt-BR"/>
        </w:rPr>
      </w:pPr>
    </w:p>
    <w:p w14:paraId="0CBC248C" w14:textId="77777777" w:rsidR="0004468D" w:rsidRPr="002A3C77" w:rsidRDefault="0004468D" w:rsidP="0004468D">
      <w:pPr>
        <w:jc w:val="both"/>
        <w:rPr>
          <w:rFonts w:cs="Arial"/>
          <w:bCs/>
          <w:szCs w:val="24"/>
          <w:lang w:val="pt-BR"/>
        </w:rPr>
      </w:pPr>
      <w:r w:rsidRPr="002A3C77">
        <w:rPr>
          <w:rFonts w:cs="Arial"/>
          <w:bCs/>
          <w:szCs w:val="24"/>
          <w:lang w:val="pt-BR"/>
        </w:rPr>
        <w:lastRenderedPageBreak/>
        <w:t>- Caso 1252 - Posição tarifaria 3207.10.90 da NCM</w:t>
      </w:r>
    </w:p>
    <w:p w14:paraId="28D2B5AD" w14:textId="77777777" w:rsidR="0004468D" w:rsidRPr="002A3C77" w:rsidRDefault="0004468D" w:rsidP="0004468D">
      <w:pPr>
        <w:jc w:val="both"/>
        <w:rPr>
          <w:rFonts w:cs="Arial"/>
          <w:bCs/>
          <w:szCs w:val="24"/>
          <w:lang w:val="pt-BR"/>
        </w:rPr>
      </w:pPr>
    </w:p>
    <w:p w14:paraId="369064C5" w14:textId="77777777" w:rsidR="0004468D" w:rsidRPr="002A3C77" w:rsidRDefault="0004468D" w:rsidP="0004468D">
      <w:pPr>
        <w:jc w:val="both"/>
        <w:rPr>
          <w:rFonts w:cs="Arial"/>
          <w:bCs/>
          <w:szCs w:val="24"/>
          <w:lang w:val="pt-BR"/>
        </w:rPr>
      </w:pPr>
      <w:r w:rsidRPr="002A3C77">
        <w:rPr>
          <w:rFonts w:cs="Arial"/>
          <w:bCs/>
          <w:szCs w:val="24"/>
          <w:lang w:val="pt-BR"/>
        </w:rPr>
        <w:t>- Caso 1253 - Posição tarifaria 3917.22.00 da NCM</w:t>
      </w:r>
    </w:p>
    <w:p w14:paraId="5C76B8E0" w14:textId="77777777" w:rsidR="0004468D" w:rsidRPr="002A3C77" w:rsidRDefault="0004468D" w:rsidP="0004468D">
      <w:pPr>
        <w:jc w:val="both"/>
        <w:rPr>
          <w:rFonts w:cs="Arial"/>
          <w:bCs/>
          <w:szCs w:val="24"/>
          <w:lang w:val="pt-BR"/>
        </w:rPr>
      </w:pPr>
    </w:p>
    <w:p w14:paraId="519F4503" w14:textId="77777777" w:rsidR="0004468D" w:rsidRPr="002A3C77" w:rsidRDefault="0004468D" w:rsidP="0004468D">
      <w:pPr>
        <w:jc w:val="both"/>
        <w:rPr>
          <w:rFonts w:cs="Arial"/>
          <w:bCs/>
          <w:szCs w:val="24"/>
          <w:lang w:val="pt-BR"/>
        </w:rPr>
      </w:pPr>
      <w:r w:rsidRPr="002A3C77">
        <w:rPr>
          <w:rFonts w:cs="Arial"/>
          <w:bCs/>
          <w:szCs w:val="24"/>
          <w:lang w:val="pt-BR"/>
        </w:rPr>
        <w:t>- Caso 1254 - Posição tarifaria 7312.10.90 da NCM</w:t>
      </w:r>
    </w:p>
    <w:p w14:paraId="6627638C" w14:textId="77777777" w:rsidR="0004468D" w:rsidRPr="002A3C77" w:rsidRDefault="0004468D" w:rsidP="0004468D">
      <w:pPr>
        <w:jc w:val="both"/>
        <w:rPr>
          <w:rFonts w:cs="Arial"/>
          <w:bCs/>
          <w:szCs w:val="24"/>
          <w:lang w:val="pt-BR"/>
        </w:rPr>
      </w:pPr>
    </w:p>
    <w:p w14:paraId="1022DB70" w14:textId="77777777" w:rsidR="0004468D" w:rsidRPr="002A3C77" w:rsidRDefault="0004468D" w:rsidP="0004468D">
      <w:pPr>
        <w:jc w:val="both"/>
        <w:rPr>
          <w:rFonts w:cs="Arial"/>
          <w:bCs/>
          <w:szCs w:val="24"/>
          <w:lang w:val="pt-BR"/>
        </w:rPr>
      </w:pPr>
      <w:r w:rsidRPr="002A3C77">
        <w:rPr>
          <w:rFonts w:cs="Arial"/>
          <w:bCs/>
          <w:szCs w:val="24"/>
          <w:lang w:val="pt-BR"/>
        </w:rPr>
        <w:t>- Caso 1255 - Posição tarifaria 8504.50.00 da NCM</w:t>
      </w:r>
    </w:p>
    <w:p w14:paraId="2449088B" w14:textId="77777777" w:rsidR="0004468D" w:rsidRPr="002A3C77" w:rsidRDefault="0004468D" w:rsidP="0004468D">
      <w:pPr>
        <w:jc w:val="both"/>
        <w:rPr>
          <w:rFonts w:cs="Arial"/>
          <w:bCs/>
          <w:szCs w:val="24"/>
          <w:lang w:val="pt-BR"/>
        </w:rPr>
      </w:pPr>
    </w:p>
    <w:p w14:paraId="20D98075" w14:textId="77777777" w:rsidR="0004468D" w:rsidRPr="002A3C77" w:rsidRDefault="0004468D" w:rsidP="0004468D">
      <w:pPr>
        <w:jc w:val="both"/>
        <w:rPr>
          <w:rFonts w:cs="Arial"/>
          <w:bCs/>
          <w:szCs w:val="24"/>
          <w:lang w:val="pt-BR"/>
        </w:rPr>
      </w:pPr>
      <w:r w:rsidRPr="002A3C77">
        <w:rPr>
          <w:rFonts w:cs="Arial"/>
          <w:bCs/>
          <w:szCs w:val="24"/>
          <w:lang w:val="pt-BR"/>
        </w:rPr>
        <w:t>- Caso 1256 - Posição tarifaria 8518.10.90 da NCM</w:t>
      </w:r>
    </w:p>
    <w:p w14:paraId="5321D8AD" w14:textId="77777777" w:rsidR="0004468D" w:rsidRPr="002A3C77" w:rsidRDefault="0004468D" w:rsidP="0004468D">
      <w:pPr>
        <w:jc w:val="both"/>
        <w:rPr>
          <w:rFonts w:cs="Arial"/>
          <w:bCs/>
          <w:szCs w:val="24"/>
          <w:lang w:val="pt-BR"/>
        </w:rPr>
      </w:pPr>
      <w:r w:rsidRPr="002A3C77">
        <w:rPr>
          <w:rFonts w:cs="Arial"/>
          <w:bCs/>
          <w:szCs w:val="24"/>
          <w:lang w:val="pt-BR"/>
        </w:rPr>
        <w:t xml:space="preserve"> </w:t>
      </w:r>
    </w:p>
    <w:p w14:paraId="54824C53" w14:textId="77777777" w:rsidR="0004468D" w:rsidRPr="002A3C77" w:rsidRDefault="0004468D" w:rsidP="0004468D">
      <w:pPr>
        <w:jc w:val="both"/>
        <w:rPr>
          <w:rFonts w:cs="Arial"/>
          <w:bCs/>
          <w:szCs w:val="24"/>
          <w:lang w:val="pt-BR"/>
        </w:rPr>
      </w:pPr>
      <w:r w:rsidRPr="002A3C77">
        <w:rPr>
          <w:rFonts w:cs="Arial"/>
          <w:bCs/>
          <w:szCs w:val="24"/>
          <w:lang w:val="pt-BR"/>
        </w:rPr>
        <w:t>- Caso 1257 - Posição tarifaria 9506.61.00 da NCM</w:t>
      </w:r>
    </w:p>
    <w:p w14:paraId="25B6E013" w14:textId="77777777" w:rsidR="0004468D" w:rsidRPr="002A3C77" w:rsidRDefault="0004468D" w:rsidP="0004468D">
      <w:pPr>
        <w:jc w:val="both"/>
        <w:rPr>
          <w:rFonts w:cs="Arial"/>
          <w:bCs/>
          <w:szCs w:val="24"/>
          <w:lang w:val="pt-BR"/>
        </w:rPr>
      </w:pPr>
    </w:p>
    <w:p w14:paraId="73BEFD29" w14:textId="77777777" w:rsidR="0004468D" w:rsidRPr="002A3C77" w:rsidRDefault="0004468D" w:rsidP="0004468D">
      <w:pPr>
        <w:jc w:val="both"/>
        <w:rPr>
          <w:rFonts w:cs="Arial"/>
          <w:bCs/>
          <w:szCs w:val="24"/>
          <w:lang w:val="pt-BR"/>
        </w:rPr>
      </w:pPr>
      <w:r w:rsidRPr="002A3C77">
        <w:rPr>
          <w:rFonts w:cs="Arial"/>
          <w:bCs/>
          <w:szCs w:val="24"/>
          <w:lang w:val="pt-BR"/>
        </w:rPr>
        <w:t>- Caso 1258 - Posição tarifaria 8205.59.00 da NCM</w:t>
      </w:r>
    </w:p>
    <w:p w14:paraId="0102F9F2" w14:textId="77777777" w:rsidR="0004468D" w:rsidRPr="002A3C77" w:rsidRDefault="0004468D" w:rsidP="0004468D">
      <w:pPr>
        <w:jc w:val="both"/>
        <w:rPr>
          <w:rFonts w:cs="Arial"/>
          <w:bCs/>
          <w:szCs w:val="24"/>
          <w:lang w:val="pt-BR"/>
        </w:rPr>
      </w:pPr>
    </w:p>
    <w:p w14:paraId="6A3B69B1" w14:textId="77777777" w:rsidR="0004468D" w:rsidRPr="002A3C77" w:rsidRDefault="0004468D" w:rsidP="0004468D">
      <w:pPr>
        <w:jc w:val="both"/>
        <w:rPr>
          <w:rFonts w:cs="Arial"/>
          <w:bCs/>
          <w:szCs w:val="24"/>
          <w:lang w:val="pt-BR"/>
        </w:rPr>
      </w:pPr>
      <w:r w:rsidRPr="002A3C77">
        <w:rPr>
          <w:rFonts w:cs="Arial"/>
          <w:bCs/>
          <w:szCs w:val="24"/>
          <w:lang w:val="pt-BR"/>
        </w:rPr>
        <w:t>- Caso 1259 - Posição tarifaria 8450.20.90 da NCM</w:t>
      </w:r>
    </w:p>
    <w:p w14:paraId="04528EA9" w14:textId="77777777" w:rsidR="0004468D" w:rsidRPr="002A3C77" w:rsidRDefault="0004468D" w:rsidP="0004468D">
      <w:pPr>
        <w:jc w:val="both"/>
        <w:rPr>
          <w:rFonts w:cs="Arial"/>
          <w:bCs/>
          <w:szCs w:val="24"/>
          <w:lang w:val="pt-BR"/>
        </w:rPr>
      </w:pPr>
    </w:p>
    <w:p w14:paraId="6E37A2CA" w14:textId="77777777" w:rsidR="0004468D" w:rsidRPr="002A3C77" w:rsidRDefault="0004468D" w:rsidP="0004468D">
      <w:pPr>
        <w:jc w:val="both"/>
        <w:rPr>
          <w:rFonts w:cs="Arial"/>
          <w:bCs/>
          <w:szCs w:val="24"/>
          <w:lang w:val="pt-BR"/>
        </w:rPr>
      </w:pPr>
      <w:r w:rsidRPr="002A3C77">
        <w:rPr>
          <w:rFonts w:cs="Arial"/>
          <w:bCs/>
          <w:szCs w:val="24"/>
          <w:lang w:val="pt-BR"/>
        </w:rPr>
        <w:t>- Caso 1260 - Posição tarifaria 5501.30.00 da NCM</w:t>
      </w:r>
    </w:p>
    <w:p w14:paraId="676CFE77" w14:textId="77777777" w:rsidR="0004468D" w:rsidRPr="002A3C77" w:rsidRDefault="0004468D" w:rsidP="0004468D">
      <w:pPr>
        <w:jc w:val="both"/>
        <w:rPr>
          <w:rFonts w:cs="Arial"/>
          <w:bCs/>
          <w:szCs w:val="24"/>
          <w:lang w:val="pt-BR"/>
        </w:rPr>
      </w:pPr>
    </w:p>
    <w:p w14:paraId="5B6B0866" w14:textId="77777777" w:rsidR="0004468D" w:rsidRPr="002A3C77" w:rsidRDefault="0004468D" w:rsidP="0004468D">
      <w:pPr>
        <w:jc w:val="both"/>
        <w:rPr>
          <w:rFonts w:cs="Arial"/>
          <w:bCs/>
          <w:szCs w:val="24"/>
          <w:lang w:val="pt-BR"/>
        </w:rPr>
      </w:pPr>
      <w:r w:rsidRPr="002A3C77">
        <w:rPr>
          <w:rFonts w:cs="Arial"/>
          <w:bCs/>
          <w:szCs w:val="24"/>
          <w:lang w:val="pt-BR"/>
        </w:rPr>
        <w:t>- Caso 1261 - Posição tarifaria 5503.30.00 da NCM</w:t>
      </w:r>
    </w:p>
    <w:p w14:paraId="4716BC57" w14:textId="77777777" w:rsidR="008B559C" w:rsidRDefault="008B559C" w:rsidP="00B35CE2">
      <w:pPr>
        <w:jc w:val="both"/>
        <w:rPr>
          <w:rFonts w:cs="Arial"/>
          <w:bCs/>
          <w:szCs w:val="24"/>
          <w:lang w:val="pt-BR"/>
        </w:rPr>
      </w:pPr>
    </w:p>
    <w:p w14:paraId="4D9F0D0E" w14:textId="299EAB1A" w:rsidR="00B35CE2" w:rsidRPr="0004468D" w:rsidRDefault="00B35CE2" w:rsidP="00B35CE2">
      <w:pPr>
        <w:jc w:val="both"/>
        <w:rPr>
          <w:rFonts w:cs="Arial"/>
          <w:b/>
          <w:szCs w:val="24"/>
          <w:lang w:val="pt-BR"/>
        </w:rPr>
      </w:pPr>
      <w:r w:rsidRPr="0004468D">
        <w:rPr>
          <w:rFonts w:cs="Arial"/>
          <w:bCs/>
          <w:szCs w:val="24"/>
          <w:lang w:val="pt-BR"/>
        </w:rPr>
        <w:t xml:space="preserve">Os formulários correspondentes constam do </w:t>
      </w:r>
      <w:r w:rsidRPr="0004468D">
        <w:rPr>
          <w:rFonts w:cs="Arial"/>
          <w:b/>
          <w:szCs w:val="24"/>
          <w:lang w:val="pt-BR"/>
        </w:rPr>
        <w:t>Anexo VI (RESERVADO).</w:t>
      </w:r>
    </w:p>
    <w:p w14:paraId="0087E303" w14:textId="16BC582C" w:rsidR="00A3629D" w:rsidRDefault="00A3629D" w:rsidP="000E7866">
      <w:pPr>
        <w:spacing w:line="259" w:lineRule="auto"/>
        <w:jc w:val="both"/>
        <w:rPr>
          <w:rFonts w:cs="Arial"/>
          <w:lang w:val="pt-BR"/>
        </w:rPr>
      </w:pPr>
    </w:p>
    <w:p w14:paraId="528F427C" w14:textId="77777777" w:rsidR="00A73711" w:rsidRPr="00F27F01" w:rsidRDefault="00A73711" w:rsidP="000E7866">
      <w:pPr>
        <w:spacing w:line="259" w:lineRule="auto"/>
        <w:jc w:val="both"/>
        <w:rPr>
          <w:rFonts w:cs="Arial"/>
          <w:lang w:val="pt-BR"/>
        </w:rPr>
      </w:pPr>
    </w:p>
    <w:p w14:paraId="533F5A3E" w14:textId="145130D5" w:rsidR="000E7866" w:rsidRDefault="005B3AEE" w:rsidP="00B35CE2">
      <w:pPr>
        <w:spacing w:after="5" w:line="249" w:lineRule="auto"/>
        <w:jc w:val="both"/>
        <w:rPr>
          <w:rFonts w:cs="Arial"/>
          <w:b/>
          <w:lang w:val="pt-BR"/>
        </w:rPr>
      </w:pPr>
      <w:r>
        <w:rPr>
          <w:rFonts w:cs="Arial"/>
          <w:b/>
          <w:lang w:val="pt-BR"/>
        </w:rPr>
        <w:t xml:space="preserve">4. </w:t>
      </w:r>
      <w:r w:rsidRPr="00A671A6">
        <w:rPr>
          <w:rFonts w:cs="Arial"/>
          <w:b/>
          <w:lang w:val="pt-BR"/>
        </w:rPr>
        <w:t xml:space="preserve">APRESENTAÇÃO DE NORMAS NACIONAIS RELACIONADAS À NCM E À TEC </w:t>
      </w:r>
    </w:p>
    <w:p w14:paraId="3F028B64" w14:textId="5FAA619B" w:rsidR="008752A5" w:rsidRDefault="008752A5" w:rsidP="00B35CE2">
      <w:pPr>
        <w:spacing w:after="5" w:line="249" w:lineRule="auto"/>
        <w:jc w:val="both"/>
        <w:rPr>
          <w:rFonts w:cs="Arial"/>
          <w:b/>
          <w:lang w:val="pt-BR"/>
        </w:rPr>
      </w:pPr>
    </w:p>
    <w:p w14:paraId="62CEB658" w14:textId="77777777" w:rsidR="008752A5" w:rsidRPr="005E69C6" w:rsidRDefault="008752A5" w:rsidP="008752A5">
      <w:pPr>
        <w:jc w:val="both"/>
        <w:rPr>
          <w:color w:val="000000" w:themeColor="text1"/>
          <w:szCs w:val="24"/>
          <w:lang w:val="pt-BR"/>
        </w:rPr>
      </w:pPr>
      <w:r w:rsidRPr="005E69C6">
        <w:rPr>
          <w:color w:val="000000" w:themeColor="text1"/>
          <w:szCs w:val="24"/>
          <w:lang w:val="pt-BR"/>
        </w:rPr>
        <w:t xml:space="preserve">A delegação do Brasil apresentou as seguintes Resoluções do Comitê Executivo de Gestão da Câmara de Comércio Exterior (Gecex) sobre alterações tarifarias: </w:t>
      </w:r>
    </w:p>
    <w:p w14:paraId="2F363E70" w14:textId="77777777" w:rsidR="008752A5" w:rsidRDefault="008752A5" w:rsidP="008752A5">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75E92A95" w14:textId="5190A307" w:rsidR="008752A5" w:rsidRPr="008752A5" w:rsidRDefault="008752A5" w:rsidP="008752A5">
      <w:pPr>
        <w:jc w:val="both"/>
        <w:rPr>
          <w:szCs w:val="24"/>
          <w:lang w:val="pt-BR"/>
        </w:rPr>
      </w:pPr>
      <w:r w:rsidRPr="008752A5">
        <w:rPr>
          <w:szCs w:val="24"/>
          <w:lang w:val="pt-BR"/>
        </w:rPr>
        <w:t>- Resolucões Nros. 231/2021, 232/2021 y 233/2021 y 247/2021 y 256/2021 e 257/2021, referentes a alterações tarifarias para Bens de Capital e Bens de</w:t>
      </w:r>
      <w:r>
        <w:rPr>
          <w:szCs w:val="24"/>
          <w:lang w:val="pt-BR"/>
        </w:rPr>
        <w:t xml:space="preserve"> Informática e Telecomunicações.</w:t>
      </w:r>
    </w:p>
    <w:p w14:paraId="42B1D5AE" w14:textId="77777777" w:rsidR="008752A5" w:rsidRPr="008752A5" w:rsidRDefault="008752A5" w:rsidP="008752A5">
      <w:pPr>
        <w:jc w:val="both"/>
        <w:rPr>
          <w:szCs w:val="24"/>
          <w:lang w:val="pt-BR"/>
        </w:rPr>
      </w:pPr>
    </w:p>
    <w:p w14:paraId="74FDD19F" w14:textId="7EDA0A7C" w:rsidR="008752A5" w:rsidRDefault="008752A5" w:rsidP="008752A5">
      <w:pPr>
        <w:jc w:val="both"/>
        <w:rPr>
          <w:szCs w:val="24"/>
          <w:lang w:val="pt-BR"/>
        </w:rPr>
      </w:pPr>
      <w:r w:rsidRPr="008752A5">
        <w:rPr>
          <w:szCs w:val="24"/>
          <w:lang w:val="pt-BR"/>
        </w:rPr>
        <w:t>- Resoluções Nros.</w:t>
      </w:r>
      <w:r>
        <w:rPr>
          <w:szCs w:val="24"/>
          <w:lang w:val="pt-BR"/>
        </w:rPr>
        <w:t xml:space="preserve"> 230/2021 e 249/2021 sobre Lista de alterações tarifarias excepcionais com vistas ao enfrentamento da Covid</w:t>
      </w:r>
      <w:r w:rsidR="007609EB">
        <w:rPr>
          <w:szCs w:val="24"/>
          <w:lang w:val="pt-BR"/>
        </w:rPr>
        <w:t>-19</w:t>
      </w:r>
      <w:r>
        <w:rPr>
          <w:szCs w:val="24"/>
          <w:lang w:val="pt-BR"/>
        </w:rPr>
        <w:t xml:space="preserve">. </w:t>
      </w:r>
    </w:p>
    <w:p w14:paraId="67C0215C" w14:textId="50CCA9DA" w:rsidR="008752A5" w:rsidRDefault="008752A5" w:rsidP="008752A5">
      <w:pPr>
        <w:jc w:val="both"/>
        <w:rPr>
          <w:szCs w:val="24"/>
          <w:lang w:val="pt-BR"/>
        </w:rPr>
      </w:pPr>
    </w:p>
    <w:p w14:paraId="569CEB75" w14:textId="2C4B542E" w:rsidR="008752A5" w:rsidRDefault="008752A5" w:rsidP="008752A5">
      <w:pPr>
        <w:jc w:val="both"/>
        <w:rPr>
          <w:szCs w:val="24"/>
          <w:lang w:val="pt-BR"/>
        </w:rPr>
      </w:pPr>
      <w:r>
        <w:rPr>
          <w:szCs w:val="24"/>
          <w:lang w:val="pt-BR"/>
        </w:rPr>
        <w:t xml:space="preserve">- Resolução Nro. 239/2021 sobre </w:t>
      </w:r>
      <w:r w:rsidR="005E69C6">
        <w:rPr>
          <w:szCs w:val="24"/>
          <w:lang w:val="pt-BR"/>
        </w:rPr>
        <w:t xml:space="preserve">Lista de Exceções à Tarifa Externa Comum do Mercosul. </w:t>
      </w:r>
    </w:p>
    <w:p w14:paraId="60E921F4" w14:textId="6AC88526" w:rsidR="005E69C6" w:rsidRDefault="005E69C6" w:rsidP="008752A5">
      <w:pPr>
        <w:jc w:val="both"/>
        <w:rPr>
          <w:szCs w:val="24"/>
          <w:lang w:val="pt-BR"/>
        </w:rPr>
      </w:pPr>
    </w:p>
    <w:p w14:paraId="29A8F825" w14:textId="35A75425" w:rsidR="005E69C6" w:rsidRPr="008752A5" w:rsidRDefault="005E69C6" w:rsidP="008752A5">
      <w:pPr>
        <w:jc w:val="both"/>
        <w:rPr>
          <w:szCs w:val="24"/>
          <w:lang w:val="pt-BR"/>
        </w:rPr>
      </w:pPr>
      <w:r>
        <w:rPr>
          <w:szCs w:val="24"/>
          <w:lang w:val="pt-BR"/>
        </w:rPr>
        <w:t xml:space="preserve">- Resolução Nro. 246/2021 sobre alterações tarifarias por desabastecimento ao amparo da Resolução GMC nº 49/19. </w:t>
      </w:r>
    </w:p>
    <w:p w14:paraId="3E5429EA" w14:textId="77777777" w:rsidR="000E7866" w:rsidRPr="00B5390D" w:rsidRDefault="000E7866" w:rsidP="000E7866">
      <w:pPr>
        <w:jc w:val="both"/>
        <w:rPr>
          <w:szCs w:val="24"/>
          <w:lang w:val="pt-BR"/>
        </w:rPr>
      </w:pPr>
    </w:p>
    <w:p w14:paraId="3DD8D983" w14:textId="77777777" w:rsidR="000E7866" w:rsidRPr="00B5390D" w:rsidRDefault="000E7866" w:rsidP="000E7866">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B5390D">
        <w:rPr>
          <w:rFonts w:ascii="Arial" w:hAnsi="Arial" w:cs="Arial"/>
          <w:bdr w:val="none" w:sz="0" w:space="0" w:color="auto" w:frame="1"/>
        </w:rPr>
        <w:t xml:space="preserve">As normas apresentados estão listadas no </w:t>
      </w:r>
      <w:r w:rsidRPr="00B5390D">
        <w:rPr>
          <w:rFonts w:ascii="Arial" w:hAnsi="Arial" w:cs="Arial"/>
          <w:b/>
          <w:bCs/>
          <w:bdr w:val="none" w:sz="0" w:space="0" w:color="auto" w:frame="1"/>
        </w:rPr>
        <w:t>ANEXO X.</w:t>
      </w:r>
    </w:p>
    <w:p w14:paraId="4075DD8E" w14:textId="4ED81A55" w:rsidR="000E7866" w:rsidRDefault="000E7866" w:rsidP="000E7866">
      <w:pPr>
        <w:jc w:val="both"/>
        <w:rPr>
          <w:rFonts w:cs="Arial"/>
          <w:lang w:val="pt-BR"/>
        </w:rPr>
      </w:pPr>
    </w:p>
    <w:p w14:paraId="53771FA5" w14:textId="77777777" w:rsidR="008F13F0" w:rsidRPr="00A671A6" w:rsidRDefault="008F13F0" w:rsidP="000E7866">
      <w:pPr>
        <w:jc w:val="both"/>
        <w:rPr>
          <w:rFonts w:cs="Arial"/>
          <w:lang w:val="pt-BR"/>
        </w:rPr>
      </w:pPr>
    </w:p>
    <w:p w14:paraId="0C673A67" w14:textId="0AD9D360" w:rsidR="000E7866" w:rsidRDefault="005B3AEE" w:rsidP="005B3AEE">
      <w:pPr>
        <w:spacing w:after="5" w:line="249" w:lineRule="auto"/>
        <w:jc w:val="both"/>
        <w:rPr>
          <w:rFonts w:cs="Arial"/>
          <w:b/>
          <w:lang w:val="pt-BR"/>
        </w:rPr>
      </w:pPr>
      <w:r>
        <w:rPr>
          <w:rFonts w:cs="Arial"/>
          <w:b/>
          <w:lang w:val="pt-BR"/>
        </w:rPr>
        <w:t xml:space="preserve">5. </w:t>
      </w:r>
      <w:r w:rsidRPr="00A671A6">
        <w:rPr>
          <w:rFonts w:cs="Arial"/>
          <w:b/>
          <w:lang w:val="pt-BR"/>
        </w:rPr>
        <w:t>DITAMES DE CLASSIFICAÇÃO DE MERCADORIA</w:t>
      </w:r>
    </w:p>
    <w:p w14:paraId="1CEE23E2" w14:textId="77777777" w:rsidR="005B3AEE" w:rsidRDefault="005B3AEE" w:rsidP="005B3AEE">
      <w:pPr>
        <w:spacing w:after="5" w:line="249" w:lineRule="auto"/>
        <w:jc w:val="both"/>
        <w:rPr>
          <w:rFonts w:cs="Arial"/>
          <w:b/>
          <w:bCs/>
          <w:szCs w:val="24"/>
          <w:lang w:val="pt-BR"/>
        </w:rPr>
      </w:pPr>
    </w:p>
    <w:p w14:paraId="265FCA0F" w14:textId="248D8B56" w:rsidR="008F13F0" w:rsidRDefault="00DD3AD7" w:rsidP="00A73711">
      <w:pPr>
        <w:spacing w:after="5" w:line="249" w:lineRule="auto"/>
        <w:jc w:val="both"/>
        <w:rPr>
          <w:rFonts w:cs="Arial"/>
          <w:lang w:val="pt-BR"/>
        </w:rPr>
      </w:pPr>
      <w:r w:rsidRPr="002A6572">
        <w:rPr>
          <w:rFonts w:cs="Arial"/>
          <w:szCs w:val="24"/>
          <w:lang w:val="pt-BR"/>
        </w:rPr>
        <w:t>Não há ditames</w:t>
      </w:r>
      <w:r w:rsidR="002A6572" w:rsidRPr="002A6572">
        <w:rPr>
          <w:rFonts w:cs="Arial"/>
          <w:szCs w:val="24"/>
          <w:lang w:val="pt-BR"/>
        </w:rPr>
        <w:t xml:space="preserve"> </w:t>
      </w:r>
      <w:r w:rsidR="002A6572" w:rsidRPr="002A6572">
        <w:rPr>
          <w:rFonts w:cs="Arial"/>
          <w:lang w:val="pt-BR"/>
        </w:rPr>
        <w:t xml:space="preserve">comunicados à Secretaria do </w:t>
      </w:r>
      <w:r w:rsidR="00A73711" w:rsidRPr="002A6572">
        <w:rPr>
          <w:rFonts w:cs="Arial"/>
          <w:lang w:val="pt-BR"/>
        </w:rPr>
        <w:t xml:space="preserve">MERCOSUL </w:t>
      </w:r>
      <w:r w:rsidR="002A6572" w:rsidRPr="002A6572">
        <w:rPr>
          <w:rFonts w:cs="Arial"/>
          <w:lang w:val="pt-BR"/>
        </w:rPr>
        <w:t>no período</w:t>
      </w:r>
      <w:r w:rsidR="002A6572">
        <w:rPr>
          <w:rFonts w:cs="Arial"/>
          <w:lang w:val="pt-BR"/>
        </w:rPr>
        <w:t>.</w:t>
      </w:r>
    </w:p>
    <w:p w14:paraId="570FAA45" w14:textId="77777777" w:rsidR="00A73711" w:rsidRPr="00A73711" w:rsidRDefault="00A73711" w:rsidP="00A73711">
      <w:pPr>
        <w:spacing w:after="5" w:line="249" w:lineRule="auto"/>
        <w:jc w:val="both"/>
        <w:rPr>
          <w:rFonts w:cs="Arial"/>
          <w:lang w:val="pt-BR"/>
        </w:rPr>
      </w:pPr>
    </w:p>
    <w:p w14:paraId="6F3826E1" w14:textId="52C6CDFF" w:rsidR="000E7866" w:rsidRPr="00A671A6" w:rsidRDefault="005B3AEE" w:rsidP="00B35CE2">
      <w:pPr>
        <w:spacing w:after="5" w:line="259" w:lineRule="auto"/>
        <w:jc w:val="both"/>
        <w:rPr>
          <w:rFonts w:cs="Arial"/>
          <w:b/>
          <w:bCs/>
          <w:lang w:val="pt-BR"/>
        </w:rPr>
      </w:pPr>
      <w:r>
        <w:rPr>
          <w:rFonts w:cs="Arial"/>
          <w:b/>
          <w:bCs/>
          <w:lang w:val="pt-BR"/>
        </w:rPr>
        <w:t xml:space="preserve">6. </w:t>
      </w:r>
      <w:r w:rsidRPr="00A671A6">
        <w:rPr>
          <w:rFonts w:cs="Arial"/>
          <w:b/>
          <w:lang w:val="pt-BR"/>
        </w:rPr>
        <w:t>DITAME DE CLASSIFICAÇÃO PARA O PRODUTO “LEITE SEM LACTOSE”.</w:t>
      </w:r>
    </w:p>
    <w:p w14:paraId="58387F0C" w14:textId="046F5C38" w:rsidR="000E7866" w:rsidRPr="00B22F47" w:rsidRDefault="000E7866" w:rsidP="000E7866">
      <w:pPr>
        <w:spacing w:line="259" w:lineRule="auto"/>
        <w:jc w:val="both"/>
        <w:rPr>
          <w:rFonts w:cs="Arial"/>
          <w:b/>
          <w:color w:val="FF0000"/>
          <w:lang w:val="pt-BR"/>
        </w:rPr>
      </w:pPr>
    </w:p>
    <w:p w14:paraId="4C1CBAC3" w14:textId="77CB055C" w:rsidR="00D3381C" w:rsidRPr="00D3381C" w:rsidRDefault="00D3381C" w:rsidP="00D3381C">
      <w:pPr>
        <w:jc w:val="both"/>
        <w:rPr>
          <w:rFonts w:cs="Arial"/>
          <w:lang w:val="pt-BR" w:eastAsia="pt-BR"/>
        </w:rPr>
      </w:pPr>
      <w:r w:rsidRPr="00D3381C">
        <w:rPr>
          <w:rFonts w:cs="Arial"/>
          <w:lang w:val="pt-BR" w:eastAsia="pt-BR"/>
        </w:rPr>
        <w:t>Na Ata 3/2015</w:t>
      </w:r>
      <w:r>
        <w:rPr>
          <w:rFonts w:cs="Arial"/>
          <w:lang w:val="pt-BR" w:eastAsia="pt-BR"/>
        </w:rPr>
        <w:t>,</w:t>
      </w:r>
      <w:r w:rsidRPr="00D3381C">
        <w:rPr>
          <w:rFonts w:cs="Arial"/>
          <w:lang w:val="pt-BR" w:eastAsia="pt-BR"/>
        </w:rPr>
        <w:t xml:space="preserve"> a </w:t>
      </w:r>
      <w:r w:rsidR="000A3497">
        <w:rPr>
          <w:rFonts w:cs="Arial"/>
          <w:lang w:val="pt-BR" w:eastAsia="pt-BR"/>
        </w:rPr>
        <w:t>d</w:t>
      </w:r>
      <w:r w:rsidRPr="00D3381C">
        <w:rPr>
          <w:rFonts w:cs="Arial"/>
          <w:lang w:val="pt-BR" w:eastAsia="pt-BR"/>
        </w:rPr>
        <w:t>elegação do Paraguai apresentou parecer nacional de classificação tarifária em relação ao produto "Leite sem lactose" (Anexo XIII) para consideração dos Técnicos em Nomenclatura.</w:t>
      </w:r>
    </w:p>
    <w:p w14:paraId="0535A43C" w14:textId="77777777" w:rsidR="00D3381C" w:rsidRPr="00D3381C" w:rsidRDefault="00D3381C" w:rsidP="00D3381C">
      <w:pPr>
        <w:jc w:val="both"/>
        <w:rPr>
          <w:rFonts w:cs="Arial"/>
          <w:lang w:val="pt-BR" w:eastAsia="pt-BR"/>
        </w:rPr>
      </w:pPr>
    </w:p>
    <w:p w14:paraId="75EA39A8" w14:textId="3E7E92BD" w:rsidR="00D3381C" w:rsidRPr="00D3381C" w:rsidRDefault="00D3381C" w:rsidP="00D3381C">
      <w:pPr>
        <w:jc w:val="both"/>
        <w:rPr>
          <w:rFonts w:cs="Arial"/>
          <w:lang w:val="pt-BR" w:eastAsia="pt-BR"/>
        </w:rPr>
      </w:pPr>
      <w:r w:rsidRPr="00D3381C">
        <w:rPr>
          <w:rFonts w:cs="Arial"/>
          <w:lang w:val="pt-BR" w:eastAsia="pt-BR"/>
        </w:rPr>
        <w:t xml:space="preserve">Na Ata 5/2015, item 3, os Técnicos em Nomenclatura concordam com a classificação </w:t>
      </w:r>
      <w:r>
        <w:rPr>
          <w:rFonts w:cs="Arial"/>
          <w:lang w:val="pt-BR" w:eastAsia="pt-BR"/>
        </w:rPr>
        <w:t>n</w:t>
      </w:r>
      <w:r w:rsidRPr="00D3381C">
        <w:rPr>
          <w:rFonts w:cs="Arial"/>
          <w:lang w:val="pt-BR" w:eastAsia="pt-BR"/>
        </w:rPr>
        <w:t>o código</w:t>
      </w:r>
      <w:r>
        <w:rPr>
          <w:rFonts w:cs="Arial"/>
          <w:lang w:val="pt-BR" w:eastAsia="pt-BR"/>
        </w:rPr>
        <w:t xml:space="preserve"> </w:t>
      </w:r>
      <w:r w:rsidRPr="00D3381C">
        <w:rPr>
          <w:rFonts w:cs="Arial"/>
          <w:lang w:val="pt-BR" w:eastAsia="pt-BR"/>
        </w:rPr>
        <w:t>2106.90.90</w:t>
      </w:r>
      <w:r>
        <w:rPr>
          <w:rFonts w:cs="Arial"/>
          <w:lang w:val="pt-BR" w:eastAsia="pt-BR"/>
        </w:rPr>
        <w:t xml:space="preserve"> da NCM.</w:t>
      </w:r>
    </w:p>
    <w:p w14:paraId="35B2D426" w14:textId="77777777" w:rsidR="00D3381C" w:rsidRPr="00D3381C" w:rsidRDefault="00D3381C" w:rsidP="00D3381C">
      <w:pPr>
        <w:jc w:val="both"/>
        <w:rPr>
          <w:rFonts w:cs="Arial"/>
          <w:lang w:val="pt-BR" w:eastAsia="pt-BR"/>
        </w:rPr>
      </w:pPr>
    </w:p>
    <w:p w14:paraId="288181DC" w14:textId="77777777" w:rsidR="00D3381C" w:rsidRPr="00D3381C" w:rsidRDefault="00D3381C" w:rsidP="00D3381C">
      <w:pPr>
        <w:jc w:val="both"/>
        <w:rPr>
          <w:rFonts w:cs="Arial"/>
          <w:bCs/>
          <w:lang w:val="pt-BR"/>
        </w:rPr>
      </w:pPr>
      <w:r w:rsidRPr="00D3381C">
        <w:rPr>
          <w:rFonts w:cs="Arial"/>
          <w:bCs/>
          <w:lang w:val="pt-BR"/>
        </w:rPr>
        <w:t>Na Ata 3/2021, o CT-1 tomou nota da instrução da CCM (ATA Nº 05/21) para que fosse elaborado um ditame de classificação.</w:t>
      </w:r>
    </w:p>
    <w:p w14:paraId="0B5F966A" w14:textId="77777777" w:rsidR="00D3381C" w:rsidRPr="00D3381C" w:rsidRDefault="00D3381C" w:rsidP="00D3381C">
      <w:pPr>
        <w:jc w:val="both"/>
        <w:rPr>
          <w:rFonts w:cs="Arial"/>
          <w:lang w:val="pt-BR"/>
        </w:rPr>
      </w:pPr>
    </w:p>
    <w:p w14:paraId="6D1A0A8A" w14:textId="4096DCC5" w:rsidR="00D3381C" w:rsidRPr="00D3381C" w:rsidRDefault="00D3381C" w:rsidP="00D3381C">
      <w:pPr>
        <w:jc w:val="both"/>
        <w:rPr>
          <w:rFonts w:cs="Arial"/>
          <w:lang w:val="pt-BR"/>
        </w:rPr>
      </w:pPr>
      <w:r w:rsidRPr="00D3381C">
        <w:rPr>
          <w:rFonts w:cs="Arial"/>
          <w:lang w:val="pt-BR"/>
        </w:rPr>
        <w:t>O CT-1 aprovou o Ditame de Classificação Nº 1/21 pelo qual se resolve a classificação tarifária do produto</w:t>
      </w:r>
      <w:r w:rsidR="007D128C">
        <w:rPr>
          <w:rFonts w:cs="Arial"/>
          <w:lang w:val="pt-BR"/>
        </w:rPr>
        <w:t>,</w:t>
      </w:r>
      <w:r w:rsidRPr="00D3381C">
        <w:rPr>
          <w:rFonts w:cs="Arial"/>
          <w:lang w:val="pt-BR"/>
        </w:rPr>
        <w:t xml:space="preserve"> </w:t>
      </w:r>
      <w:r>
        <w:rPr>
          <w:rFonts w:cs="Arial"/>
          <w:lang w:val="pt-BR"/>
        </w:rPr>
        <w:t xml:space="preserve">que consta no </w:t>
      </w:r>
      <w:r w:rsidRPr="00D3381C">
        <w:rPr>
          <w:rFonts w:cs="Arial"/>
          <w:b/>
          <w:bCs/>
          <w:lang w:val="pt-BR"/>
        </w:rPr>
        <w:t>ANEXO XIII</w:t>
      </w:r>
      <w:r w:rsidRPr="00D3381C">
        <w:rPr>
          <w:rFonts w:cs="Arial"/>
          <w:lang w:val="pt-BR"/>
        </w:rPr>
        <w:t>.</w:t>
      </w:r>
    </w:p>
    <w:p w14:paraId="1B134C84" w14:textId="77777777" w:rsidR="00D3381C" w:rsidRPr="00D3381C" w:rsidRDefault="00D3381C" w:rsidP="00D3381C">
      <w:pPr>
        <w:jc w:val="both"/>
        <w:rPr>
          <w:rFonts w:cs="Arial"/>
          <w:lang w:val="pt-BR"/>
        </w:rPr>
      </w:pPr>
    </w:p>
    <w:p w14:paraId="4E6B2B82" w14:textId="2645EC9D" w:rsidR="00D3381C" w:rsidRDefault="00D3381C" w:rsidP="00D3381C">
      <w:pPr>
        <w:jc w:val="both"/>
        <w:rPr>
          <w:rFonts w:cs="Arial"/>
          <w:bCs/>
          <w:lang w:val="pt-BR"/>
        </w:rPr>
      </w:pPr>
      <w:r w:rsidRPr="00D3381C">
        <w:rPr>
          <w:rFonts w:cs="Arial"/>
          <w:bCs/>
          <w:lang w:val="pt-BR"/>
        </w:rPr>
        <w:t xml:space="preserve">O respectivo Ditame foi incluído no Projeto de Diretiva Nº </w:t>
      </w:r>
      <w:r>
        <w:rPr>
          <w:rFonts w:cs="Arial"/>
          <w:bCs/>
          <w:lang w:val="pt-BR"/>
        </w:rPr>
        <w:t>2</w:t>
      </w:r>
      <w:r w:rsidRPr="00D3381C">
        <w:rPr>
          <w:rFonts w:cs="Arial"/>
          <w:bCs/>
          <w:lang w:val="pt-BR"/>
        </w:rPr>
        <w:t xml:space="preserve">/21 em suas versões em espanhol e português, que constam no </w:t>
      </w:r>
      <w:r w:rsidRPr="00D3381C">
        <w:rPr>
          <w:rFonts w:cs="Arial"/>
          <w:b/>
          <w:lang w:val="pt-BR"/>
        </w:rPr>
        <w:t>ANEXO IV</w:t>
      </w:r>
      <w:r w:rsidRPr="00D3381C">
        <w:rPr>
          <w:rFonts w:cs="Arial"/>
          <w:bCs/>
          <w:lang w:val="pt-BR"/>
        </w:rPr>
        <w:t>.</w:t>
      </w:r>
    </w:p>
    <w:p w14:paraId="6392FF5A" w14:textId="43D75AEB" w:rsidR="00B44509" w:rsidRDefault="00B44509" w:rsidP="00D3381C">
      <w:pPr>
        <w:jc w:val="both"/>
        <w:rPr>
          <w:rFonts w:cs="Arial"/>
          <w:bCs/>
          <w:lang w:val="pt-BR"/>
        </w:rPr>
      </w:pPr>
    </w:p>
    <w:p w14:paraId="37C7CF6D" w14:textId="77777777" w:rsidR="008F13F0" w:rsidRDefault="008F13F0" w:rsidP="00D3381C">
      <w:pPr>
        <w:jc w:val="both"/>
        <w:rPr>
          <w:rFonts w:cs="Arial"/>
          <w:bCs/>
          <w:lang w:val="pt-BR"/>
        </w:rPr>
      </w:pPr>
    </w:p>
    <w:p w14:paraId="15C11115" w14:textId="076BF81E" w:rsidR="00B44509" w:rsidRPr="00B44509" w:rsidRDefault="00B44509" w:rsidP="00D3381C">
      <w:pPr>
        <w:jc w:val="both"/>
        <w:rPr>
          <w:rFonts w:cs="Arial"/>
          <w:b/>
          <w:lang w:val="pt-BR"/>
        </w:rPr>
      </w:pPr>
      <w:r w:rsidRPr="00B44509">
        <w:rPr>
          <w:rFonts w:cs="Arial"/>
          <w:b/>
          <w:lang w:val="pt-BR"/>
        </w:rPr>
        <w:t xml:space="preserve">7. OUTROS </w:t>
      </w:r>
    </w:p>
    <w:p w14:paraId="548BF81E" w14:textId="18BA7DC7" w:rsidR="00B44509" w:rsidRPr="00B44509" w:rsidRDefault="00B44509" w:rsidP="00D3381C">
      <w:pPr>
        <w:jc w:val="both"/>
        <w:rPr>
          <w:rFonts w:cs="Arial"/>
          <w:b/>
          <w:lang w:val="pt-BR"/>
        </w:rPr>
      </w:pPr>
    </w:p>
    <w:p w14:paraId="2751933F" w14:textId="0CB616D7" w:rsidR="00B44509" w:rsidRPr="00B44509" w:rsidRDefault="007D128C" w:rsidP="00B44509">
      <w:pPr>
        <w:pStyle w:val="Prrafodelista"/>
        <w:numPr>
          <w:ilvl w:val="1"/>
          <w:numId w:val="29"/>
        </w:numPr>
        <w:spacing w:after="5" w:line="249" w:lineRule="auto"/>
        <w:contextualSpacing/>
        <w:jc w:val="both"/>
        <w:rPr>
          <w:rFonts w:cs="Arial"/>
          <w:b/>
          <w:szCs w:val="24"/>
          <w:lang w:val="pt-BR"/>
        </w:rPr>
      </w:pPr>
      <w:r>
        <w:rPr>
          <w:rFonts w:cs="Arial"/>
          <w:b/>
          <w:szCs w:val="24"/>
          <w:lang w:val="pt-BR"/>
        </w:rPr>
        <w:t>T</w:t>
      </w:r>
      <w:r w:rsidR="00B44509" w:rsidRPr="00B44509">
        <w:rPr>
          <w:rFonts w:cs="Arial"/>
          <w:b/>
          <w:szCs w:val="24"/>
          <w:lang w:val="pt-BR"/>
        </w:rPr>
        <w:t>abelas de correlação da NCM 2017- NCM 2022 e NCM 2022- NCM 2017</w:t>
      </w:r>
    </w:p>
    <w:p w14:paraId="455CE250" w14:textId="77777777" w:rsidR="00B44509" w:rsidRDefault="00B44509" w:rsidP="00B44509">
      <w:pPr>
        <w:jc w:val="both"/>
        <w:rPr>
          <w:rFonts w:asciiTheme="minorHAnsi" w:hAnsiTheme="minorHAnsi" w:cstheme="minorHAnsi"/>
          <w:bCs/>
          <w:lang w:val="pt-BR"/>
        </w:rPr>
      </w:pPr>
    </w:p>
    <w:p w14:paraId="6FC85C15" w14:textId="4A65FB0C" w:rsidR="00B44509" w:rsidRPr="00B44509" w:rsidRDefault="00B44509" w:rsidP="00B44509">
      <w:pPr>
        <w:jc w:val="both"/>
        <w:rPr>
          <w:rFonts w:cs="Arial"/>
          <w:bCs/>
          <w:lang w:val="pt-BR"/>
        </w:rPr>
      </w:pPr>
      <w:r w:rsidRPr="00B44509">
        <w:rPr>
          <w:rFonts w:cs="Arial"/>
          <w:bCs/>
          <w:lang w:val="pt-BR"/>
        </w:rPr>
        <w:t>Tendo em vista que a subposição do Sistema Harmonizado atual 3002.19 é vazia, isto é, não compreende nenhuma mercadoria, ela está sendo suprimida na VII Emenda do SH. Entretanto, para evitar possíveis questionamentos da inexistência de correlação para o código NCM 3002.19.00, que foi suprimido, os Técnicos em Nomenclatura acrescentaram o código em questão nas tabelas de correlação com o pertinente esclarecimento.</w:t>
      </w:r>
    </w:p>
    <w:p w14:paraId="74818A30" w14:textId="77777777" w:rsidR="00B44509" w:rsidRPr="00B44509" w:rsidRDefault="00B44509" w:rsidP="00B44509">
      <w:pPr>
        <w:jc w:val="both"/>
        <w:rPr>
          <w:rFonts w:cs="Arial"/>
          <w:bCs/>
          <w:lang w:val="pt-BR"/>
        </w:rPr>
      </w:pPr>
    </w:p>
    <w:p w14:paraId="289F3752" w14:textId="77777777" w:rsidR="00B44509" w:rsidRPr="00B44509" w:rsidRDefault="00B44509" w:rsidP="00A73711">
      <w:pPr>
        <w:jc w:val="both"/>
        <w:rPr>
          <w:rFonts w:cs="Arial"/>
          <w:bCs/>
          <w:lang w:val="pt-BR"/>
        </w:rPr>
      </w:pPr>
      <w:r w:rsidRPr="00B44509">
        <w:rPr>
          <w:rFonts w:cs="Arial"/>
          <w:bCs/>
          <w:lang w:val="pt-BR"/>
        </w:rPr>
        <w:t xml:space="preserve">As tabelas de correlação revisadas, que constam no </w:t>
      </w:r>
      <w:r w:rsidRPr="00B44509">
        <w:rPr>
          <w:rFonts w:cs="Arial"/>
          <w:b/>
          <w:lang w:val="pt-BR"/>
        </w:rPr>
        <w:t>ANEXO IX (RESERVADO)</w:t>
      </w:r>
      <w:r w:rsidRPr="00B44509">
        <w:rPr>
          <w:rFonts w:cs="Arial"/>
          <w:bCs/>
          <w:lang w:val="pt-BR"/>
        </w:rPr>
        <w:t>, substituem as que constam no ANEXO IX da Ata Nº 04/21.</w:t>
      </w:r>
    </w:p>
    <w:p w14:paraId="2C4F80BD" w14:textId="076D4B36" w:rsidR="00A56377" w:rsidRDefault="00A56377" w:rsidP="00A73711">
      <w:pPr>
        <w:jc w:val="both"/>
        <w:rPr>
          <w:rFonts w:cs="Arial"/>
          <w:bCs/>
          <w:color w:val="FF0000"/>
          <w:szCs w:val="24"/>
          <w:lang w:val="pt-BR"/>
        </w:rPr>
      </w:pPr>
    </w:p>
    <w:p w14:paraId="06EB1C74" w14:textId="77777777" w:rsidR="008F13F0" w:rsidRPr="00B44509" w:rsidRDefault="008F13F0" w:rsidP="00A73711">
      <w:pPr>
        <w:jc w:val="both"/>
        <w:rPr>
          <w:rFonts w:cs="Arial"/>
          <w:bCs/>
          <w:color w:val="FF0000"/>
          <w:szCs w:val="24"/>
          <w:lang w:val="pt-BR"/>
        </w:rPr>
      </w:pPr>
    </w:p>
    <w:p w14:paraId="36A809A1" w14:textId="42FEEDA2" w:rsidR="00B22F47" w:rsidRDefault="00333106" w:rsidP="00A73711">
      <w:pPr>
        <w:pStyle w:val="Textoindependiente"/>
        <w:numPr>
          <w:ilvl w:val="0"/>
          <w:numId w:val="29"/>
        </w:numPr>
        <w:tabs>
          <w:tab w:val="left" w:pos="284"/>
        </w:tabs>
        <w:spacing w:line="300" w:lineRule="exact"/>
        <w:rPr>
          <w:rFonts w:cs="Arial"/>
          <w:b/>
          <w:color w:val="000000" w:themeColor="text1"/>
          <w:szCs w:val="24"/>
          <w:lang w:val="pt-BR"/>
        </w:rPr>
      </w:pPr>
      <w:r w:rsidRPr="00B22F47">
        <w:rPr>
          <w:rFonts w:cs="Arial"/>
          <w:b/>
          <w:color w:val="000000" w:themeColor="text1"/>
          <w:szCs w:val="24"/>
          <w:lang w:val="pt-BR"/>
        </w:rPr>
        <w:t>PRÓXIMA REUNI</w:t>
      </w:r>
      <w:r w:rsidR="00A56377" w:rsidRPr="00B22F47">
        <w:rPr>
          <w:rFonts w:cs="Arial"/>
          <w:b/>
          <w:color w:val="000000" w:themeColor="text1"/>
          <w:szCs w:val="24"/>
          <w:lang w:val="pt-BR"/>
        </w:rPr>
        <w:t>Ã</w:t>
      </w:r>
      <w:r w:rsidR="00B22F47" w:rsidRPr="00B22F47">
        <w:rPr>
          <w:rFonts w:cs="Arial"/>
          <w:b/>
          <w:color w:val="000000" w:themeColor="text1"/>
          <w:szCs w:val="24"/>
          <w:lang w:val="pt-BR"/>
        </w:rPr>
        <w:t>O</w:t>
      </w:r>
    </w:p>
    <w:p w14:paraId="2A02A84A" w14:textId="77777777" w:rsidR="00A73711" w:rsidRPr="00B22F47" w:rsidRDefault="00A73711" w:rsidP="00A73711">
      <w:pPr>
        <w:pStyle w:val="Textoindependiente"/>
        <w:tabs>
          <w:tab w:val="left" w:pos="284"/>
        </w:tabs>
        <w:spacing w:line="300" w:lineRule="exact"/>
        <w:ind w:left="390"/>
        <w:rPr>
          <w:rFonts w:cs="Arial"/>
          <w:b/>
          <w:color w:val="000000" w:themeColor="text1"/>
          <w:szCs w:val="24"/>
          <w:lang w:val="pt-BR"/>
        </w:rPr>
      </w:pPr>
    </w:p>
    <w:p w14:paraId="467C8FB5" w14:textId="00A751F3" w:rsidR="00B22F47" w:rsidRPr="00D645DC" w:rsidRDefault="00B22F47" w:rsidP="00A73711">
      <w:pPr>
        <w:tabs>
          <w:tab w:val="left" w:pos="426"/>
        </w:tabs>
        <w:spacing w:line="300" w:lineRule="exact"/>
        <w:jc w:val="both"/>
        <w:rPr>
          <w:rFonts w:cs="Arial"/>
          <w:color w:val="000000" w:themeColor="text1"/>
          <w:szCs w:val="24"/>
          <w:lang w:val="pt-BR"/>
        </w:rPr>
      </w:pPr>
      <w:r w:rsidRPr="00F6669D">
        <w:rPr>
          <w:rFonts w:cs="Arial"/>
          <w:color w:val="000000" w:themeColor="text1"/>
          <w:szCs w:val="24"/>
          <w:lang w:val="pt-BR"/>
        </w:rPr>
        <w:t xml:space="preserve">A data da próxima reunião ordinária do Comitê será </w:t>
      </w:r>
      <w:r>
        <w:rPr>
          <w:rFonts w:cs="Arial"/>
          <w:color w:val="000000" w:themeColor="text1"/>
          <w:szCs w:val="24"/>
          <w:lang w:val="pt-BR"/>
        </w:rPr>
        <w:t>de 22 a 26 de novembro de 202</w:t>
      </w:r>
      <w:r w:rsidR="007237FE">
        <w:rPr>
          <w:rFonts w:cs="Arial"/>
          <w:color w:val="000000" w:themeColor="text1"/>
          <w:szCs w:val="24"/>
          <w:lang w:val="pt-BR"/>
        </w:rPr>
        <w:t>1</w:t>
      </w:r>
      <w:r>
        <w:rPr>
          <w:rFonts w:cs="Arial"/>
          <w:color w:val="000000" w:themeColor="text1"/>
          <w:szCs w:val="24"/>
          <w:lang w:val="pt-BR"/>
        </w:rPr>
        <w:t>.</w:t>
      </w:r>
    </w:p>
    <w:p w14:paraId="6DF6C91C" w14:textId="77777777" w:rsidR="008F13F0" w:rsidRDefault="008F13F0" w:rsidP="00A73711">
      <w:pPr>
        <w:pStyle w:val="Textoindependiente"/>
        <w:spacing w:line="300" w:lineRule="exact"/>
        <w:rPr>
          <w:rFonts w:cs="Arial"/>
          <w:b/>
          <w:color w:val="auto"/>
          <w:szCs w:val="24"/>
          <w:u w:val="single"/>
          <w:lang w:val="pt-BR"/>
        </w:rPr>
      </w:pPr>
    </w:p>
    <w:p w14:paraId="7E370C4F" w14:textId="77777777" w:rsidR="008F13F0" w:rsidRDefault="008F13F0" w:rsidP="00A73711">
      <w:pPr>
        <w:pStyle w:val="Textoindependiente"/>
        <w:spacing w:line="300" w:lineRule="exact"/>
        <w:rPr>
          <w:rFonts w:cs="Arial"/>
          <w:b/>
          <w:color w:val="auto"/>
          <w:szCs w:val="24"/>
          <w:u w:val="single"/>
          <w:lang w:val="pt-BR"/>
        </w:rPr>
      </w:pPr>
    </w:p>
    <w:p w14:paraId="00AF66C4" w14:textId="2F8E3940" w:rsidR="00B44509" w:rsidRPr="008F13F0" w:rsidRDefault="008F13F0" w:rsidP="00A73711">
      <w:pPr>
        <w:pStyle w:val="Textoindependiente"/>
        <w:spacing w:line="300" w:lineRule="exact"/>
        <w:rPr>
          <w:rFonts w:cs="Arial"/>
          <w:b/>
          <w:color w:val="auto"/>
          <w:szCs w:val="24"/>
          <w:lang w:val="pt-BR"/>
        </w:rPr>
      </w:pPr>
      <w:r w:rsidRPr="008F13F0">
        <w:rPr>
          <w:rFonts w:cs="Arial"/>
          <w:b/>
          <w:color w:val="auto"/>
          <w:szCs w:val="24"/>
          <w:lang w:val="pt-BR"/>
        </w:rPr>
        <w:t>LISTA DE ANEXOS</w:t>
      </w:r>
    </w:p>
    <w:p w14:paraId="1BF90DAA" w14:textId="77777777" w:rsidR="00AA50FF" w:rsidRDefault="00AA50FF" w:rsidP="00A73711">
      <w:pPr>
        <w:pStyle w:val="Textoindependiente"/>
        <w:spacing w:line="300" w:lineRule="exact"/>
        <w:jc w:val="center"/>
        <w:rPr>
          <w:rFonts w:cs="Arial"/>
          <w:b/>
          <w:color w:val="auto"/>
          <w:szCs w:val="24"/>
          <w:u w:val="single"/>
          <w:lang w:val="pt-BR"/>
        </w:rPr>
      </w:pPr>
    </w:p>
    <w:p w14:paraId="4FCBBADE" w14:textId="51C4A9B5" w:rsidR="00333106" w:rsidRPr="008F13F0" w:rsidRDefault="002C123D" w:rsidP="00A73711">
      <w:pPr>
        <w:pStyle w:val="Textoindependiente"/>
        <w:tabs>
          <w:tab w:val="left" w:pos="1701"/>
        </w:tabs>
        <w:ind w:left="1701" w:hanging="1701"/>
        <w:jc w:val="left"/>
        <w:rPr>
          <w:rFonts w:cs="Arial"/>
          <w:color w:val="auto"/>
          <w:szCs w:val="24"/>
          <w:lang w:val="pt-BR"/>
        </w:rPr>
      </w:pPr>
      <w:r w:rsidRPr="008F13F0">
        <w:rPr>
          <w:rFonts w:cs="Arial"/>
          <w:b/>
          <w:color w:val="auto"/>
          <w:szCs w:val="24"/>
          <w:lang w:val="pt-BR"/>
        </w:rPr>
        <w:t>ANEXO</w:t>
      </w:r>
      <w:r w:rsidR="00333106" w:rsidRPr="008F13F0">
        <w:rPr>
          <w:rFonts w:cs="Arial"/>
          <w:b/>
          <w:color w:val="auto"/>
          <w:szCs w:val="24"/>
          <w:lang w:val="pt-BR"/>
        </w:rPr>
        <w:t xml:space="preserve"> I:</w:t>
      </w:r>
      <w:r w:rsidR="00333106" w:rsidRPr="008F13F0">
        <w:rPr>
          <w:rFonts w:cs="Arial"/>
          <w:color w:val="auto"/>
          <w:szCs w:val="24"/>
          <w:lang w:val="pt-BR"/>
        </w:rPr>
        <w:tab/>
        <w:t>Lista de Participantes – S</w:t>
      </w:r>
      <w:r w:rsidR="00C259CC" w:rsidRPr="008F13F0">
        <w:rPr>
          <w:rFonts w:cs="Arial"/>
          <w:color w:val="auto"/>
          <w:szCs w:val="24"/>
          <w:lang w:val="pt-BR"/>
        </w:rPr>
        <w:t>u</w:t>
      </w:r>
      <w:r w:rsidR="00333106" w:rsidRPr="008F13F0">
        <w:rPr>
          <w:rFonts w:cs="Arial"/>
          <w:color w:val="auto"/>
          <w:szCs w:val="24"/>
          <w:lang w:val="pt-BR"/>
        </w:rPr>
        <w:t>porte digital</w:t>
      </w:r>
    </w:p>
    <w:p w14:paraId="55CCC039" w14:textId="48C2418B" w:rsidR="00333106" w:rsidRPr="008F13F0" w:rsidRDefault="002C123D" w:rsidP="00957181">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t>ANEXO</w:t>
      </w:r>
      <w:r w:rsidR="00333106" w:rsidRPr="008F13F0">
        <w:rPr>
          <w:rFonts w:cs="Arial"/>
          <w:b/>
          <w:color w:val="auto"/>
          <w:szCs w:val="24"/>
          <w:lang w:val="pt-BR"/>
        </w:rPr>
        <w:t xml:space="preserve"> II:</w:t>
      </w:r>
      <w:r w:rsidR="00333106" w:rsidRPr="008F13F0">
        <w:rPr>
          <w:rFonts w:cs="Arial"/>
          <w:color w:val="auto"/>
          <w:szCs w:val="24"/>
          <w:lang w:val="pt-BR"/>
        </w:rPr>
        <w:tab/>
        <w:t>Agenda – S</w:t>
      </w:r>
      <w:r w:rsidR="00C259CC" w:rsidRPr="008F13F0">
        <w:rPr>
          <w:rFonts w:cs="Arial"/>
          <w:color w:val="auto"/>
          <w:szCs w:val="24"/>
          <w:lang w:val="pt-BR"/>
        </w:rPr>
        <w:t>u</w:t>
      </w:r>
      <w:r w:rsidR="00333106" w:rsidRPr="008F13F0">
        <w:rPr>
          <w:rFonts w:cs="Arial"/>
          <w:color w:val="auto"/>
          <w:szCs w:val="24"/>
          <w:lang w:val="pt-BR"/>
        </w:rPr>
        <w:t>porte digital</w:t>
      </w:r>
    </w:p>
    <w:p w14:paraId="2AF721ED" w14:textId="782E2B50" w:rsidR="00333106" w:rsidRPr="008F13F0" w:rsidRDefault="002C123D" w:rsidP="00957181">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lastRenderedPageBreak/>
        <w:t>ANEXO</w:t>
      </w:r>
      <w:r w:rsidR="00333106" w:rsidRPr="008F13F0">
        <w:rPr>
          <w:rFonts w:cs="Arial"/>
          <w:b/>
          <w:color w:val="auto"/>
          <w:szCs w:val="24"/>
          <w:lang w:val="pt-BR"/>
        </w:rPr>
        <w:t xml:space="preserve"> III:</w:t>
      </w:r>
      <w:r w:rsidR="00333106" w:rsidRPr="008F13F0">
        <w:rPr>
          <w:rFonts w:cs="Arial"/>
          <w:color w:val="auto"/>
          <w:szCs w:val="24"/>
          <w:lang w:val="pt-BR"/>
        </w:rPr>
        <w:tab/>
        <w:t>Resu</w:t>
      </w:r>
      <w:r w:rsidR="00C259CC" w:rsidRPr="008F13F0">
        <w:rPr>
          <w:rFonts w:cs="Arial"/>
          <w:color w:val="auto"/>
          <w:szCs w:val="24"/>
          <w:lang w:val="pt-BR"/>
        </w:rPr>
        <w:t xml:space="preserve">mo </w:t>
      </w:r>
      <w:r w:rsidR="00333106" w:rsidRPr="008F13F0">
        <w:rPr>
          <w:rFonts w:cs="Arial"/>
          <w:color w:val="auto"/>
          <w:szCs w:val="24"/>
          <w:lang w:val="pt-BR"/>
        </w:rPr>
        <w:t>d</w:t>
      </w:r>
      <w:r w:rsidR="00C259CC" w:rsidRPr="008F13F0">
        <w:rPr>
          <w:rFonts w:cs="Arial"/>
          <w:color w:val="auto"/>
          <w:szCs w:val="24"/>
          <w:lang w:val="pt-BR"/>
        </w:rPr>
        <w:t>a</w:t>
      </w:r>
      <w:r w:rsidR="00333106" w:rsidRPr="008F13F0">
        <w:rPr>
          <w:rFonts w:cs="Arial"/>
          <w:color w:val="auto"/>
          <w:szCs w:val="24"/>
          <w:lang w:val="pt-BR"/>
        </w:rPr>
        <w:t xml:space="preserve"> Ata – S</w:t>
      </w:r>
      <w:r w:rsidR="00C259CC" w:rsidRPr="008F13F0">
        <w:rPr>
          <w:rFonts w:cs="Arial"/>
          <w:color w:val="auto"/>
          <w:szCs w:val="24"/>
          <w:lang w:val="pt-BR"/>
        </w:rPr>
        <w:t>u</w:t>
      </w:r>
      <w:r w:rsidR="00333106" w:rsidRPr="008F13F0">
        <w:rPr>
          <w:rFonts w:cs="Arial"/>
          <w:color w:val="auto"/>
          <w:szCs w:val="24"/>
          <w:lang w:val="pt-BR"/>
        </w:rPr>
        <w:t>porte digital</w:t>
      </w:r>
    </w:p>
    <w:p w14:paraId="65DD450E" w14:textId="7384DB59" w:rsidR="00333106" w:rsidRPr="008F13F0" w:rsidRDefault="002C123D" w:rsidP="00957181">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t>ANEXO</w:t>
      </w:r>
      <w:r w:rsidR="00333106" w:rsidRPr="008F13F0">
        <w:rPr>
          <w:rFonts w:cs="Arial"/>
          <w:b/>
          <w:color w:val="auto"/>
          <w:szCs w:val="24"/>
          <w:lang w:val="pt-BR"/>
        </w:rPr>
        <w:t xml:space="preserve"> IV:</w:t>
      </w:r>
      <w:r w:rsidR="00333106" w:rsidRPr="008F13F0">
        <w:rPr>
          <w:rFonts w:cs="Arial"/>
          <w:color w:val="auto"/>
          <w:szCs w:val="24"/>
          <w:lang w:val="pt-BR"/>
        </w:rPr>
        <w:tab/>
        <w:t>Pro</w:t>
      </w:r>
      <w:r w:rsidR="00C259CC" w:rsidRPr="008F13F0">
        <w:rPr>
          <w:rFonts w:cs="Arial"/>
          <w:color w:val="auto"/>
          <w:szCs w:val="24"/>
          <w:lang w:val="pt-BR"/>
        </w:rPr>
        <w:t xml:space="preserve">jetos </w:t>
      </w:r>
      <w:r w:rsidR="00333106" w:rsidRPr="008F13F0">
        <w:rPr>
          <w:rFonts w:cs="Arial"/>
          <w:color w:val="auto"/>
          <w:szCs w:val="24"/>
          <w:lang w:val="pt-BR"/>
        </w:rPr>
        <w:t>de Normas</w:t>
      </w:r>
    </w:p>
    <w:p w14:paraId="74AF209F" w14:textId="03159517" w:rsidR="00333106" w:rsidRPr="008F13F0" w:rsidRDefault="002C123D" w:rsidP="00957181">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t>ANEXO</w:t>
      </w:r>
      <w:r w:rsidR="00333106" w:rsidRPr="008F13F0">
        <w:rPr>
          <w:rFonts w:cs="Arial"/>
          <w:b/>
          <w:color w:val="auto"/>
          <w:szCs w:val="24"/>
          <w:lang w:val="pt-BR"/>
        </w:rPr>
        <w:t xml:space="preserve"> V:</w:t>
      </w:r>
      <w:r w:rsidR="00333106" w:rsidRPr="008F13F0">
        <w:rPr>
          <w:rFonts w:cs="Arial"/>
          <w:color w:val="auto"/>
          <w:szCs w:val="24"/>
          <w:lang w:val="pt-BR"/>
        </w:rPr>
        <w:tab/>
      </w:r>
      <w:r w:rsidR="00C259CC" w:rsidRPr="008F13F0">
        <w:rPr>
          <w:rFonts w:cs="Arial"/>
          <w:color w:val="auto"/>
          <w:szCs w:val="24"/>
          <w:lang w:val="pt-BR"/>
        </w:rPr>
        <w:t>Quadro</w:t>
      </w:r>
      <w:r w:rsidR="00333106" w:rsidRPr="008F13F0">
        <w:rPr>
          <w:rFonts w:cs="Arial"/>
          <w:color w:val="auto"/>
          <w:szCs w:val="24"/>
          <w:lang w:val="pt-BR"/>
        </w:rPr>
        <w:t xml:space="preserve"> Consolidado – S</w:t>
      </w:r>
      <w:r w:rsidR="00C259CC" w:rsidRPr="008F13F0">
        <w:rPr>
          <w:rFonts w:cs="Arial"/>
          <w:color w:val="auto"/>
          <w:szCs w:val="24"/>
          <w:lang w:val="pt-BR"/>
        </w:rPr>
        <w:t>u</w:t>
      </w:r>
      <w:r w:rsidR="00333106" w:rsidRPr="008F13F0">
        <w:rPr>
          <w:rFonts w:cs="Arial"/>
          <w:color w:val="auto"/>
          <w:szCs w:val="24"/>
          <w:lang w:val="pt-BR"/>
        </w:rPr>
        <w:t>porte digital</w:t>
      </w:r>
    </w:p>
    <w:p w14:paraId="202F54D6" w14:textId="1816BD1F" w:rsidR="00333106" w:rsidRPr="008F13F0" w:rsidRDefault="002C123D" w:rsidP="00A3629D">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t>ANEXO</w:t>
      </w:r>
      <w:r w:rsidR="00333106" w:rsidRPr="008F13F0">
        <w:rPr>
          <w:rFonts w:cs="Arial"/>
          <w:b/>
          <w:color w:val="auto"/>
          <w:szCs w:val="24"/>
          <w:lang w:val="pt-BR"/>
        </w:rPr>
        <w:t xml:space="preserve"> VI:</w:t>
      </w:r>
      <w:r w:rsidR="00333106" w:rsidRPr="008F13F0">
        <w:rPr>
          <w:rFonts w:cs="Arial"/>
          <w:color w:val="auto"/>
          <w:szCs w:val="24"/>
          <w:lang w:val="pt-BR"/>
        </w:rPr>
        <w:tab/>
        <w:t>Casos N</w:t>
      </w:r>
      <w:r w:rsidR="0081381C" w:rsidRPr="008F13F0">
        <w:rPr>
          <w:rFonts w:cs="Arial"/>
          <w:color w:val="auto"/>
          <w:szCs w:val="24"/>
          <w:lang w:val="pt-BR"/>
        </w:rPr>
        <w:t>o</w:t>
      </w:r>
      <w:r w:rsidR="00333106" w:rsidRPr="008F13F0">
        <w:rPr>
          <w:rFonts w:cs="Arial"/>
          <w:color w:val="auto"/>
          <w:szCs w:val="24"/>
          <w:lang w:val="pt-BR"/>
        </w:rPr>
        <w:t>vos</w:t>
      </w:r>
      <w:r w:rsidR="00C02892" w:rsidRPr="008F13F0">
        <w:rPr>
          <w:rFonts w:cs="Arial"/>
          <w:color w:val="auto"/>
          <w:szCs w:val="24"/>
          <w:lang w:val="pt-BR"/>
        </w:rPr>
        <w:t xml:space="preserve"> (</w:t>
      </w:r>
      <w:r w:rsidR="00C02892" w:rsidRPr="008F13F0">
        <w:rPr>
          <w:rFonts w:cs="Arial"/>
          <w:b/>
          <w:color w:val="auto"/>
          <w:szCs w:val="24"/>
          <w:lang w:val="pt-BR"/>
        </w:rPr>
        <w:t>RESERVADO</w:t>
      </w:r>
      <w:r w:rsidR="00C02892" w:rsidRPr="008F13F0">
        <w:rPr>
          <w:rFonts w:cs="Arial"/>
          <w:color w:val="auto"/>
          <w:szCs w:val="24"/>
          <w:lang w:val="pt-BR"/>
        </w:rPr>
        <w:t>)</w:t>
      </w:r>
    </w:p>
    <w:p w14:paraId="3B62039C" w14:textId="262A447D" w:rsidR="00A3629D" w:rsidRPr="008F13F0" w:rsidRDefault="00A3629D" w:rsidP="00A3629D">
      <w:pPr>
        <w:pStyle w:val="Textoindependiente"/>
        <w:tabs>
          <w:tab w:val="left" w:pos="1701"/>
        </w:tabs>
        <w:spacing w:before="120" w:after="240"/>
        <w:ind w:left="1701" w:hanging="1701"/>
        <w:jc w:val="left"/>
        <w:rPr>
          <w:rFonts w:cs="Arial"/>
          <w:color w:val="auto"/>
          <w:szCs w:val="24"/>
          <w:lang w:val="pt-BR"/>
        </w:rPr>
      </w:pPr>
      <w:r w:rsidRPr="008F13F0">
        <w:rPr>
          <w:rFonts w:cs="Arial"/>
          <w:b/>
          <w:bCs/>
          <w:color w:val="auto"/>
          <w:szCs w:val="24"/>
          <w:lang w:val="pt-BR"/>
        </w:rPr>
        <w:t>ANEXO VII:</w:t>
      </w:r>
      <w:r w:rsidRPr="008F13F0">
        <w:rPr>
          <w:rFonts w:cs="Arial"/>
          <w:color w:val="auto"/>
          <w:szCs w:val="24"/>
          <w:lang w:val="pt-BR"/>
        </w:rPr>
        <w:t xml:space="preserve">       Informações Adicionais (</w:t>
      </w:r>
      <w:r w:rsidRPr="008F13F0">
        <w:rPr>
          <w:rFonts w:cs="Arial"/>
          <w:b/>
          <w:color w:val="auto"/>
          <w:szCs w:val="24"/>
          <w:lang w:val="pt-BR"/>
        </w:rPr>
        <w:t>RESERVADO</w:t>
      </w:r>
      <w:r w:rsidRPr="008F13F0">
        <w:rPr>
          <w:rFonts w:cs="Arial"/>
          <w:color w:val="auto"/>
          <w:szCs w:val="24"/>
          <w:lang w:val="pt-BR"/>
        </w:rPr>
        <w:t>)</w:t>
      </w:r>
    </w:p>
    <w:p w14:paraId="3E922AB7" w14:textId="5BC8F619" w:rsidR="00B44509" w:rsidRPr="008F13F0" w:rsidRDefault="00B44509" w:rsidP="00A3629D">
      <w:pPr>
        <w:pStyle w:val="Textoindependiente"/>
        <w:tabs>
          <w:tab w:val="left" w:pos="1701"/>
        </w:tabs>
        <w:spacing w:before="120" w:after="240"/>
        <w:ind w:left="1701" w:hanging="1701"/>
        <w:jc w:val="left"/>
        <w:rPr>
          <w:rFonts w:cs="Arial"/>
          <w:color w:val="auto"/>
          <w:szCs w:val="24"/>
          <w:lang w:val="pt-BR"/>
        </w:rPr>
      </w:pPr>
      <w:r w:rsidRPr="008F13F0">
        <w:rPr>
          <w:rFonts w:cs="Arial"/>
          <w:b/>
          <w:bCs/>
          <w:color w:val="auto"/>
          <w:szCs w:val="24"/>
          <w:lang w:val="pt-BR"/>
        </w:rPr>
        <w:t xml:space="preserve">ANEXO VIII:      </w:t>
      </w:r>
      <w:r w:rsidRPr="008F13F0">
        <w:rPr>
          <w:rFonts w:cs="Arial"/>
          <w:color w:val="auto"/>
          <w:szCs w:val="24"/>
          <w:lang w:val="pt-BR"/>
        </w:rPr>
        <w:t xml:space="preserve">Propostas de Nomenclatura </w:t>
      </w:r>
    </w:p>
    <w:p w14:paraId="4796059B" w14:textId="7F28B9DF" w:rsidR="00B44509" w:rsidRPr="008F13F0" w:rsidRDefault="00B44509" w:rsidP="00A3629D">
      <w:pPr>
        <w:pStyle w:val="Textoindependiente"/>
        <w:tabs>
          <w:tab w:val="left" w:pos="1701"/>
        </w:tabs>
        <w:spacing w:before="120" w:after="240"/>
        <w:ind w:left="1701" w:hanging="1701"/>
        <w:jc w:val="left"/>
        <w:rPr>
          <w:rFonts w:cs="Arial"/>
          <w:color w:val="auto"/>
          <w:szCs w:val="24"/>
          <w:lang w:val="pt-BR"/>
        </w:rPr>
      </w:pPr>
      <w:r w:rsidRPr="008F13F0">
        <w:rPr>
          <w:rFonts w:cs="Arial"/>
          <w:b/>
          <w:bCs/>
          <w:color w:val="auto"/>
          <w:szCs w:val="24"/>
          <w:lang w:val="pt-BR"/>
        </w:rPr>
        <w:t xml:space="preserve">Anexo IX:          </w:t>
      </w:r>
      <w:r w:rsidRPr="008F13F0">
        <w:rPr>
          <w:rFonts w:cs="Arial"/>
          <w:color w:val="auto"/>
          <w:szCs w:val="24"/>
          <w:lang w:val="pt-BR"/>
        </w:rPr>
        <w:t xml:space="preserve">VII Emenda do Sistema Harmonizado </w:t>
      </w:r>
      <w:r w:rsidRPr="008F13F0">
        <w:rPr>
          <w:rFonts w:cs="Arial"/>
          <w:b/>
          <w:bCs/>
          <w:color w:val="auto"/>
          <w:szCs w:val="24"/>
          <w:lang w:val="pt-BR"/>
        </w:rPr>
        <w:t>(RESERVADO)</w:t>
      </w:r>
    </w:p>
    <w:p w14:paraId="52D65E46" w14:textId="6FB8B444" w:rsidR="00333106" w:rsidRPr="008F13F0" w:rsidRDefault="002C123D" w:rsidP="00957181">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t>ANEXO</w:t>
      </w:r>
      <w:r w:rsidR="00333106" w:rsidRPr="008F13F0">
        <w:rPr>
          <w:rFonts w:cs="Arial"/>
          <w:b/>
          <w:color w:val="auto"/>
          <w:szCs w:val="24"/>
          <w:lang w:val="pt-BR"/>
        </w:rPr>
        <w:t xml:space="preserve"> X:</w:t>
      </w:r>
      <w:r w:rsidR="00333106" w:rsidRPr="008F13F0">
        <w:rPr>
          <w:rFonts w:cs="Arial"/>
          <w:b/>
          <w:color w:val="auto"/>
          <w:szCs w:val="24"/>
          <w:lang w:val="pt-BR"/>
        </w:rPr>
        <w:tab/>
      </w:r>
      <w:r w:rsidR="00A3629D" w:rsidRPr="008F13F0">
        <w:rPr>
          <w:rFonts w:cs="Arial"/>
          <w:color w:val="auto"/>
          <w:szCs w:val="24"/>
          <w:lang w:val="pt-BR"/>
        </w:rPr>
        <w:t>Apresentação</w:t>
      </w:r>
      <w:r w:rsidR="00333106" w:rsidRPr="008F13F0">
        <w:rPr>
          <w:rFonts w:cs="Arial"/>
          <w:color w:val="auto"/>
          <w:szCs w:val="24"/>
          <w:lang w:val="pt-BR"/>
        </w:rPr>
        <w:t xml:space="preserve"> de Normas</w:t>
      </w:r>
      <w:r w:rsidR="006E3700" w:rsidRPr="008F13F0">
        <w:rPr>
          <w:rFonts w:cs="Arial"/>
          <w:color w:val="auto"/>
          <w:szCs w:val="24"/>
          <w:lang w:val="pt-BR"/>
        </w:rPr>
        <w:t xml:space="preserve"> </w:t>
      </w:r>
      <w:r w:rsidR="00333106" w:rsidRPr="008F13F0">
        <w:rPr>
          <w:rFonts w:cs="Arial"/>
          <w:color w:val="auto"/>
          <w:szCs w:val="24"/>
          <w:lang w:val="pt-BR"/>
        </w:rPr>
        <w:t>– S</w:t>
      </w:r>
      <w:r w:rsidR="006E3700" w:rsidRPr="008F13F0">
        <w:rPr>
          <w:rFonts w:cs="Arial"/>
          <w:color w:val="auto"/>
          <w:szCs w:val="24"/>
          <w:lang w:val="pt-BR"/>
        </w:rPr>
        <w:t>u</w:t>
      </w:r>
      <w:r w:rsidR="00333106" w:rsidRPr="008F13F0">
        <w:rPr>
          <w:rFonts w:cs="Arial"/>
          <w:color w:val="auto"/>
          <w:szCs w:val="24"/>
          <w:lang w:val="pt-BR"/>
        </w:rPr>
        <w:t>porte digital</w:t>
      </w:r>
    </w:p>
    <w:p w14:paraId="1BE88D6A" w14:textId="586F9101" w:rsidR="00B44509" w:rsidRPr="008F13F0" w:rsidRDefault="00B44509" w:rsidP="00B44509">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t>ANEXO XIII:</w:t>
      </w:r>
      <w:r w:rsidRPr="008F13F0">
        <w:rPr>
          <w:rFonts w:cs="Arial"/>
          <w:color w:val="auto"/>
          <w:szCs w:val="24"/>
          <w:lang w:val="pt-BR"/>
        </w:rPr>
        <w:t xml:space="preserve">     Ditame de Classificação </w:t>
      </w:r>
      <w:r w:rsidRPr="008F13F0">
        <w:rPr>
          <w:rFonts w:cs="Arial"/>
          <w:b/>
          <w:bCs/>
          <w:color w:val="auto"/>
          <w:szCs w:val="24"/>
          <w:lang w:val="pt-BR"/>
        </w:rPr>
        <w:t>(RESERVADO)</w:t>
      </w:r>
    </w:p>
    <w:p w14:paraId="04EB76AE" w14:textId="6205EB0A" w:rsidR="00333106" w:rsidRPr="008F13F0" w:rsidRDefault="002C123D" w:rsidP="00957181">
      <w:pPr>
        <w:pStyle w:val="Textoindependiente"/>
        <w:tabs>
          <w:tab w:val="left" w:pos="1701"/>
        </w:tabs>
        <w:spacing w:before="120" w:after="240"/>
        <w:ind w:left="1701" w:hanging="1701"/>
        <w:jc w:val="left"/>
        <w:rPr>
          <w:rFonts w:cs="Arial"/>
          <w:color w:val="auto"/>
          <w:szCs w:val="24"/>
          <w:lang w:val="pt-BR"/>
        </w:rPr>
      </w:pPr>
      <w:r w:rsidRPr="008F13F0">
        <w:rPr>
          <w:rFonts w:cs="Arial"/>
          <w:b/>
          <w:color w:val="auto"/>
          <w:szCs w:val="24"/>
          <w:lang w:val="pt-BR"/>
        </w:rPr>
        <w:t>ANEXO</w:t>
      </w:r>
      <w:r w:rsidR="00333106" w:rsidRPr="008F13F0">
        <w:rPr>
          <w:rFonts w:cs="Arial"/>
          <w:b/>
          <w:color w:val="auto"/>
          <w:szCs w:val="24"/>
          <w:lang w:val="pt-BR"/>
        </w:rPr>
        <w:t xml:space="preserve"> XV:</w:t>
      </w:r>
      <w:r w:rsidR="00333106" w:rsidRPr="008F13F0">
        <w:rPr>
          <w:rFonts w:cs="Arial"/>
          <w:color w:val="auto"/>
          <w:szCs w:val="24"/>
          <w:lang w:val="pt-BR"/>
        </w:rPr>
        <w:tab/>
        <w:t>O</w:t>
      </w:r>
      <w:r w:rsidR="00A3629D" w:rsidRPr="008F13F0">
        <w:rPr>
          <w:rFonts w:cs="Arial"/>
          <w:color w:val="auto"/>
          <w:szCs w:val="24"/>
          <w:lang w:val="pt-BR"/>
        </w:rPr>
        <w:t>utros</w:t>
      </w:r>
      <w:r w:rsidR="00333106" w:rsidRPr="008F13F0">
        <w:rPr>
          <w:rFonts w:cs="Arial"/>
          <w:color w:val="auto"/>
          <w:szCs w:val="24"/>
          <w:lang w:val="pt-BR"/>
        </w:rPr>
        <w:t xml:space="preserve"> – S</w:t>
      </w:r>
      <w:r w:rsidR="00A3629D" w:rsidRPr="008F13F0">
        <w:rPr>
          <w:rFonts w:cs="Arial"/>
          <w:color w:val="auto"/>
          <w:szCs w:val="24"/>
          <w:lang w:val="pt-BR"/>
        </w:rPr>
        <w:t>u</w:t>
      </w:r>
      <w:r w:rsidR="00333106" w:rsidRPr="008F13F0">
        <w:rPr>
          <w:rFonts w:cs="Arial"/>
          <w:color w:val="auto"/>
          <w:szCs w:val="24"/>
          <w:lang w:val="pt-BR"/>
        </w:rPr>
        <w:t>porte digital (</w:t>
      </w:r>
      <w:r w:rsidR="00333106" w:rsidRPr="008F13F0">
        <w:rPr>
          <w:rFonts w:cs="Arial"/>
          <w:b/>
          <w:color w:val="auto"/>
          <w:szCs w:val="24"/>
          <w:lang w:val="pt-BR"/>
        </w:rPr>
        <w:t>RESERVADO</w:t>
      </w:r>
      <w:r w:rsidR="00333106" w:rsidRPr="008F13F0">
        <w:rPr>
          <w:rFonts w:cs="Arial"/>
          <w:color w:val="auto"/>
          <w:szCs w:val="24"/>
          <w:lang w:val="pt-BR"/>
        </w:rPr>
        <w:t>)</w:t>
      </w:r>
    </w:p>
    <w:p w14:paraId="58349D1E" w14:textId="77777777" w:rsidR="00E26DBC" w:rsidRPr="006E3700" w:rsidRDefault="00E26DBC" w:rsidP="00333106">
      <w:pPr>
        <w:pStyle w:val="BodyText21"/>
        <w:widowControl/>
        <w:spacing w:after="240" w:line="300" w:lineRule="exact"/>
        <w:rPr>
          <w:rFonts w:cs="Arial"/>
          <w:szCs w:val="24"/>
          <w:lang w:val="pt-BR"/>
        </w:rPr>
      </w:pPr>
    </w:p>
    <w:tbl>
      <w:tblPr>
        <w:tblpPr w:leftFromText="141" w:rightFromText="141" w:vertAnchor="text" w:horzAnchor="margin" w:tblpY="9"/>
        <w:tblW w:w="0" w:type="auto"/>
        <w:tblLook w:val="01E0" w:firstRow="1" w:lastRow="1" w:firstColumn="1" w:lastColumn="1" w:noHBand="0" w:noVBand="0"/>
      </w:tblPr>
      <w:tblGrid>
        <w:gridCol w:w="4252"/>
        <w:gridCol w:w="4253"/>
      </w:tblGrid>
      <w:tr w:rsidR="00333106" w:rsidRPr="008F13F0" w14:paraId="3E514664" w14:textId="77777777" w:rsidTr="00A73711">
        <w:trPr>
          <w:trHeight w:val="1687"/>
        </w:trPr>
        <w:tc>
          <w:tcPr>
            <w:tcW w:w="4252" w:type="dxa"/>
            <w:vAlign w:val="center"/>
          </w:tcPr>
          <w:p w14:paraId="757C72AB" w14:textId="480D318F" w:rsidR="00333106" w:rsidRPr="00B047BC" w:rsidRDefault="00333106" w:rsidP="008F13F0">
            <w:pPr>
              <w:pStyle w:val="BodyText21"/>
              <w:widowControl/>
              <w:jc w:val="center"/>
              <w:rPr>
                <w:rFonts w:cs="Arial"/>
                <w:szCs w:val="24"/>
                <w:lang w:val="pt-BR"/>
              </w:rPr>
            </w:pPr>
            <w:r w:rsidRPr="00B047BC">
              <w:rPr>
                <w:rFonts w:cs="Arial"/>
                <w:szCs w:val="24"/>
                <w:lang w:val="pt-BR"/>
              </w:rPr>
              <w:t>________________________</w:t>
            </w:r>
          </w:p>
          <w:p w14:paraId="4248041B" w14:textId="06E0D870" w:rsidR="00333106" w:rsidRPr="00A3629D" w:rsidRDefault="00A3629D" w:rsidP="008F13F0">
            <w:pPr>
              <w:pStyle w:val="BodyText21"/>
              <w:widowControl/>
              <w:jc w:val="center"/>
              <w:rPr>
                <w:rFonts w:cs="Arial"/>
                <w:szCs w:val="24"/>
                <w:lang w:val="pt-BR"/>
              </w:rPr>
            </w:pPr>
            <w:r w:rsidRPr="00A3629D">
              <w:rPr>
                <w:rFonts w:cs="Arial"/>
                <w:szCs w:val="24"/>
                <w:lang w:val="pt-BR"/>
              </w:rPr>
              <w:t xml:space="preserve">Pela </w:t>
            </w:r>
            <w:r w:rsidR="000A3497">
              <w:rPr>
                <w:rFonts w:cs="Arial"/>
                <w:szCs w:val="24"/>
                <w:lang w:val="pt-BR"/>
              </w:rPr>
              <w:t>d</w:t>
            </w:r>
            <w:r w:rsidRPr="00A3629D">
              <w:rPr>
                <w:rFonts w:cs="Arial"/>
                <w:szCs w:val="24"/>
                <w:lang w:val="pt-BR"/>
              </w:rPr>
              <w:t>elegação da</w:t>
            </w:r>
            <w:r w:rsidR="00333106" w:rsidRPr="00A3629D">
              <w:rPr>
                <w:rFonts w:cs="Arial"/>
                <w:szCs w:val="24"/>
                <w:lang w:val="pt-BR"/>
              </w:rPr>
              <w:t xml:space="preserve"> Argentina</w:t>
            </w:r>
            <w:r w:rsidR="00957181" w:rsidRPr="00A3629D">
              <w:rPr>
                <w:rFonts w:cs="Arial"/>
                <w:szCs w:val="24"/>
                <w:lang w:val="pt-BR"/>
              </w:rPr>
              <w:br/>
            </w:r>
            <w:r w:rsidR="00333106" w:rsidRPr="00A3629D">
              <w:rPr>
                <w:rFonts w:cs="Arial"/>
                <w:b/>
                <w:szCs w:val="24"/>
                <w:lang w:val="pt-BR"/>
              </w:rPr>
              <w:t>Pedro E</w:t>
            </w:r>
            <w:r w:rsidR="00957181" w:rsidRPr="00A3629D">
              <w:rPr>
                <w:rFonts w:cs="Arial"/>
                <w:b/>
                <w:szCs w:val="24"/>
                <w:lang w:val="pt-BR"/>
              </w:rPr>
              <w:t>steban</w:t>
            </w:r>
            <w:r w:rsidR="00333106" w:rsidRPr="00A3629D">
              <w:rPr>
                <w:rFonts w:cs="Arial"/>
                <w:b/>
                <w:szCs w:val="24"/>
                <w:lang w:val="pt-BR"/>
              </w:rPr>
              <w:t xml:space="preserve"> Lucena</w:t>
            </w:r>
          </w:p>
        </w:tc>
        <w:tc>
          <w:tcPr>
            <w:tcW w:w="4253" w:type="dxa"/>
            <w:vAlign w:val="center"/>
          </w:tcPr>
          <w:p w14:paraId="51A28187" w14:textId="77777777" w:rsidR="00D645DC" w:rsidRDefault="00D645DC" w:rsidP="008F13F0">
            <w:pPr>
              <w:pStyle w:val="BodyText21"/>
              <w:widowControl/>
              <w:jc w:val="center"/>
              <w:rPr>
                <w:rFonts w:cs="Arial"/>
                <w:szCs w:val="24"/>
                <w:lang w:val="pt-BR"/>
              </w:rPr>
            </w:pPr>
          </w:p>
          <w:p w14:paraId="5FD24E8E" w14:textId="0D820FBD" w:rsidR="00333106" w:rsidRPr="00A3629D" w:rsidRDefault="00333106" w:rsidP="008F13F0">
            <w:pPr>
              <w:pStyle w:val="BodyText21"/>
              <w:widowControl/>
              <w:jc w:val="center"/>
              <w:rPr>
                <w:rFonts w:cs="Arial"/>
                <w:szCs w:val="24"/>
                <w:lang w:val="pt-BR"/>
              </w:rPr>
            </w:pPr>
            <w:r w:rsidRPr="00A3629D">
              <w:rPr>
                <w:rFonts w:cs="Arial"/>
                <w:szCs w:val="24"/>
                <w:lang w:val="pt-BR"/>
              </w:rPr>
              <w:t>_________________________</w:t>
            </w:r>
          </w:p>
          <w:p w14:paraId="1AAEF22F" w14:textId="62DC84CF" w:rsidR="00333106" w:rsidRPr="00A3629D" w:rsidRDefault="00A3629D" w:rsidP="008F13F0">
            <w:pPr>
              <w:pStyle w:val="BodyText21"/>
              <w:widowControl/>
              <w:jc w:val="center"/>
              <w:rPr>
                <w:rFonts w:cs="Arial"/>
                <w:b/>
                <w:szCs w:val="24"/>
                <w:lang w:val="pt-BR"/>
              </w:rPr>
            </w:pPr>
            <w:r w:rsidRPr="00A3629D">
              <w:rPr>
                <w:rFonts w:cs="Arial"/>
                <w:szCs w:val="24"/>
                <w:lang w:val="pt-BR"/>
              </w:rPr>
              <w:t xml:space="preserve">Pela </w:t>
            </w:r>
            <w:r w:rsidR="000A3497">
              <w:rPr>
                <w:rFonts w:cs="Arial"/>
                <w:szCs w:val="24"/>
                <w:lang w:val="pt-BR"/>
              </w:rPr>
              <w:t>d</w:t>
            </w:r>
            <w:r w:rsidRPr="00A3629D">
              <w:rPr>
                <w:rFonts w:cs="Arial"/>
                <w:szCs w:val="24"/>
                <w:lang w:val="pt-BR"/>
              </w:rPr>
              <w:t>elegação do</w:t>
            </w:r>
            <w:r w:rsidR="00333106" w:rsidRPr="00A3629D">
              <w:rPr>
                <w:rFonts w:cs="Arial"/>
                <w:szCs w:val="24"/>
                <w:lang w:val="pt-BR"/>
              </w:rPr>
              <w:t xml:space="preserve"> Brasil</w:t>
            </w:r>
            <w:r w:rsidR="00957181" w:rsidRPr="00A3629D">
              <w:rPr>
                <w:rFonts w:cs="Arial"/>
                <w:szCs w:val="24"/>
                <w:lang w:val="pt-BR"/>
              </w:rPr>
              <w:br/>
            </w:r>
            <w:r w:rsidR="00333106" w:rsidRPr="00A3629D">
              <w:rPr>
                <w:rFonts w:cs="Arial"/>
                <w:b/>
                <w:szCs w:val="24"/>
                <w:lang w:val="pt-BR"/>
              </w:rPr>
              <w:t>Denis Scaramussa Pereira</w:t>
            </w:r>
          </w:p>
          <w:p w14:paraId="0AF7EA58" w14:textId="77777777" w:rsidR="00B22F47" w:rsidRPr="00A3629D" w:rsidRDefault="00B22F47" w:rsidP="008F13F0">
            <w:pPr>
              <w:rPr>
                <w:rFonts w:cs="Arial"/>
                <w:b/>
                <w:szCs w:val="24"/>
                <w:lang w:val="pt-BR"/>
              </w:rPr>
            </w:pPr>
          </w:p>
          <w:p w14:paraId="221C9A1E" w14:textId="448DB224" w:rsidR="00B22F47" w:rsidRPr="00A3629D" w:rsidRDefault="00B22F47" w:rsidP="008F13F0">
            <w:pPr>
              <w:rPr>
                <w:lang w:val="pt-BR"/>
              </w:rPr>
            </w:pPr>
          </w:p>
        </w:tc>
      </w:tr>
      <w:tr w:rsidR="00333106" w:rsidRPr="008F13F0" w14:paraId="2E9E745F" w14:textId="77777777" w:rsidTr="00A73711">
        <w:trPr>
          <w:trHeight w:val="1867"/>
        </w:trPr>
        <w:tc>
          <w:tcPr>
            <w:tcW w:w="4252" w:type="dxa"/>
            <w:vAlign w:val="center"/>
          </w:tcPr>
          <w:p w14:paraId="3FE4C69C" w14:textId="77777777" w:rsidR="00333106" w:rsidRPr="00B047BC" w:rsidRDefault="00333106" w:rsidP="008F13F0">
            <w:pPr>
              <w:pStyle w:val="BodyText21"/>
              <w:widowControl/>
              <w:jc w:val="center"/>
              <w:rPr>
                <w:rFonts w:cs="Arial"/>
                <w:szCs w:val="24"/>
                <w:lang w:val="pt-BR"/>
              </w:rPr>
            </w:pPr>
            <w:r w:rsidRPr="00B047BC">
              <w:rPr>
                <w:rFonts w:cs="Arial"/>
                <w:szCs w:val="24"/>
                <w:lang w:val="pt-BR"/>
              </w:rPr>
              <w:t>_________________________</w:t>
            </w:r>
          </w:p>
          <w:p w14:paraId="46A42D88" w14:textId="66E66A56" w:rsidR="00333106" w:rsidRPr="00A3629D" w:rsidRDefault="00A3629D" w:rsidP="008F13F0">
            <w:pPr>
              <w:pStyle w:val="BodyText21"/>
              <w:widowControl/>
              <w:jc w:val="center"/>
              <w:rPr>
                <w:rFonts w:cs="Arial"/>
                <w:b/>
                <w:szCs w:val="24"/>
                <w:lang w:val="pt-BR"/>
              </w:rPr>
            </w:pPr>
            <w:r w:rsidRPr="00A3629D">
              <w:rPr>
                <w:rFonts w:cs="Arial"/>
                <w:szCs w:val="24"/>
                <w:lang w:val="pt-BR"/>
              </w:rPr>
              <w:t xml:space="preserve">Pela </w:t>
            </w:r>
            <w:r w:rsidR="000A3497">
              <w:rPr>
                <w:rFonts w:cs="Arial"/>
                <w:szCs w:val="24"/>
                <w:lang w:val="pt-BR"/>
              </w:rPr>
              <w:t>d</w:t>
            </w:r>
            <w:r w:rsidRPr="00A3629D">
              <w:rPr>
                <w:rFonts w:cs="Arial"/>
                <w:szCs w:val="24"/>
                <w:lang w:val="pt-BR"/>
              </w:rPr>
              <w:t>elegação</w:t>
            </w:r>
            <w:r w:rsidR="00333106" w:rsidRPr="00A3629D">
              <w:rPr>
                <w:rFonts w:cs="Arial"/>
                <w:szCs w:val="24"/>
                <w:lang w:val="pt-BR"/>
              </w:rPr>
              <w:t xml:space="preserve"> d</w:t>
            </w:r>
            <w:r w:rsidRPr="00A3629D">
              <w:rPr>
                <w:rFonts w:cs="Arial"/>
                <w:szCs w:val="24"/>
                <w:lang w:val="pt-BR"/>
              </w:rPr>
              <w:t>o</w:t>
            </w:r>
            <w:r w:rsidR="00333106" w:rsidRPr="00A3629D">
              <w:rPr>
                <w:rFonts w:cs="Arial"/>
                <w:szCs w:val="24"/>
                <w:lang w:val="pt-BR"/>
              </w:rPr>
              <w:t xml:space="preserve"> Paragua</w:t>
            </w:r>
            <w:r>
              <w:rPr>
                <w:rFonts w:cs="Arial"/>
                <w:szCs w:val="24"/>
                <w:lang w:val="pt-BR"/>
              </w:rPr>
              <w:t>i</w:t>
            </w:r>
            <w:r w:rsidR="00957181" w:rsidRPr="00A3629D">
              <w:rPr>
                <w:rFonts w:cs="Arial"/>
                <w:szCs w:val="24"/>
                <w:lang w:val="pt-BR"/>
              </w:rPr>
              <w:br/>
            </w:r>
            <w:r w:rsidR="009A38F6">
              <w:rPr>
                <w:rFonts w:cs="Arial"/>
                <w:b/>
                <w:szCs w:val="24"/>
                <w:lang w:val="pt-BR"/>
              </w:rPr>
              <w:t>Cristhian Trinidad</w:t>
            </w:r>
          </w:p>
        </w:tc>
        <w:tc>
          <w:tcPr>
            <w:tcW w:w="4253" w:type="dxa"/>
            <w:vAlign w:val="center"/>
          </w:tcPr>
          <w:p w14:paraId="23CBC968" w14:textId="77777777" w:rsidR="00333106" w:rsidRPr="00B047BC" w:rsidRDefault="00333106" w:rsidP="008F13F0">
            <w:pPr>
              <w:pStyle w:val="BodyText21"/>
              <w:widowControl/>
              <w:jc w:val="center"/>
              <w:rPr>
                <w:rFonts w:cs="Arial"/>
                <w:szCs w:val="24"/>
                <w:lang w:val="pt-BR"/>
              </w:rPr>
            </w:pPr>
            <w:r w:rsidRPr="00B047BC">
              <w:rPr>
                <w:rFonts w:cs="Arial"/>
                <w:szCs w:val="24"/>
                <w:lang w:val="pt-BR"/>
              </w:rPr>
              <w:t>________________________</w:t>
            </w:r>
          </w:p>
          <w:p w14:paraId="5BFA5BBE" w14:textId="44DC00B2" w:rsidR="00333106" w:rsidRPr="00A3629D" w:rsidRDefault="00A3629D" w:rsidP="008F13F0">
            <w:pPr>
              <w:pStyle w:val="BodyText21"/>
              <w:widowControl/>
              <w:jc w:val="center"/>
              <w:rPr>
                <w:rFonts w:cs="Arial"/>
                <w:szCs w:val="24"/>
                <w:lang w:val="pt-BR"/>
              </w:rPr>
            </w:pPr>
            <w:r w:rsidRPr="00A3629D">
              <w:rPr>
                <w:rFonts w:cs="Arial"/>
                <w:szCs w:val="24"/>
                <w:lang w:val="pt-BR"/>
              </w:rPr>
              <w:t>Pela</w:t>
            </w:r>
            <w:r w:rsidR="00333106" w:rsidRPr="00A3629D">
              <w:rPr>
                <w:rFonts w:cs="Arial"/>
                <w:szCs w:val="24"/>
                <w:lang w:val="pt-BR"/>
              </w:rPr>
              <w:t xml:space="preserve"> </w:t>
            </w:r>
            <w:r w:rsidR="000A3497">
              <w:rPr>
                <w:rFonts w:cs="Arial"/>
                <w:szCs w:val="24"/>
                <w:lang w:val="pt-BR"/>
              </w:rPr>
              <w:t>d</w:t>
            </w:r>
            <w:bookmarkStart w:id="3" w:name="_GoBack"/>
            <w:bookmarkEnd w:id="3"/>
            <w:r w:rsidR="00333106" w:rsidRPr="00A3629D">
              <w:rPr>
                <w:rFonts w:cs="Arial"/>
                <w:szCs w:val="24"/>
                <w:lang w:val="pt-BR"/>
              </w:rPr>
              <w:t>elega</w:t>
            </w:r>
            <w:r w:rsidRPr="00A3629D">
              <w:rPr>
                <w:rFonts w:cs="Arial"/>
                <w:szCs w:val="24"/>
                <w:lang w:val="pt-BR"/>
              </w:rPr>
              <w:t>ção</w:t>
            </w:r>
            <w:r w:rsidR="00333106" w:rsidRPr="00A3629D">
              <w:rPr>
                <w:rFonts w:cs="Arial"/>
                <w:szCs w:val="24"/>
                <w:lang w:val="pt-BR"/>
              </w:rPr>
              <w:t xml:space="preserve"> d</w:t>
            </w:r>
            <w:r w:rsidRPr="00A3629D">
              <w:rPr>
                <w:rFonts w:cs="Arial"/>
                <w:szCs w:val="24"/>
                <w:lang w:val="pt-BR"/>
              </w:rPr>
              <w:t>o</w:t>
            </w:r>
            <w:r w:rsidR="00333106" w:rsidRPr="00A3629D">
              <w:rPr>
                <w:rFonts w:cs="Arial"/>
                <w:szCs w:val="24"/>
                <w:lang w:val="pt-BR"/>
              </w:rPr>
              <w:t xml:space="preserve"> Urugua</w:t>
            </w:r>
            <w:r>
              <w:rPr>
                <w:rFonts w:cs="Arial"/>
                <w:szCs w:val="24"/>
                <w:lang w:val="pt-BR"/>
              </w:rPr>
              <w:t>i</w:t>
            </w:r>
            <w:r w:rsidR="00957181" w:rsidRPr="00A3629D">
              <w:rPr>
                <w:rFonts w:cs="Arial"/>
                <w:szCs w:val="24"/>
                <w:lang w:val="pt-BR"/>
              </w:rPr>
              <w:br/>
            </w:r>
            <w:r w:rsidR="00333106" w:rsidRPr="00A3629D">
              <w:rPr>
                <w:rFonts w:cs="Arial"/>
                <w:b/>
                <w:szCs w:val="24"/>
                <w:lang w:val="pt-BR"/>
              </w:rPr>
              <w:t>Ignacio Pereira</w:t>
            </w:r>
          </w:p>
        </w:tc>
      </w:tr>
    </w:tbl>
    <w:bookmarkEnd w:id="0"/>
    <w:p w14:paraId="02F8C315" w14:textId="77777777" w:rsidR="006371DB" w:rsidRPr="00073AE7" w:rsidRDefault="006371DB" w:rsidP="006371DB">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t>SECRETARIA DO MERCOSUL</w:t>
      </w:r>
    </w:p>
    <w:p w14:paraId="1C60B2F4" w14:textId="77777777" w:rsidR="006371DB" w:rsidRPr="00073AE7" w:rsidRDefault="006371DB" w:rsidP="006371DB">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t>Resolução GMC Nº 12/12</w:t>
      </w:r>
    </w:p>
    <w:p w14:paraId="44BE0892" w14:textId="77777777" w:rsidR="006371DB" w:rsidRPr="00073AE7" w:rsidRDefault="006371DB" w:rsidP="006371DB">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t>CORRIGENDUM - ORIGINAL</w:t>
      </w:r>
    </w:p>
    <w:p w14:paraId="495B8FEC" w14:textId="70BA1351" w:rsidR="006371DB" w:rsidRDefault="006371DB" w:rsidP="006371DB">
      <w:pPr>
        <w:pStyle w:val="Encabezado"/>
        <w:pBdr>
          <w:top w:val="triple" w:sz="4" w:space="14" w:color="auto"/>
          <w:left w:val="triple" w:sz="4" w:space="0" w:color="auto"/>
          <w:bottom w:val="triple" w:sz="4" w:space="1" w:color="auto"/>
          <w:right w:val="triple" w:sz="4" w:space="0" w:color="auto"/>
        </w:pBdr>
        <w:rPr>
          <w:b/>
          <w:szCs w:val="24"/>
          <w:lang w:val="pt-BR"/>
        </w:rPr>
      </w:pPr>
    </w:p>
    <w:p w14:paraId="2D83F114" w14:textId="39C46069" w:rsidR="006371DB" w:rsidRDefault="006371DB" w:rsidP="006371DB">
      <w:pPr>
        <w:pStyle w:val="Encabezado"/>
        <w:pBdr>
          <w:top w:val="triple" w:sz="4" w:space="14" w:color="auto"/>
          <w:left w:val="triple" w:sz="4" w:space="0" w:color="auto"/>
          <w:bottom w:val="triple" w:sz="4" w:space="1" w:color="auto"/>
          <w:right w:val="triple" w:sz="4" w:space="0" w:color="auto"/>
        </w:pBdr>
        <w:rPr>
          <w:b/>
          <w:szCs w:val="24"/>
          <w:lang w:val="pt-BR"/>
        </w:rPr>
      </w:pPr>
    </w:p>
    <w:p w14:paraId="3DB3754F" w14:textId="77777777" w:rsidR="006371DB" w:rsidRPr="00073AE7" w:rsidRDefault="006371DB" w:rsidP="006371DB">
      <w:pPr>
        <w:pStyle w:val="Encabezado"/>
        <w:pBdr>
          <w:top w:val="triple" w:sz="4" w:space="14" w:color="auto"/>
          <w:left w:val="triple" w:sz="4" w:space="0" w:color="auto"/>
          <w:bottom w:val="triple" w:sz="4" w:space="1" w:color="auto"/>
          <w:right w:val="triple" w:sz="4" w:space="0" w:color="auto"/>
        </w:pBdr>
        <w:rPr>
          <w:b/>
          <w:szCs w:val="24"/>
          <w:lang w:val="pt-BR"/>
        </w:rPr>
      </w:pPr>
    </w:p>
    <w:p w14:paraId="58AD2421" w14:textId="77777777" w:rsidR="006371DB" w:rsidRPr="00073AE7" w:rsidRDefault="006371DB" w:rsidP="006371DB">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73AE7">
        <w:rPr>
          <w:b/>
          <w:szCs w:val="24"/>
          <w:lang w:val="pt-BR"/>
        </w:rPr>
        <w:t>Luiz Gonzaga Coelho Junior</w:t>
      </w:r>
    </w:p>
    <w:p w14:paraId="054FE633" w14:textId="77777777" w:rsidR="006371DB" w:rsidRPr="00052BD2" w:rsidRDefault="006371DB" w:rsidP="006371DB">
      <w:pPr>
        <w:pStyle w:val="Encabezado"/>
        <w:pBdr>
          <w:top w:val="triple" w:sz="4" w:space="14" w:color="auto"/>
          <w:left w:val="triple" w:sz="4" w:space="0" w:color="auto"/>
          <w:bottom w:val="triple" w:sz="4" w:space="1" w:color="auto"/>
          <w:right w:val="triple" w:sz="4" w:space="0" w:color="auto"/>
        </w:pBdr>
        <w:jc w:val="center"/>
        <w:rPr>
          <w:b/>
          <w:szCs w:val="24"/>
          <w:lang w:val="pt-BR"/>
        </w:rPr>
      </w:pPr>
      <w:r w:rsidRPr="00052BD2">
        <w:rPr>
          <w:b/>
          <w:szCs w:val="24"/>
          <w:lang w:val="pt-BR"/>
        </w:rPr>
        <w:t>Diretor</w:t>
      </w:r>
    </w:p>
    <w:p w14:paraId="653EEEB1" w14:textId="77777777" w:rsidR="006371DB" w:rsidRPr="00052BD2" w:rsidRDefault="006371DB" w:rsidP="006371DB">
      <w:pPr>
        <w:pStyle w:val="Encabezado"/>
        <w:pBdr>
          <w:top w:val="triple" w:sz="4" w:space="14" w:color="auto"/>
          <w:left w:val="triple" w:sz="4" w:space="0" w:color="auto"/>
          <w:bottom w:val="triple" w:sz="4" w:space="1" w:color="auto"/>
          <w:right w:val="triple" w:sz="4" w:space="0" w:color="auto"/>
        </w:pBdr>
        <w:jc w:val="center"/>
        <w:rPr>
          <w:b/>
          <w:szCs w:val="24"/>
          <w:lang w:val="pt-BR"/>
        </w:rPr>
      </w:pPr>
    </w:p>
    <w:p w14:paraId="3A57F709" w14:textId="77777777" w:rsidR="006371DB" w:rsidRPr="00052BD2" w:rsidRDefault="006371DB" w:rsidP="006371DB">
      <w:pPr>
        <w:pStyle w:val="Encabezado"/>
        <w:pBdr>
          <w:top w:val="triple" w:sz="4" w:space="14" w:color="auto"/>
          <w:left w:val="triple" w:sz="4" w:space="0" w:color="auto"/>
          <w:bottom w:val="triple" w:sz="4" w:space="1" w:color="auto"/>
          <w:right w:val="triple" w:sz="4" w:space="0" w:color="auto"/>
        </w:pBdr>
        <w:rPr>
          <w:b/>
          <w:szCs w:val="24"/>
          <w:lang w:val="pt-BR"/>
        </w:rPr>
      </w:pPr>
      <w:r w:rsidRPr="00052BD2">
        <w:rPr>
          <w:szCs w:val="24"/>
          <w:lang w:val="pt-BR"/>
        </w:rPr>
        <w:t>Data: 17/ XII /2021</w:t>
      </w:r>
    </w:p>
    <w:p w14:paraId="13D2399C" w14:textId="77777777" w:rsidR="006371DB" w:rsidRPr="00A73711" w:rsidRDefault="006371DB" w:rsidP="00880B7D">
      <w:pPr>
        <w:pStyle w:val="BodyText21"/>
        <w:widowControl/>
        <w:spacing w:after="240" w:line="300" w:lineRule="exact"/>
        <w:rPr>
          <w:rFonts w:cs="Arial"/>
          <w:b/>
          <w:szCs w:val="24"/>
          <w:lang w:val="pt-BR"/>
        </w:rPr>
      </w:pPr>
    </w:p>
    <w:sectPr w:rsidR="006371DB" w:rsidRPr="00A73711" w:rsidSect="0068437D">
      <w:headerReference w:type="default" r:id="rId11"/>
      <w:footerReference w:type="even" r:id="rId12"/>
      <w:footerReference w:type="default" r:id="rId13"/>
      <w:headerReference w:type="first" r:id="rId14"/>
      <w:pgSz w:w="11907" w:h="16840" w:code="9"/>
      <w:pgMar w:top="1417" w:right="1701" w:bottom="1417" w:left="1701" w:header="56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D427" w14:textId="77777777" w:rsidR="001A4FAF" w:rsidRDefault="001A4FAF">
      <w:r>
        <w:separator/>
      </w:r>
    </w:p>
  </w:endnote>
  <w:endnote w:type="continuationSeparator" w:id="0">
    <w:p w14:paraId="2CAE9AAA" w14:textId="77777777" w:rsidR="001A4FAF" w:rsidRDefault="001A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1E65" w14:textId="77777777" w:rsidR="004D28AE" w:rsidRDefault="0058693B">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sidR="004D28AE">
      <w:rPr>
        <w:rStyle w:val="Nmerodepgina"/>
        <w:rFonts w:eastAsiaTheme="majorEastAsia"/>
      </w:rPr>
      <w:instrText xml:space="preserve">PAGE  </w:instrText>
    </w:r>
    <w:r>
      <w:rPr>
        <w:rStyle w:val="Nmerodepgina"/>
        <w:rFonts w:eastAsiaTheme="majorEastAsia"/>
      </w:rPr>
      <w:fldChar w:fldCharType="end"/>
    </w:r>
  </w:p>
  <w:p w14:paraId="6B00E6F3" w14:textId="77777777" w:rsidR="004D28AE" w:rsidRDefault="004D28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355447"/>
      <w:docPartObj>
        <w:docPartGallery w:val="Page Numbers (Bottom of Page)"/>
        <w:docPartUnique/>
      </w:docPartObj>
    </w:sdtPr>
    <w:sdtContent>
      <w:p w14:paraId="402BB700" w14:textId="077BB94B" w:rsidR="006371DB" w:rsidRPr="006371DB" w:rsidRDefault="006371DB">
        <w:pPr>
          <w:pStyle w:val="Piedepgina"/>
          <w:jc w:val="center"/>
          <w:rPr>
            <w:lang w:val="pt-BR"/>
          </w:rPr>
        </w:pPr>
        <w:r>
          <w:fldChar w:fldCharType="begin"/>
        </w:r>
        <w:r w:rsidRPr="006371DB">
          <w:rPr>
            <w:lang w:val="pt-BR"/>
          </w:rPr>
          <w:instrText>PAGE   \* MERGEFORMAT</w:instrText>
        </w:r>
        <w:r>
          <w:fldChar w:fldCharType="separate"/>
        </w:r>
        <w:r w:rsidRPr="006371DB">
          <w:rPr>
            <w:lang w:val="pt-BR"/>
          </w:rPr>
          <w:t>2</w:t>
        </w:r>
        <w:r>
          <w:fldChar w:fldCharType="end"/>
        </w:r>
      </w:p>
    </w:sdtContent>
  </w:sdt>
  <w:p w14:paraId="46C93362" w14:textId="77777777" w:rsidR="006371DB" w:rsidRPr="00073AE7" w:rsidRDefault="006371DB" w:rsidP="006371DB">
    <w:pPr>
      <w:pStyle w:val="Piedepgina"/>
      <w:tabs>
        <w:tab w:val="left" w:pos="6946"/>
      </w:tabs>
      <w:ind w:right="-1"/>
      <w:jc w:val="right"/>
      <w:rPr>
        <w:sz w:val="14"/>
        <w:szCs w:val="14"/>
        <w:lang w:val="pt-BR"/>
      </w:rPr>
    </w:pPr>
    <w:r w:rsidRPr="00073AE7">
      <w:rPr>
        <w:sz w:val="14"/>
        <w:szCs w:val="14"/>
        <w:lang w:val="pt-BR"/>
      </w:rPr>
      <w:t>Resolução GMC Nº 12/12</w:t>
    </w:r>
  </w:p>
  <w:p w14:paraId="2FC52160" w14:textId="77777777" w:rsidR="006371DB" w:rsidRPr="00073AE7" w:rsidRDefault="006371DB" w:rsidP="006371DB">
    <w:pPr>
      <w:pStyle w:val="Piedepgina"/>
      <w:tabs>
        <w:tab w:val="left" w:pos="6946"/>
      </w:tabs>
      <w:ind w:right="-1"/>
      <w:jc w:val="right"/>
      <w:rPr>
        <w:sz w:val="14"/>
        <w:szCs w:val="14"/>
        <w:lang w:val="pt-BR"/>
      </w:rPr>
    </w:pPr>
    <w:r w:rsidRPr="00073AE7">
      <w:rPr>
        <w:sz w:val="14"/>
        <w:szCs w:val="14"/>
        <w:lang w:val="pt-BR"/>
      </w:rPr>
      <w:t xml:space="preserve"> CORRIGENDUM – ORIGINAL</w:t>
    </w:r>
  </w:p>
  <w:p w14:paraId="389E337F" w14:textId="77777777" w:rsidR="006371DB" w:rsidRPr="00073AE7" w:rsidRDefault="006371DB" w:rsidP="006371DB">
    <w:pPr>
      <w:pStyle w:val="Piedepgina"/>
      <w:tabs>
        <w:tab w:val="left" w:pos="6946"/>
      </w:tabs>
      <w:ind w:right="-1"/>
      <w:jc w:val="right"/>
      <w:rPr>
        <w:sz w:val="14"/>
        <w:szCs w:val="14"/>
        <w:lang w:val="pt-BR"/>
      </w:rPr>
    </w:pPr>
    <w:r w:rsidRPr="00073AE7">
      <w:rPr>
        <w:sz w:val="14"/>
        <w:szCs w:val="14"/>
        <w:lang w:val="pt-BR"/>
      </w:rPr>
      <w:t>Luiz Gonzaga Coelho Junior</w:t>
    </w:r>
  </w:p>
  <w:p w14:paraId="282A5DE3" w14:textId="77777777" w:rsidR="006371DB" w:rsidRDefault="006371DB" w:rsidP="006371DB">
    <w:pPr>
      <w:pStyle w:val="Piedepgina"/>
      <w:jc w:val="right"/>
    </w:pPr>
    <w:r w:rsidRPr="003D7334">
      <w:rPr>
        <w:sz w:val="14"/>
        <w:szCs w:val="14"/>
      </w:rPr>
      <w:t>Diretor</w:t>
    </w:r>
  </w:p>
  <w:p w14:paraId="76DD4416" w14:textId="77777777" w:rsidR="004D28AE" w:rsidRDefault="004D28AE" w:rsidP="006371DB">
    <w:pPr>
      <w:pStyle w:val="Piedepgina"/>
      <w:widowControl/>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6DEF" w14:textId="77777777" w:rsidR="001A4FAF" w:rsidRDefault="001A4FAF">
      <w:r>
        <w:separator/>
      </w:r>
    </w:p>
  </w:footnote>
  <w:footnote w:type="continuationSeparator" w:id="0">
    <w:p w14:paraId="52317D12" w14:textId="77777777" w:rsidR="001A4FAF" w:rsidRDefault="001A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6A6E" w14:textId="77777777" w:rsidR="008F13F0" w:rsidRDefault="008F13F0">
    <w:pPr>
      <w:pStyle w:val="Encabezado"/>
    </w:pPr>
  </w:p>
  <w:p w14:paraId="1F26A4B4" w14:textId="05290384" w:rsidR="004D28AE" w:rsidRDefault="004D28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48AB" w14:textId="6D4ECFEC" w:rsidR="004D28AE" w:rsidRDefault="004D28AE">
    <w:pPr>
      <w:pStyle w:val="Encabezado"/>
    </w:pPr>
    <w:r>
      <w:tab/>
    </w:r>
    <w:r>
      <w:tab/>
    </w:r>
  </w:p>
  <w:p w14:paraId="4C0BA7E1" w14:textId="77777777" w:rsidR="004D28AE" w:rsidRDefault="004D28AE">
    <w:pPr>
      <w:pStyle w:val="Encabezado"/>
    </w:pPr>
  </w:p>
  <w:p w14:paraId="763441D2" w14:textId="77777777" w:rsidR="004D28AE" w:rsidRDefault="004D28AE">
    <w:pPr>
      <w:pStyle w:val="Encabezado"/>
    </w:pPr>
  </w:p>
  <w:p w14:paraId="4DCE0262" w14:textId="77777777" w:rsidR="004D28AE" w:rsidRDefault="004D2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C60"/>
    <w:multiLevelType w:val="multilevel"/>
    <w:tmpl w:val="7D5C9A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62166"/>
    <w:multiLevelType w:val="hybridMultilevel"/>
    <w:tmpl w:val="16D68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9D7D91"/>
    <w:multiLevelType w:val="hybridMultilevel"/>
    <w:tmpl w:val="B8E269C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8C034E"/>
    <w:multiLevelType w:val="hybridMultilevel"/>
    <w:tmpl w:val="5AF4C406"/>
    <w:lvl w:ilvl="0" w:tplc="ECAAE14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91018A"/>
    <w:multiLevelType w:val="multilevel"/>
    <w:tmpl w:val="5AC6F3A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7A475A"/>
    <w:multiLevelType w:val="multilevel"/>
    <w:tmpl w:val="F9A82E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B35842"/>
    <w:multiLevelType w:val="hybridMultilevel"/>
    <w:tmpl w:val="4394D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91B29"/>
    <w:multiLevelType w:val="hybridMultilevel"/>
    <w:tmpl w:val="EEC2394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8A62D1"/>
    <w:multiLevelType w:val="multilevel"/>
    <w:tmpl w:val="8B9C5B44"/>
    <w:lvl w:ilvl="0">
      <w:start w:val="2"/>
      <w:numFmt w:val="decimal"/>
      <w:lvlText w:val="%1."/>
      <w:lvlJc w:val="left"/>
      <w:pPr>
        <w:ind w:left="390" w:hanging="39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15:restartNumberingAfterBreak="0">
    <w:nsid w:val="3C7D4786"/>
    <w:multiLevelType w:val="multilevel"/>
    <w:tmpl w:val="31FE30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F310981"/>
    <w:multiLevelType w:val="multilevel"/>
    <w:tmpl w:val="B2DA05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color w:val="auto"/>
        <w:lang w:val="es-AR"/>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B300D"/>
    <w:multiLevelType w:val="multilevel"/>
    <w:tmpl w:val="10D4D2FA"/>
    <w:lvl w:ilvl="0">
      <w:start w:val="1"/>
      <w:numFmt w:val="decimal"/>
      <w:lvlText w:val="%1."/>
      <w:lvlJc w:val="left"/>
      <w:pPr>
        <w:ind w:left="360" w:firstLine="0"/>
      </w:pPr>
      <w:rPr>
        <w:rFonts w:ascii="Times New Roman" w:eastAsia="Arial" w:hAnsi="Times New Roman" w:cs="Times New Roman" w:hint="default"/>
        <w:b/>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425" w:firstLine="0"/>
      </w:pPr>
      <w:rPr>
        <w:rFonts w:hint="default"/>
        <w:b/>
        <w:i/>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firstLine="0"/>
      </w:pPr>
      <w:rPr>
        <w:rFonts w:ascii="Times New Roman" w:eastAsia="Arial" w:hAnsi="Times New Roman" w:cs="Times New Roman" w:hint="default"/>
        <w:b w:val="0"/>
        <w:i/>
        <w:iCs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2182A"/>
    <w:multiLevelType w:val="hybridMultilevel"/>
    <w:tmpl w:val="5DB43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D03DA9"/>
    <w:multiLevelType w:val="multilevel"/>
    <w:tmpl w:val="7598ECE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772E98"/>
    <w:multiLevelType w:val="hybridMultilevel"/>
    <w:tmpl w:val="4E94DCC6"/>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A5181A"/>
    <w:multiLevelType w:val="multilevel"/>
    <w:tmpl w:val="AFD61FFE"/>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55143218"/>
    <w:multiLevelType w:val="multilevel"/>
    <w:tmpl w:val="0B924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9D0F52"/>
    <w:multiLevelType w:val="multilevel"/>
    <w:tmpl w:val="C742AFA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2D73FF"/>
    <w:multiLevelType w:val="multilevel"/>
    <w:tmpl w:val="AB5C86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DE6798"/>
    <w:multiLevelType w:val="hybridMultilevel"/>
    <w:tmpl w:val="EA64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6316F"/>
    <w:multiLevelType w:val="multilevel"/>
    <w:tmpl w:val="7E285C4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6227F66"/>
    <w:multiLevelType w:val="multilevel"/>
    <w:tmpl w:val="93B8A02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896098"/>
    <w:multiLevelType w:val="singleLevel"/>
    <w:tmpl w:val="F43054E6"/>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23" w15:restartNumberingAfterBreak="0">
    <w:nsid w:val="6E895E7B"/>
    <w:multiLevelType w:val="multilevel"/>
    <w:tmpl w:val="62DAD77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70967476"/>
    <w:multiLevelType w:val="multilevel"/>
    <w:tmpl w:val="65201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9017AF"/>
    <w:multiLevelType w:val="hybridMultilevel"/>
    <w:tmpl w:val="78CA60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A58606D"/>
    <w:multiLevelType w:val="hybridMultilevel"/>
    <w:tmpl w:val="7212991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B710F5"/>
    <w:multiLevelType w:val="hybridMultilevel"/>
    <w:tmpl w:val="88DA9B5E"/>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3"/>
  </w:num>
  <w:num w:numId="3">
    <w:abstractNumId w:val="1"/>
  </w:num>
  <w:num w:numId="4">
    <w:abstractNumId w:val="3"/>
  </w:num>
  <w:num w:numId="5">
    <w:abstractNumId w:val="19"/>
  </w:num>
  <w:num w:numId="6">
    <w:abstractNumId w:val="6"/>
  </w:num>
  <w:num w:numId="7">
    <w:abstractNumId w:val="25"/>
  </w:num>
  <w:num w:numId="8">
    <w:abstractNumId w:val="12"/>
  </w:num>
  <w:num w:numId="9">
    <w:abstractNumId w:val="11"/>
  </w:num>
  <w:num w:numId="10">
    <w:abstractNumId w:val="15"/>
  </w:num>
  <w:num w:numId="11">
    <w:abstractNumId w:val="16"/>
  </w:num>
  <w:num w:numId="12">
    <w:abstractNumId w:val="18"/>
  </w:num>
  <w:num w:numId="13">
    <w:abstractNumId w:val="26"/>
  </w:num>
  <w:num w:numId="14">
    <w:abstractNumId w:val="0"/>
  </w:num>
  <w:num w:numId="15">
    <w:abstractNumId w:val="27"/>
  </w:num>
  <w:num w:numId="16">
    <w:abstractNumId w:val="14"/>
  </w:num>
  <w:num w:numId="17">
    <w:abstractNumId w:val="2"/>
  </w:num>
  <w:num w:numId="18">
    <w:abstractNumId w:val="7"/>
  </w:num>
  <w:num w:numId="19">
    <w:abstractNumId w:val="8"/>
  </w:num>
  <w:num w:numId="20">
    <w:abstractNumId w:val="22"/>
  </w:num>
  <w:num w:numId="21">
    <w:abstractNumId w:val="9"/>
  </w:num>
  <w:num w:numId="22">
    <w:abstractNumId w:val="17"/>
  </w:num>
  <w:num w:numId="23">
    <w:abstractNumId w:val="4"/>
  </w:num>
  <w:num w:numId="24">
    <w:abstractNumId w:val="5"/>
  </w:num>
  <w:num w:numId="25">
    <w:abstractNumId w:val="13"/>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06"/>
    <w:rsid w:val="00007DD1"/>
    <w:rsid w:val="00026AD7"/>
    <w:rsid w:val="00026E46"/>
    <w:rsid w:val="00032307"/>
    <w:rsid w:val="000422E6"/>
    <w:rsid w:val="0004468D"/>
    <w:rsid w:val="000476B9"/>
    <w:rsid w:val="0006422E"/>
    <w:rsid w:val="00065A95"/>
    <w:rsid w:val="00074550"/>
    <w:rsid w:val="00075E7D"/>
    <w:rsid w:val="000765FA"/>
    <w:rsid w:val="0008459B"/>
    <w:rsid w:val="00087241"/>
    <w:rsid w:val="000925D6"/>
    <w:rsid w:val="000A3497"/>
    <w:rsid w:val="000C5D2E"/>
    <w:rsid w:val="000D0748"/>
    <w:rsid w:val="000D662D"/>
    <w:rsid w:val="000E12B9"/>
    <w:rsid w:val="000E58FA"/>
    <w:rsid w:val="000E7866"/>
    <w:rsid w:val="00100CD8"/>
    <w:rsid w:val="001349C9"/>
    <w:rsid w:val="001408B8"/>
    <w:rsid w:val="00141355"/>
    <w:rsid w:val="00150245"/>
    <w:rsid w:val="00170DEF"/>
    <w:rsid w:val="0017415B"/>
    <w:rsid w:val="0017543A"/>
    <w:rsid w:val="00182C07"/>
    <w:rsid w:val="00187974"/>
    <w:rsid w:val="00191C35"/>
    <w:rsid w:val="00194B44"/>
    <w:rsid w:val="001A1F2A"/>
    <w:rsid w:val="001A2092"/>
    <w:rsid w:val="001A4FAF"/>
    <w:rsid w:val="001B586F"/>
    <w:rsid w:val="001C2635"/>
    <w:rsid w:val="001C3BB8"/>
    <w:rsid w:val="001C62FB"/>
    <w:rsid w:val="001E0D83"/>
    <w:rsid w:val="001E7593"/>
    <w:rsid w:val="001F2A4E"/>
    <w:rsid w:val="001F3D89"/>
    <w:rsid w:val="00200DE6"/>
    <w:rsid w:val="00213601"/>
    <w:rsid w:val="002160E0"/>
    <w:rsid w:val="00221D4D"/>
    <w:rsid w:val="0022720C"/>
    <w:rsid w:val="00250B77"/>
    <w:rsid w:val="00256452"/>
    <w:rsid w:val="0026032E"/>
    <w:rsid w:val="00260920"/>
    <w:rsid w:val="00262928"/>
    <w:rsid w:val="00263020"/>
    <w:rsid w:val="00266F2D"/>
    <w:rsid w:val="002677F3"/>
    <w:rsid w:val="0029530F"/>
    <w:rsid w:val="002A1284"/>
    <w:rsid w:val="002A1539"/>
    <w:rsid w:val="002A588B"/>
    <w:rsid w:val="002A6572"/>
    <w:rsid w:val="002C123D"/>
    <w:rsid w:val="002C541F"/>
    <w:rsid w:val="00305BB6"/>
    <w:rsid w:val="00310EBD"/>
    <w:rsid w:val="003110EB"/>
    <w:rsid w:val="00312A74"/>
    <w:rsid w:val="00321A76"/>
    <w:rsid w:val="003246FD"/>
    <w:rsid w:val="00331485"/>
    <w:rsid w:val="00333106"/>
    <w:rsid w:val="00353118"/>
    <w:rsid w:val="00355121"/>
    <w:rsid w:val="00355624"/>
    <w:rsid w:val="0037389F"/>
    <w:rsid w:val="00392FC0"/>
    <w:rsid w:val="003B0FD2"/>
    <w:rsid w:val="003B13EE"/>
    <w:rsid w:val="003B3119"/>
    <w:rsid w:val="003C2BF3"/>
    <w:rsid w:val="003C2C92"/>
    <w:rsid w:val="003C5E4A"/>
    <w:rsid w:val="00411708"/>
    <w:rsid w:val="00412349"/>
    <w:rsid w:val="00420E52"/>
    <w:rsid w:val="00424A7B"/>
    <w:rsid w:val="00432093"/>
    <w:rsid w:val="004325E1"/>
    <w:rsid w:val="0044130E"/>
    <w:rsid w:val="004461A4"/>
    <w:rsid w:val="00446CDA"/>
    <w:rsid w:val="0044776F"/>
    <w:rsid w:val="00456C17"/>
    <w:rsid w:val="004636A0"/>
    <w:rsid w:val="00464093"/>
    <w:rsid w:val="00465E69"/>
    <w:rsid w:val="00474CED"/>
    <w:rsid w:val="0048032C"/>
    <w:rsid w:val="00483D7F"/>
    <w:rsid w:val="0049255A"/>
    <w:rsid w:val="00492DA4"/>
    <w:rsid w:val="00495407"/>
    <w:rsid w:val="004B3CC0"/>
    <w:rsid w:val="004C0E3B"/>
    <w:rsid w:val="004C4218"/>
    <w:rsid w:val="004D28AE"/>
    <w:rsid w:val="004D66A9"/>
    <w:rsid w:val="005037A2"/>
    <w:rsid w:val="00503F52"/>
    <w:rsid w:val="00512A68"/>
    <w:rsid w:val="00515CE7"/>
    <w:rsid w:val="00517AA2"/>
    <w:rsid w:val="00523A7E"/>
    <w:rsid w:val="005373DF"/>
    <w:rsid w:val="0054197A"/>
    <w:rsid w:val="00572D7A"/>
    <w:rsid w:val="005825A2"/>
    <w:rsid w:val="0058693B"/>
    <w:rsid w:val="005B3514"/>
    <w:rsid w:val="005B3AEE"/>
    <w:rsid w:val="005B532A"/>
    <w:rsid w:val="005B6530"/>
    <w:rsid w:val="005B7E43"/>
    <w:rsid w:val="005C07DA"/>
    <w:rsid w:val="005C4A8D"/>
    <w:rsid w:val="005C7B85"/>
    <w:rsid w:val="005D5696"/>
    <w:rsid w:val="005E69C6"/>
    <w:rsid w:val="005E78F9"/>
    <w:rsid w:val="005F11EF"/>
    <w:rsid w:val="00607E97"/>
    <w:rsid w:val="00624678"/>
    <w:rsid w:val="00633111"/>
    <w:rsid w:val="006371DB"/>
    <w:rsid w:val="006377E4"/>
    <w:rsid w:val="00640AE1"/>
    <w:rsid w:val="006427C5"/>
    <w:rsid w:val="006461C4"/>
    <w:rsid w:val="0065056D"/>
    <w:rsid w:val="0065132C"/>
    <w:rsid w:val="00661410"/>
    <w:rsid w:val="00664A35"/>
    <w:rsid w:val="00665422"/>
    <w:rsid w:val="0067366B"/>
    <w:rsid w:val="00675CDE"/>
    <w:rsid w:val="0068437D"/>
    <w:rsid w:val="0068617B"/>
    <w:rsid w:val="006965E4"/>
    <w:rsid w:val="006A1612"/>
    <w:rsid w:val="006B0D1E"/>
    <w:rsid w:val="006C2734"/>
    <w:rsid w:val="006C4414"/>
    <w:rsid w:val="006D5F8B"/>
    <w:rsid w:val="006D6BEC"/>
    <w:rsid w:val="006D7E83"/>
    <w:rsid w:val="006E0DDE"/>
    <w:rsid w:val="006E3700"/>
    <w:rsid w:val="006F05EC"/>
    <w:rsid w:val="006F1C1B"/>
    <w:rsid w:val="006F349B"/>
    <w:rsid w:val="006F3686"/>
    <w:rsid w:val="006F3894"/>
    <w:rsid w:val="006F3ADE"/>
    <w:rsid w:val="007015B9"/>
    <w:rsid w:val="00723192"/>
    <w:rsid w:val="007237FE"/>
    <w:rsid w:val="007260F2"/>
    <w:rsid w:val="00732715"/>
    <w:rsid w:val="007546D2"/>
    <w:rsid w:val="00760622"/>
    <w:rsid w:val="007609EB"/>
    <w:rsid w:val="00781912"/>
    <w:rsid w:val="00782211"/>
    <w:rsid w:val="007972B5"/>
    <w:rsid w:val="007A29A4"/>
    <w:rsid w:val="007B4A8B"/>
    <w:rsid w:val="007C0B3E"/>
    <w:rsid w:val="007C4AE2"/>
    <w:rsid w:val="007C5148"/>
    <w:rsid w:val="007D128C"/>
    <w:rsid w:val="007D713D"/>
    <w:rsid w:val="007E2E73"/>
    <w:rsid w:val="007E52C0"/>
    <w:rsid w:val="007E7599"/>
    <w:rsid w:val="007F74DA"/>
    <w:rsid w:val="0080285A"/>
    <w:rsid w:val="0080477A"/>
    <w:rsid w:val="008049B4"/>
    <w:rsid w:val="00807640"/>
    <w:rsid w:val="008131AC"/>
    <w:rsid w:val="0081381C"/>
    <w:rsid w:val="0081652A"/>
    <w:rsid w:val="00823340"/>
    <w:rsid w:val="00824A31"/>
    <w:rsid w:val="00825448"/>
    <w:rsid w:val="0082587D"/>
    <w:rsid w:val="00835266"/>
    <w:rsid w:val="0083644B"/>
    <w:rsid w:val="008366F6"/>
    <w:rsid w:val="00863AC6"/>
    <w:rsid w:val="00866692"/>
    <w:rsid w:val="0087160D"/>
    <w:rsid w:val="00874B96"/>
    <w:rsid w:val="008752A5"/>
    <w:rsid w:val="00876502"/>
    <w:rsid w:val="00876D95"/>
    <w:rsid w:val="00880B7D"/>
    <w:rsid w:val="008871CB"/>
    <w:rsid w:val="008B559C"/>
    <w:rsid w:val="008C3296"/>
    <w:rsid w:val="008C3D9C"/>
    <w:rsid w:val="008C44B3"/>
    <w:rsid w:val="008D6543"/>
    <w:rsid w:val="008E29F2"/>
    <w:rsid w:val="008E5620"/>
    <w:rsid w:val="008F13F0"/>
    <w:rsid w:val="008F5316"/>
    <w:rsid w:val="008F6BAC"/>
    <w:rsid w:val="009001D5"/>
    <w:rsid w:val="009119B0"/>
    <w:rsid w:val="009261FD"/>
    <w:rsid w:val="00930780"/>
    <w:rsid w:val="00934B8A"/>
    <w:rsid w:val="009379BB"/>
    <w:rsid w:val="00957181"/>
    <w:rsid w:val="00957969"/>
    <w:rsid w:val="00987C57"/>
    <w:rsid w:val="009904CE"/>
    <w:rsid w:val="00992766"/>
    <w:rsid w:val="00993706"/>
    <w:rsid w:val="00995859"/>
    <w:rsid w:val="009A27CB"/>
    <w:rsid w:val="009A38F6"/>
    <w:rsid w:val="009A60CC"/>
    <w:rsid w:val="009A6CE2"/>
    <w:rsid w:val="009B4CFB"/>
    <w:rsid w:val="009C1CB0"/>
    <w:rsid w:val="009D4A96"/>
    <w:rsid w:val="009E29BC"/>
    <w:rsid w:val="00A01DC2"/>
    <w:rsid w:val="00A119B8"/>
    <w:rsid w:val="00A12096"/>
    <w:rsid w:val="00A120AB"/>
    <w:rsid w:val="00A3255C"/>
    <w:rsid w:val="00A3629D"/>
    <w:rsid w:val="00A36DAF"/>
    <w:rsid w:val="00A56377"/>
    <w:rsid w:val="00A62BD5"/>
    <w:rsid w:val="00A67953"/>
    <w:rsid w:val="00A73711"/>
    <w:rsid w:val="00A7796A"/>
    <w:rsid w:val="00A8049A"/>
    <w:rsid w:val="00A80AA2"/>
    <w:rsid w:val="00A87BFF"/>
    <w:rsid w:val="00A959B9"/>
    <w:rsid w:val="00AA50FF"/>
    <w:rsid w:val="00AC0B77"/>
    <w:rsid w:val="00AC6E9E"/>
    <w:rsid w:val="00AD68BD"/>
    <w:rsid w:val="00AE4E7F"/>
    <w:rsid w:val="00AE5268"/>
    <w:rsid w:val="00AF2E98"/>
    <w:rsid w:val="00B01351"/>
    <w:rsid w:val="00B047BC"/>
    <w:rsid w:val="00B223C4"/>
    <w:rsid w:val="00B22F47"/>
    <w:rsid w:val="00B31F8F"/>
    <w:rsid w:val="00B35CE2"/>
    <w:rsid w:val="00B366C4"/>
    <w:rsid w:val="00B43507"/>
    <w:rsid w:val="00B44509"/>
    <w:rsid w:val="00B5390D"/>
    <w:rsid w:val="00B56CC0"/>
    <w:rsid w:val="00B74B11"/>
    <w:rsid w:val="00B75629"/>
    <w:rsid w:val="00B774F6"/>
    <w:rsid w:val="00B77C31"/>
    <w:rsid w:val="00B944EB"/>
    <w:rsid w:val="00BA132A"/>
    <w:rsid w:val="00BA4BD1"/>
    <w:rsid w:val="00BA7B67"/>
    <w:rsid w:val="00BB6157"/>
    <w:rsid w:val="00BB7EE7"/>
    <w:rsid w:val="00BC28CE"/>
    <w:rsid w:val="00BC358C"/>
    <w:rsid w:val="00BF166F"/>
    <w:rsid w:val="00C011B4"/>
    <w:rsid w:val="00C02892"/>
    <w:rsid w:val="00C040E2"/>
    <w:rsid w:val="00C16A78"/>
    <w:rsid w:val="00C2064D"/>
    <w:rsid w:val="00C24EAE"/>
    <w:rsid w:val="00C259CC"/>
    <w:rsid w:val="00C349DB"/>
    <w:rsid w:val="00C44301"/>
    <w:rsid w:val="00C565DC"/>
    <w:rsid w:val="00C734B3"/>
    <w:rsid w:val="00C7625C"/>
    <w:rsid w:val="00C7798C"/>
    <w:rsid w:val="00C818E0"/>
    <w:rsid w:val="00C944E8"/>
    <w:rsid w:val="00C97B7C"/>
    <w:rsid w:val="00CA6D55"/>
    <w:rsid w:val="00CC1630"/>
    <w:rsid w:val="00CC16AA"/>
    <w:rsid w:val="00CC561B"/>
    <w:rsid w:val="00CC581E"/>
    <w:rsid w:val="00CD1EE3"/>
    <w:rsid w:val="00CF3F97"/>
    <w:rsid w:val="00D02947"/>
    <w:rsid w:val="00D02CBE"/>
    <w:rsid w:val="00D1108F"/>
    <w:rsid w:val="00D17366"/>
    <w:rsid w:val="00D22169"/>
    <w:rsid w:val="00D27F8E"/>
    <w:rsid w:val="00D3381C"/>
    <w:rsid w:val="00D3532A"/>
    <w:rsid w:val="00D57FFC"/>
    <w:rsid w:val="00D61C1F"/>
    <w:rsid w:val="00D63D8B"/>
    <w:rsid w:val="00D645DC"/>
    <w:rsid w:val="00D721EA"/>
    <w:rsid w:val="00DA3D1B"/>
    <w:rsid w:val="00DA51F2"/>
    <w:rsid w:val="00DB6CE4"/>
    <w:rsid w:val="00DC0A96"/>
    <w:rsid w:val="00DD1CBD"/>
    <w:rsid w:val="00DD3AD7"/>
    <w:rsid w:val="00DD6FA0"/>
    <w:rsid w:val="00DE50A6"/>
    <w:rsid w:val="00DE651B"/>
    <w:rsid w:val="00DE68A5"/>
    <w:rsid w:val="00DE762A"/>
    <w:rsid w:val="00DF23C1"/>
    <w:rsid w:val="00E01697"/>
    <w:rsid w:val="00E02A23"/>
    <w:rsid w:val="00E0788D"/>
    <w:rsid w:val="00E26DBC"/>
    <w:rsid w:val="00E26EE3"/>
    <w:rsid w:val="00E2722F"/>
    <w:rsid w:val="00E31201"/>
    <w:rsid w:val="00E324B5"/>
    <w:rsid w:val="00E36132"/>
    <w:rsid w:val="00E47569"/>
    <w:rsid w:val="00E55012"/>
    <w:rsid w:val="00E563F1"/>
    <w:rsid w:val="00E614DD"/>
    <w:rsid w:val="00E82201"/>
    <w:rsid w:val="00E82F94"/>
    <w:rsid w:val="00E90D11"/>
    <w:rsid w:val="00E948E4"/>
    <w:rsid w:val="00E94CB2"/>
    <w:rsid w:val="00EA0F0F"/>
    <w:rsid w:val="00EA54E2"/>
    <w:rsid w:val="00EA59AB"/>
    <w:rsid w:val="00EA7BA9"/>
    <w:rsid w:val="00EB0CEB"/>
    <w:rsid w:val="00EB2986"/>
    <w:rsid w:val="00EB634E"/>
    <w:rsid w:val="00EC03DB"/>
    <w:rsid w:val="00EC5D6F"/>
    <w:rsid w:val="00EC73C6"/>
    <w:rsid w:val="00ED3DA7"/>
    <w:rsid w:val="00ED7DEB"/>
    <w:rsid w:val="00EE1E79"/>
    <w:rsid w:val="00EE3B9E"/>
    <w:rsid w:val="00F0261D"/>
    <w:rsid w:val="00F127DF"/>
    <w:rsid w:val="00F15EEE"/>
    <w:rsid w:val="00F27F01"/>
    <w:rsid w:val="00F30B15"/>
    <w:rsid w:val="00F3265C"/>
    <w:rsid w:val="00F358FF"/>
    <w:rsid w:val="00F4011D"/>
    <w:rsid w:val="00F4159E"/>
    <w:rsid w:val="00F46753"/>
    <w:rsid w:val="00F55BCD"/>
    <w:rsid w:val="00F60C7A"/>
    <w:rsid w:val="00F64364"/>
    <w:rsid w:val="00F6669D"/>
    <w:rsid w:val="00F80CE1"/>
    <w:rsid w:val="00F8645A"/>
    <w:rsid w:val="00F90538"/>
    <w:rsid w:val="00F91521"/>
    <w:rsid w:val="00F9329F"/>
    <w:rsid w:val="00FA6096"/>
    <w:rsid w:val="00FA7627"/>
    <w:rsid w:val="00FB1B8C"/>
    <w:rsid w:val="00FB342E"/>
    <w:rsid w:val="00FB6155"/>
    <w:rsid w:val="00FC0E38"/>
    <w:rsid w:val="00FD3B9C"/>
    <w:rsid w:val="00FD5ABE"/>
    <w:rsid w:val="00FD6647"/>
    <w:rsid w:val="00FD768E"/>
    <w:rsid w:val="00FE51C8"/>
    <w:rsid w:val="00FE6DC5"/>
    <w:rsid w:val="00FF21B9"/>
    <w:rsid w:val="73884E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BAC8"/>
  <w15:docId w15:val="{0ABAE404-43FE-4006-9A49-09D3BEF2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106"/>
    <w:pPr>
      <w:spacing w:after="0" w:line="240" w:lineRule="auto"/>
    </w:pPr>
    <w:rPr>
      <w:rFonts w:ascii="Arial" w:eastAsia="Times New Roman" w:hAnsi="Arial" w:cs="Times New Roman"/>
      <w:sz w:val="24"/>
      <w:szCs w:val="20"/>
      <w:lang w:val="es-AR" w:eastAsia="es-ES"/>
    </w:rPr>
  </w:style>
  <w:style w:type="paragraph" w:styleId="Ttulo1">
    <w:name w:val="heading 1"/>
    <w:basedOn w:val="Normal"/>
    <w:next w:val="Normal"/>
    <w:link w:val="Ttulo1Car"/>
    <w:qFormat/>
    <w:rsid w:val="00333106"/>
    <w:pPr>
      <w:keepNext/>
      <w:widowControl w:val="0"/>
      <w:numPr>
        <w:numId w:val="2"/>
      </w:numPr>
      <w:tabs>
        <w:tab w:val="left" w:pos="5040"/>
      </w:tabs>
      <w:jc w:val="both"/>
      <w:outlineLvl w:val="0"/>
    </w:pPr>
    <w:rPr>
      <w:b/>
      <w:color w:val="000000"/>
    </w:rPr>
  </w:style>
  <w:style w:type="paragraph" w:styleId="Ttulo2">
    <w:name w:val="heading 2"/>
    <w:basedOn w:val="Normal"/>
    <w:next w:val="Normal"/>
    <w:link w:val="Ttulo2Car"/>
    <w:qFormat/>
    <w:rsid w:val="00333106"/>
    <w:pPr>
      <w:keepNext/>
      <w:numPr>
        <w:ilvl w:val="1"/>
        <w:numId w:val="2"/>
      </w:numPr>
      <w:outlineLvl w:val="1"/>
    </w:pPr>
    <w:rPr>
      <w:rFonts w:ascii="Times New Roman" w:hAnsi="Times New Roman"/>
      <w:lang w:val="es-ES"/>
    </w:rPr>
  </w:style>
  <w:style w:type="paragraph" w:styleId="Ttulo3">
    <w:name w:val="heading 3"/>
    <w:basedOn w:val="Normal"/>
    <w:next w:val="Normal"/>
    <w:link w:val="Ttulo3Car"/>
    <w:qFormat/>
    <w:rsid w:val="00333106"/>
    <w:pPr>
      <w:keepNext/>
      <w:widowControl w:val="0"/>
      <w:numPr>
        <w:ilvl w:val="2"/>
        <w:numId w:val="2"/>
      </w:numPr>
      <w:jc w:val="center"/>
      <w:outlineLvl w:val="2"/>
    </w:pPr>
    <w:rPr>
      <w:b/>
    </w:rPr>
  </w:style>
  <w:style w:type="paragraph" w:styleId="Ttulo4">
    <w:name w:val="heading 4"/>
    <w:basedOn w:val="Normal"/>
    <w:next w:val="Normal"/>
    <w:link w:val="Ttulo4Car"/>
    <w:qFormat/>
    <w:rsid w:val="00333106"/>
    <w:pPr>
      <w:keepNext/>
      <w:widowControl w:val="0"/>
      <w:numPr>
        <w:ilvl w:val="3"/>
        <w:numId w:val="2"/>
      </w:numPr>
      <w:tabs>
        <w:tab w:val="center" w:pos="8496"/>
      </w:tabs>
      <w:jc w:val="both"/>
      <w:outlineLvl w:val="3"/>
    </w:pPr>
    <w:rPr>
      <w:b/>
    </w:rPr>
  </w:style>
  <w:style w:type="paragraph" w:styleId="Ttulo5">
    <w:name w:val="heading 5"/>
    <w:basedOn w:val="Normal"/>
    <w:next w:val="Normal"/>
    <w:link w:val="Ttulo5Car"/>
    <w:uiPriority w:val="9"/>
    <w:unhideWhenUsed/>
    <w:qFormat/>
    <w:rsid w:val="0033310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33310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33310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33310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33310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3106"/>
    <w:rPr>
      <w:rFonts w:ascii="Arial" w:eastAsia="Times New Roman" w:hAnsi="Arial" w:cs="Times New Roman"/>
      <w:b/>
      <w:color w:val="000000"/>
      <w:sz w:val="24"/>
      <w:szCs w:val="20"/>
      <w:lang w:val="es-AR" w:eastAsia="es-ES"/>
    </w:rPr>
  </w:style>
  <w:style w:type="character" w:customStyle="1" w:styleId="Ttulo2Car">
    <w:name w:val="Título 2 Car"/>
    <w:basedOn w:val="Fuentedeprrafopredeter"/>
    <w:link w:val="Ttulo2"/>
    <w:rsid w:val="00333106"/>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333106"/>
    <w:rPr>
      <w:rFonts w:ascii="Arial" w:eastAsia="Times New Roman" w:hAnsi="Arial" w:cs="Times New Roman"/>
      <w:b/>
      <w:sz w:val="24"/>
      <w:szCs w:val="20"/>
      <w:lang w:val="es-AR" w:eastAsia="es-ES"/>
    </w:rPr>
  </w:style>
  <w:style w:type="character" w:customStyle="1" w:styleId="Ttulo4Car">
    <w:name w:val="Título 4 Car"/>
    <w:basedOn w:val="Fuentedeprrafopredeter"/>
    <w:link w:val="Ttulo4"/>
    <w:rsid w:val="00333106"/>
    <w:rPr>
      <w:rFonts w:ascii="Arial" w:eastAsia="Times New Roman" w:hAnsi="Arial" w:cs="Times New Roman"/>
      <w:b/>
      <w:sz w:val="24"/>
      <w:szCs w:val="20"/>
      <w:lang w:val="es-AR" w:eastAsia="es-ES"/>
    </w:rPr>
  </w:style>
  <w:style w:type="character" w:customStyle="1" w:styleId="Ttulo5Car">
    <w:name w:val="Título 5 Car"/>
    <w:basedOn w:val="Fuentedeprrafopredeter"/>
    <w:link w:val="Ttulo5"/>
    <w:uiPriority w:val="9"/>
    <w:rsid w:val="00333106"/>
    <w:rPr>
      <w:rFonts w:asciiTheme="majorHAnsi" w:eastAsiaTheme="majorEastAsia" w:hAnsiTheme="majorHAnsi" w:cstheme="majorBidi"/>
      <w:color w:val="2F5496" w:themeColor="accent1" w:themeShade="BF"/>
      <w:sz w:val="24"/>
      <w:szCs w:val="20"/>
      <w:lang w:val="es-AR" w:eastAsia="es-ES"/>
    </w:rPr>
  </w:style>
  <w:style w:type="character" w:customStyle="1" w:styleId="Ttulo6Car">
    <w:name w:val="Título 6 Car"/>
    <w:basedOn w:val="Fuentedeprrafopredeter"/>
    <w:link w:val="Ttulo6"/>
    <w:uiPriority w:val="9"/>
    <w:rsid w:val="00333106"/>
    <w:rPr>
      <w:rFonts w:asciiTheme="majorHAnsi" w:eastAsiaTheme="majorEastAsia" w:hAnsiTheme="majorHAnsi" w:cstheme="majorBidi"/>
      <w:color w:val="1F3763" w:themeColor="accent1" w:themeShade="7F"/>
      <w:sz w:val="24"/>
      <w:szCs w:val="20"/>
      <w:lang w:val="es-AR" w:eastAsia="es-ES"/>
    </w:rPr>
  </w:style>
  <w:style w:type="character" w:customStyle="1" w:styleId="Ttulo7Car">
    <w:name w:val="Título 7 Car"/>
    <w:basedOn w:val="Fuentedeprrafopredeter"/>
    <w:link w:val="Ttulo7"/>
    <w:uiPriority w:val="9"/>
    <w:rsid w:val="00333106"/>
    <w:rPr>
      <w:rFonts w:asciiTheme="majorHAnsi" w:eastAsiaTheme="majorEastAsia" w:hAnsiTheme="majorHAnsi" w:cstheme="majorBidi"/>
      <w:i/>
      <w:iCs/>
      <w:color w:val="1F3763" w:themeColor="accent1" w:themeShade="7F"/>
      <w:sz w:val="24"/>
      <w:szCs w:val="20"/>
      <w:lang w:val="es-AR" w:eastAsia="es-ES"/>
    </w:rPr>
  </w:style>
  <w:style w:type="character" w:customStyle="1" w:styleId="Ttulo8Car">
    <w:name w:val="Título 8 Car"/>
    <w:basedOn w:val="Fuentedeprrafopredeter"/>
    <w:link w:val="Ttulo8"/>
    <w:uiPriority w:val="9"/>
    <w:rsid w:val="00333106"/>
    <w:rPr>
      <w:rFonts w:asciiTheme="majorHAnsi" w:eastAsiaTheme="majorEastAsia" w:hAnsiTheme="majorHAnsi" w:cstheme="majorBidi"/>
      <w:color w:val="272727" w:themeColor="text1" w:themeTint="D8"/>
      <w:sz w:val="21"/>
      <w:szCs w:val="21"/>
      <w:lang w:val="es-AR" w:eastAsia="es-ES"/>
    </w:rPr>
  </w:style>
  <w:style w:type="character" w:customStyle="1" w:styleId="Ttulo9Car">
    <w:name w:val="Título 9 Car"/>
    <w:basedOn w:val="Fuentedeprrafopredeter"/>
    <w:link w:val="Ttulo9"/>
    <w:uiPriority w:val="9"/>
    <w:rsid w:val="00333106"/>
    <w:rPr>
      <w:rFonts w:asciiTheme="majorHAnsi" w:eastAsiaTheme="majorEastAsia" w:hAnsiTheme="majorHAnsi" w:cstheme="majorBidi"/>
      <w:i/>
      <w:iCs/>
      <w:color w:val="272727" w:themeColor="text1" w:themeTint="D8"/>
      <w:sz w:val="21"/>
      <w:szCs w:val="21"/>
      <w:lang w:val="es-AR" w:eastAsia="es-ES"/>
    </w:rPr>
  </w:style>
  <w:style w:type="paragraph" w:styleId="Textoindependiente">
    <w:name w:val="Body Text"/>
    <w:basedOn w:val="Normal"/>
    <w:link w:val="TextoindependienteCar"/>
    <w:rsid w:val="00333106"/>
    <w:pPr>
      <w:widowControl w:val="0"/>
      <w:jc w:val="both"/>
    </w:pPr>
    <w:rPr>
      <w:color w:val="000000"/>
      <w:lang w:val="es-PY"/>
    </w:rPr>
  </w:style>
  <w:style w:type="character" w:customStyle="1" w:styleId="TextoindependienteCar">
    <w:name w:val="Texto independiente Car"/>
    <w:basedOn w:val="Fuentedeprrafopredeter"/>
    <w:link w:val="Textoindependiente"/>
    <w:rsid w:val="00333106"/>
    <w:rPr>
      <w:rFonts w:ascii="Arial" w:eastAsia="Times New Roman" w:hAnsi="Arial" w:cs="Times New Roman"/>
      <w:color w:val="000000"/>
      <w:sz w:val="24"/>
      <w:szCs w:val="20"/>
      <w:lang w:val="es-PY" w:eastAsia="es-ES"/>
    </w:rPr>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qFormat/>
    <w:rsid w:val="00333106"/>
    <w:pPr>
      <w:tabs>
        <w:tab w:val="center" w:pos="4252"/>
        <w:tab w:val="right" w:pos="8504"/>
      </w:tabs>
    </w:p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basedOn w:val="Fuentedeprrafopredeter"/>
    <w:link w:val="Encabezado"/>
    <w:qFormat/>
    <w:rsid w:val="00333106"/>
    <w:rPr>
      <w:rFonts w:ascii="Arial" w:eastAsia="Times New Roman" w:hAnsi="Arial" w:cs="Times New Roman"/>
      <w:sz w:val="24"/>
      <w:szCs w:val="20"/>
      <w:lang w:val="es-AR" w:eastAsia="es-ES"/>
    </w:rPr>
  </w:style>
  <w:style w:type="character" w:styleId="Nmerodepgina">
    <w:name w:val="page number"/>
    <w:rsid w:val="00333106"/>
    <w:rPr>
      <w:sz w:val="20"/>
    </w:rPr>
  </w:style>
  <w:style w:type="paragraph" w:styleId="Piedepgina">
    <w:name w:val="footer"/>
    <w:basedOn w:val="Normal"/>
    <w:link w:val="PiedepginaCar"/>
    <w:uiPriority w:val="99"/>
    <w:rsid w:val="00333106"/>
    <w:pPr>
      <w:widowControl w:val="0"/>
      <w:tabs>
        <w:tab w:val="center" w:pos="4419"/>
        <w:tab w:val="right" w:pos="8838"/>
      </w:tabs>
    </w:pPr>
    <w:rPr>
      <w:sz w:val="20"/>
    </w:rPr>
  </w:style>
  <w:style w:type="character" w:customStyle="1" w:styleId="PiedepginaCar">
    <w:name w:val="Pie de página Car"/>
    <w:basedOn w:val="Fuentedeprrafopredeter"/>
    <w:link w:val="Piedepgina"/>
    <w:uiPriority w:val="99"/>
    <w:rsid w:val="00333106"/>
    <w:rPr>
      <w:rFonts w:ascii="Arial" w:eastAsia="Times New Roman" w:hAnsi="Arial" w:cs="Times New Roman"/>
      <w:sz w:val="20"/>
      <w:szCs w:val="20"/>
      <w:lang w:val="es-AR" w:eastAsia="es-ES"/>
    </w:rPr>
  </w:style>
  <w:style w:type="paragraph" w:customStyle="1" w:styleId="BodyText21">
    <w:name w:val="Body Text 21"/>
    <w:basedOn w:val="Normal"/>
    <w:rsid w:val="00333106"/>
    <w:pPr>
      <w:widowControl w:val="0"/>
      <w:jc w:val="both"/>
    </w:pPr>
  </w:style>
  <w:style w:type="paragraph" w:styleId="Sangradetextonormal">
    <w:name w:val="Body Text Indent"/>
    <w:basedOn w:val="Normal"/>
    <w:link w:val="SangradetextonormalCar"/>
    <w:rsid w:val="00333106"/>
    <w:pPr>
      <w:spacing w:after="120"/>
      <w:ind w:left="283"/>
    </w:pPr>
  </w:style>
  <w:style w:type="character" w:customStyle="1" w:styleId="SangradetextonormalCar">
    <w:name w:val="Sangría de texto normal Car"/>
    <w:basedOn w:val="Fuentedeprrafopredeter"/>
    <w:link w:val="Sangradetextonormal"/>
    <w:rsid w:val="00333106"/>
    <w:rPr>
      <w:rFonts w:ascii="Arial" w:eastAsia="Times New Roman" w:hAnsi="Arial" w:cs="Times New Roman"/>
      <w:sz w:val="24"/>
      <w:szCs w:val="20"/>
      <w:lang w:val="es-AR" w:eastAsia="es-E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333106"/>
    <w:pPr>
      <w:ind w:left="708"/>
    </w:pPr>
  </w:style>
  <w:style w:type="paragraph" w:styleId="Sinespaciado">
    <w:name w:val="No Spacing"/>
    <w:uiPriority w:val="1"/>
    <w:qFormat/>
    <w:rsid w:val="00333106"/>
    <w:pPr>
      <w:spacing w:after="0" w:line="240" w:lineRule="auto"/>
    </w:pPr>
    <w:rPr>
      <w:rFonts w:ascii="Arial" w:eastAsia="Times New Roman" w:hAnsi="Arial" w:cs="Times New Roman"/>
      <w:sz w:val="24"/>
      <w:szCs w:val="20"/>
      <w:lang w:val="es-AR" w:eastAsia="es-E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333106"/>
    <w:rPr>
      <w:rFonts w:ascii="Arial" w:eastAsia="Times New Roman" w:hAnsi="Arial" w:cs="Times New Roman"/>
      <w:sz w:val="24"/>
      <w:szCs w:val="20"/>
      <w:lang w:val="es-AR" w:eastAsia="es-ES"/>
    </w:rPr>
  </w:style>
  <w:style w:type="character" w:styleId="Refdecomentario">
    <w:name w:val="annotation reference"/>
    <w:basedOn w:val="Fuentedeprrafopredeter"/>
    <w:uiPriority w:val="99"/>
    <w:semiHidden/>
    <w:unhideWhenUsed/>
    <w:rsid w:val="00D57FFC"/>
    <w:rPr>
      <w:sz w:val="16"/>
      <w:szCs w:val="16"/>
    </w:rPr>
  </w:style>
  <w:style w:type="paragraph" w:styleId="Textocomentario">
    <w:name w:val="annotation text"/>
    <w:basedOn w:val="Normal"/>
    <w:link w:val="TextocomentarioCar"/>
    <w:uiPriority w:val="99"/>
    <w:semiHidden/>
    <w:unhideWhenUsed/>
    <w:rsid w:val="00D57FFC"/>
    <w:rPr>
      <w:sz w:val="20"/>
    </w:rPr>
  </w:style>
  <w:style w:type="character" w:customStyle="1" w:styleId="TextocomentarioCar">
    <w:name w:val="Texto comentario Car"/>
    <w:basedOn w:val="Fuentedeprrafopredeter"/>
    <w:link w:val="Textocomentario"/>
    <w:uiPriority w:val="99"/>
    <w:semiHidden/>
    <w:rsid w:val="00D57FFC"/>
    <w:rPr>
      <w:rFonts w:ascii="Arial" w:eastAsia="Times New Roman" w:hAnsi="Arial" w:cs="Times New Roman"/>
      <w:sz w:val="20"/>
      <w:szCs w:val="20"/>
      <w:lang w:val="es-AR" w:eastAsia="es-ES"/>
    </w:rPr>
  </w:style>
  <w:style w:type="paragraph" w:styleId="Asuntodelcomentario">
    <w:name w:val="annotation subject"/>
    <w:basedOn w:val="Textocomentario"/>
    <w:next w:val="Textocomentario"/>
    <w:link w:val="AsuntodelcomentarioCar"/>
    <w:uiPriority w:val="99"/>
    <w:semiHidden/>
    <w:unhideWhenUsed/>
    <w:rsid w:val="00D57FFC"/>
    <w:rPr>
      <w:b/>
      <w:bCs/>
    </w:rPr>
  </w:style>
  <w:style w:type="character" w:customStyle="1" w:styleId="AsuntodelcomentarioCar">
    <w:name w:val="Asunto del comentario Car"/>
    <w:basedOn w:val="TextocomentarioCar"/>
    <w:link w:val="Asuntodelcomentario"/>
    <w:uiPriority w:val="99"/>
    <w:semiHidden/>
    <w:rsid w:val="00D57FFC"/>
    <w:rPr>
      <w:rFonts w:ascii="Arial" w:eastAsia="Times New Roman" w:hAnsi="Arial" w:cs="Times New Roman"/>
      <w:b/>
      <w:bCs/>
      <w:sz w:val="20"/>
      <w:szCs w:val="20"/>
      <w:lang w:val="es-AR" w:eastAsia="es-ES"/>
    </w:rPr>
  </w:style>
  <w:style w:type="paragraph" w:styleId="Textodeglobo">
    <w:name w:val="Balloon Text"/>
    <w:basedOn w:val="Normal"/>
    <w:link w:val="TextodegloboCar"/>
    <w:uiPriority w:val="99"/>
    <w:semiHidden/>
    <w:unhideWhenUsed/>
    <w:rsid w:val="00305B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BB6"/>
    <w:rPr>
      <w:rFonts w:ascii="Segoe UI" w:eastAsia="Times New Roman" w:hAnsi="Segoe UI" w:cs="Segoe UI"/>
      <w:sz w:val="18"/>
      <w:szCs w:val="18"/>
      <w:lang w:val="es-AR" w:eastAsia="es-ES"/>
    </w:rPr>
  </w:style>
  <w:style w:type="character" w:customStyle="1" w:styleId="jlqj4b">
    <w:name w:val="jlqj4b"/>
    <w:basedOn w:val="Fuentedeprrafopredeter"/>
    <w:rsid w:val="00260920"/>
  </w:style>
  <w:style w:type="paragraph" w:styleId="NormalWeb">
    <w:name w:val="Normal (Web)"/>
    <w:basedOn w:val="Normal"/>
    <w:uiPriority w:val="99"/>
    <w:unhideWhenUsed/>
    <w:rsid w:val="001A2092"/>
    <w:pPr>
      <w:spacing w:before="100" w:beforeAutospacing="1" w:after="100" w:afterAutospacing="1"/>
    </w:pPr>
    <w:rPr>
      <w:rFonts w:ascii="Times New Roman" w:hAnsi="Times New Roman"/>
      <w:szCs w:val="24"/>
      <w:lang w:val="pt-BR" w:eastAsia="pt-BR"/>
    </w:rPr>
  </w:style>
  <w:style w:type="paragraph" w:customStyle="1" w:styleId="tabelatextocentralizado">
    <w:name w:val="tabela_texto_centralizado"/>
    <w:basedOn w:val="Normal"/>
    <w:rsid w:val="00FC0E38"/>
    <w:pPr>
      <w:spacing w:before="100" w:beforeAutospacing="1" w:after="100" w:afterAutospacing="1"/>
    </w:pPr>
    <w:rPr>
      <w:rFonts w:ascii="Times New Roman" w:hAnsi="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658">
      <w:bodyDiv w:val="1"/>
      <w:marLeft w:val="0"/>
      <w:marRight w:val="0"/>
      <w:marTop w:val="0"/>
      <w:marBottom w:val="0"/>
      <w:divBdr>
        <w:top w:val="none" w:sz="0" w:space="0" w:color="auto"/>
        <w:left w:val="none" w:sz="0" w:space="0" w:color="auto"/>
        <w:bottom w:val="none" w:sz="0" w:space="0" w:color="auto"/>
        <w:right w:val="none" w:sz="0" w:space="0" w:color="auto"/>
      </w:divBdr>
    </w:div>
    <w:div w:id="198589572">
      <w:bodyDiv w:val="1"/>
      <w:marLeft w:val="0"/>
      <w:marRight w:val="0"/>
      <w:marTop w:val="0"/>
      <w:marBottom w:val="0"/>
      <w:divBdr>
        <w:top w:val="none" w:sz="0" w:space="0" w:color="auto"/>
        <w:left w:val="none" w:sz="0" w:space="0" w:color="auto"/>
        <w:bottom w:val="none" w:sz="0" w:space="0" w:color="auto"/>
        <w:right w:val="none" w:sz="0" w:space="0" w:color="auto"/>
      </w:divBdr>
    </w:div>
    <w:div w:id="207036174">
      <w:bodyDiv w:val="1"/>
      <w:marLeft w:val="0"/>
      <w:marRight w:val="0"/>
      <w:marTop w:val="0"/>
      <w:marBottom w:val="0"/>
      <w:divBdr>
        <w:top w:val="none" w:sz="0" w:space="0" w:color="auto"/>
        <w:left w:val="none" w:sz="0" w:space="0" w:color="auto"/>
        <w:bottom w:val="none" w:sz="0" w:space="0" w:color="auto"/>
        <w:right w:val="none" w:sz="0" w:space="0" w:color="auto"/>
      </w:divBdr>
      <w:divsChild>
        <w:div w:id="389964082">
          <w:marLeft w:val="0"/>
          <w:marRight w:val="0"/>
          <w:marTop w:val="0"/>
          <w:marBottom w:val="0"/>
          <w:divBdr>
            <w:top w:val="none" w:sz="0" w:space="0" w:color="auto"/>
            <w:left w:val="none" w:sz="0" w:space="0" w:color="auto"/>
            <w:bottom w:val="none" w:sz="0" w:space="0" w:color="auto"/>
            <w:right w:val="none" w:sz="0" w:space="0" w:color="auto"/>
          </w:divBdr>
        </w:div>
        <w:div w:id="1808087151">
          <w:marLeft w:val="0"/>
          <w:marRight w:val="0"/>
          <w:marTop w:val="0"/>
          <w:marBottom w:val="0"/>
          <w:divBdr>
            <w:top w:val="none" w:sz="0" w:space="0" w:color="auto"/>
            <w:left w:val="none" w:sz="0" w:space="0" w:color="auto"/>
            <w:bottom w:val="none" w:sz="0" w:space="0" w:color="auto"/>
            <w:right w:val="none" w:sz="0" w:space="0" w:color="auto"/>
          </w:divBdr>
        </w:div>
      </w:divsChild>
    </w:div>
    <w:div w:id="251739945">
      <w:bodyDiv w:val="1"/>
      <w:marLeft w:val="0"/>
      <w:marRight w:val="0"/>
      <w:marTop w:val="0"/>
      <w:marBottom w:val="0"/>
      <w:divBdr>
        <w:top w:val="none" w:sz="0" w:space="0" w:color="auto"/>
        <w:left w:val="none" w:sz="0" w:space="0" w:color="auto"/>
        <w:bottom w:val="none" w:sz="0" w:space="0" w:color="auto"/>
        <w:right w:val="none" w:sz="0" w:space="0" w:color="auto"/>
      </w:divBdr>
    </w:div>
    <w:div w:id="312030182">
      <w:bodyDiv w:val="1"/>
      <w:marLeft w:val="0"/>
      <w:marRight w:val="0"/>
      <w:marTop w:val="0"/>
      <w:marBottom w:val="0"/>
      <w:divBdr>
        <w:top w:val="none" w:sz="0" w:space="0" w:color="auto"/>
        <w:left w:val="none" w:sz="0" w:space="0" w:color="auto"/>
        <w:bottom w:val="none" w:sz="0" w:space="0" w:color="auto"/>
        <w:right w:val="none" w:sz="0" w:space="0" w:color="auto"/>
      </w:divBdr>
    </w:div>
    <w:div w:id="345861361">
      <w:bodyDiv w:val="1"/>
      <w:marLeft w:val="0"/>
      <w:marRight w:val="0"/>
      <w:marTop w:val="0"/>
      <w:marBottom w:val="0"/>
      <w:divBdr>
        <w:top w:val="none" w:sz="0" w:space="0" w:color="auto"/>
        <w:left w:val="none" w:sz="0" w:space="0" w:color="auto"/>
        <w:bottom w:val="none" w:sz="0" w:space="0" w:color="auto"/>
        <w:right w:val="none" w:sz="0" w:space="0" w:color="auto"/>
      </w:divBdr>
      <w:divsChild>
        <w:div w:id="1099108727">
          <w:marLeft w:val="0"/>
          <w:marRight w:val="0"/>
          <w:marTop w:val="0"/>
          <w:marBottom w:val="0"/>
          <w:divBdr>
            <w:top w:val="none" w:sz="0" w:space="0" w:color="auto"/>
            <w:left w:val="none" w:sz="0" w:space="0" w:color="auto"/>
            <w:bottom w:val="none" w:sz="0" w:space="0" w:color="auto"/>
            <w:right w:val="none" w:sz="0" w:space="0" w:color="auto"/>
          </w:divBdr>
          <w:divsChild>
            <w:div w:id="1351566009">
              <w:marLeft w:val="0"/>
              <w:marRight w:val="0"/>
              <w:marTop w:val="0"/>
              <w:marBottom w:val="0"/>
              <w:divBdr>
                <w:top w:val="none" w:sz="0" w:space="0" w:color="auto"/>
                <w:left w:val="none" w:sz="0" w:space="0" w:color="auto"/>
                <w:bottom w:val="none" w:sz="0" w:space="0" w:color="auto"/>
                <w:right w:val="none" w:sz="0" w:space="0" w:color="auto"/>
              </w:divBdr>
              <w:divsChild>
                <w:div w:id="1610627165">
                  <w:marLeft w:val="0"/>
                  <w:marRight w:val="0"/>
                  <w:marTop w:val="0"/>
                  <w:marBottom w:val="0"/>
                  <w:divBdr>
                    <w:top w:val="none" w:sz="0" w:space="0" w:color="auto"/>
                    <w:left w:val="none" w:sz="0" w:space="0" w:color="auto"/>
                    <w:bottom w:val="none" w:sz="0" w:space="0" w:color="auto"/>
                    <w:right w:val="none" w:sz="0" w:space="0" w:color="auto"/>
                  </w:divBdr>
                  <w:divsChild>
                    <w:div w:id="201019360">
                      <w:marLeft w:val="0"/>
                      <w:marRight w:val="0"/>
                      <w:marTop w:val="0"/>
                      <w:marBottom w:val="0"/>
                      <w:divBdr>
                        <w:top w:val="none" w:sz="0" w:space="0" w:color="auto"/>
                        <w:left w:val="none" w:sz="0" w:space="0" w:color="auto"/>
                        <w:bottom w:val="none" w:sz="0" w:space="0" w:color="auto"/>
                        <w:right w:val="none" w:sz="0" w:space="0" w:color="auto"/>
                      </w:divBdr>
                    </w:div>
                    <w:div w:id="227542709">
                      <w:marLeft w:val="0"/>
                      <w:marRight w:val="0"/>
                      <w:marTop w:val="0"/>
                      <w:marBottom w:val="0"/>
                      <w:divBdr>
                        <w:top w:val="none" w:sz="0" w:space="0" w:color="auto"/>
                        <w:left w:val="none" w:sz="0" w:space="0" w:color="auto"/>
                        <w:bottom w:val="none" w:sz="0" w:space="0" w:color="auto"/>
                        <w:right w:val="none" w:sz="0" w:space="0" w:color="auto"/>
                      </w:divBdr>
                    </w:div>
                    <w:div w:id="820385525">
                      <w:marLeft w:val="0"/>
                      <w:marRight w:val="0"/>
                      <w:marTop w:val="0"/>
                      <w:marBottom w:val="0"/>
                      <w:divBdr>
                        <w:top w:val="none" w:sz="0" w:space="0" w:color="auto"/>
                        <w:left w:val="none" w:sz="0" w:space="0" w:color="auto"/>
                        <w:bottom w:val="none" w:sz="0" w:space="0" w:color="auto"/>
                        <w:right w:val="none" w:sz="0" w:space="0" w:color="auto"/>
                      </w:divBdr>
                    </w:div>
                    <w:div w:id="1412891395">
                      <w:marLeft w:val="0"/>
                      <w:marRight w:val="0"/>
                      <w:marTop w:val="0"/>
                      <w:marBottom w:val="0"/>
                      <w:divBdr>
                        <w:top w:val="none" w:sz="0" w:space="0" w:color="auto"/>
                        <w:left w:val="none" w:sz="0" w:space="0" w:color="auto"/>
                        <w:bottom w:val="none" w:sz="0" w:space="0" w:color="auto"/>
                        <w:right w:val="none" w:sz="0" w:space="0" w:color="auto"/>
                      </w:divBdr>
                    </w:div>
                    <w:div w:id="1788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56">
      <w:bodyDiv w:val="1"/>
      <w:marLeft w:val="0"/>
      <w:marRight w:val="0"/>
      <w:marTop w:val="0"/>
      <w:marBottom w:val="0"/>
      <w:divBdr>
        <w:top w:val="none" w:sz="0" w:space="0" w:color="auto"/>
        <w:left w:val="none" w:sz="0" w:space="0" w:color="auto"/>
        <w:bottom w:val="none" w:sz="0" w:space="0" w:color="auto"/>
        <w:right w:val="none" w:sz="0" w:space="0" w:color="auto"/>
      </w:divBdr>
    </w:div>
    <w:div w:id="440687854">
      <w:bodyDiv w:val="1"/>
      <w:marLeft w:val="0"/>
      <w:marRight w:val="0"/>
      <w:marTop w:val="0"/>
      <w:marBottom w:val="0"/>
      <w:divBdr>
        <w:top w:val="none" w:sz="0" w:space="0" w:color="auto"/>
        <w:left w:val="none" w:sz="0" w:space="0" w:color="auto"/>
        <w:bottom w:val="none" w:sz="0" w:space="0" w:color="auto"/>
        <w:right w:val="none" w:sz="0" w:space="0" w:color="auto"/>
      </w:divBdr>
    </w:div>
    <w:div w:id="487944444">
      <w:bodyDiv w:val="1"/>
      <w:marLeft w:val="0"/>
      <w:marRight w:val="0"/>
      <w:marTop w:val="0"/>
      <w:marBottom w:val="0"/>
      <w:divBdr>
        <w:top w:val="none" w:sz="0" w:space="0" w:color="auto"/>
        <w:left w:val="none" w:sz="0" w:space="0" w:color="auto"/>
        <w:bottom w:val="none" w:sz="0" w:space="0" w:color="auto"/>
        <w:right w:val="none" w:sz="0" w:space="0" w:color="auto"/>
      </w:divBdr>
      <w:divsChild>
        <w:div w:id="12414734">
          <w:marLeft w:val="0"/>
          <w:marRight w:val="0"/>
          <w:marTop w:val="0"/>
          <w:marBottom w:val="0"/>
          <w:divBdr>
            <w:top w:val="none" w:sz="0" w:space="0" w:color="auto"/>
            <w:left w:val="none" w:sz="0" w:space="0" w:color="auto"/>
            <w:bottom w:val="none" w:sz="0" w:space="0" w:color="auto"/>
            <w:right w:val="none" w:sz="0" w:space="0" w:color="auto"/>
          </w:divBdr>
        </w:div>
        <w:div w:id="406458780">
          <w:marLeft w:val="0"/>
          <w:marRight w:val="0"/>
          <w:marTop w:val="0"/>
          <w:marBottom w:val="0"/>
          <w:divBdr>
            <w:top w:val="none" w:sz="0" w:space="0" w:color="auto"/>
            <w:left w:val="none" w:sz="0" w:space="0" w:color="auto"/>
            <w:bottom w:val="none" w:sz="0" w:space="0" w:color="auto"/>
            <w:right w:val="none" w:sz="0" w:space="0" w:color="auto"/>
          </w:divBdr>
        </w:div>
      </w:divsChild>
    </w:div>
    <w:div w:id="489058410">
      <w:bodyDiv w:val="1"/>
      <w:marLeft w:val="0"/>
      <w:marRight w:val="0"/>
      <w:marTop w:val="0"/>
      <w:marBottom w:val="0"/>
      <w:divBdr>
        <w:top w:val="none" w:sz="0" w:space="0" w:color="auto"/>
        <w:left w:val="none" w:sz="0" w:space="0" w:color="auto"/>
        <w:bottom w:val="none" w:sz="0" w:space="0" w:color="auto"/>
        <w:right w:val="none" w:sz="0" w:space="0" w:color="auto"/>
      </w:divBdr>
    </w:div>
    <w:div w:id="496580052">
      <w:bodyDiv w:val="1"/>
      <w:marLeft w:val="0"/>
      <w:marRight w:val="0"/>
      <w:marTop w:val="0"/>
      <w:marBottom w:val="0"/>
      <w:divBdr>
        <w:top w:val="none" w:sz="0" w:space="0" w:color="auto"/>
        <w:left w:val="none" w:sz="0" w:space="0" w:color="auto"/>
        <w:bottom w:val="none" w:sz="0" w:space="0" w:color="auto"/>
        <w:right w:val="none" w:sz="0" w:space="0" w:color="auto"/>
      </w:divBdr>
    </w:div>
    <w:div w:id="604004008">
      <w:bodyDiv w:val="1"/>
      <w:marLeft w:val="0"/>
      <w:marRight w:val="0"/>
      <w:marTop w:val="0"/>
      <w:marBottom w:val="0"/>
      <w:divBdr>
        <w:top w:val="none" w:sz="0" w:space="0" w:color="auto"/>
        <w:left w:val="none" w:sz="0" w:space="0" w:color="auto"/>
        <w:bottom w:val="none" w:sz="0" w:space="0" w:color="auto"/>
        <w:right w:val="none" w:sz="0" w:space="0" w:color="auto"/>
      </w:divBdr>
    </w:div>
    <w:div w:id="693651847">
      <w:bodyDiv w:val="1"/>
      <w:marLeft w:val="0"/>
      <w:marRight w:val="0"/>
      <w:marTop w:val="0"/>
      <w:marBottom w:val="0"/>
      <w:divBdr>
        <w:top w:val="none" w:sz="0" w:space="0" w:color="auto"/>
        <w:left w:val="none" w:sz="0" w:space="0" w:color="auto"/>
        <w:bottom w:val="none" w:sz="0" w:space="0" w:color="auto"/>
        <w:right w:val="none" w:sz="0" w:space="0" w:color="auto"/>
      </w:divBdr>
    </w:div>
    <w:div w:id="725682001">
      <w:bodyDiv w:val="1"/>
      <w:marLeft w:val="0"/>
      <w:marRight w:val="0"/>
      <w:marTop w:val="0"/>
      <w:marBottom w:val="0"/>
      <w:divBdr>
        <w:top w:val="none" w:sz="0" w:space="0" w:color="auto"/>
        <w:left w:val="none" w:sz="0" w:space="0" w:color="auto"/>
        <w:bottom w:val="none" w:sz="0" w:space="0" w:color="auto"/>
        <w:right w:val="none" w:sz="0" w:space="0" w:color="auto"/>
      </w:divBdr>
    </w:div>
    <w:div w:id="752433427">
      <w:bodyDiv w:val="1"/>
      <w:marLeft w:val="0"/>
      <w:marRight w:val="0"/>
      <w:marTop w:val="0"/>
      <w:marBottom w:val="0"/>
      <w:divBdr>
        <w:top w:val="none" w:sz="0" w:space="0" w:color="auto"/>
        <w:left w:val="none" w:sz="0" w:space="0" w:color="auto"/>
        <w:bottom w:val="none" w:sz="0" w:space="0" w:color="auto"/>
        <w:right w:val="none" w:sz="0" w:space="0" w:color="auto"/>
      </w:divBdr>
    </w:div>
    <w:div w:id="834757840">
      <w:bodyDiv w:val="1"/>
      <w:marLeft w:val="0"/>
      <w:marRight w:val="0"/>
      <w:marTop w:val="0"/>
      <w:marBottom w:val="0"/>
      <w:divBdr>
        <w:top w:val="none" w:sz="0" w:space="0" w:color="auto"/>
        <w:left w:val="none" w:sz="0" w:space="0" w:color="auto"/>
        <w:bottom w:val="none" w:sz="0" w:space="0" w:color="auto"/>
        <w:right w:val="none" w:sz="0" w:space="0" w:color="auto"/>
      </w:divBdr>
    </w:div>
    <w:div w:id="880827812">
      <w:bodyDiv w:val="1"/>
      <w:marLeft w:val="0"/>
      <w:marRight w:val="0"/>
      <w:marTop w:val="0"/>
      <w:marBottom w:val="0"/>
      <w:divBdr>
        <w:top w:val="none" w:sz="0" w:space="0" w:color="auto"/>
        <w:left w:val="none" w:sz="0" w:space="0" w:color="auto"/>
        <w:bottom w:val="none" w:sz="0" w:space="0" w:color="auto"/>
        <w:right w:val="none" w:sz="0" w:space="0" w:color="auto"/>
      </w:divBdr>
    </w:div>
    <w:div w:id="970789798">
      <w:bodyDiv w:val="1"/>
      <w:marLeft w:val="0"/>
      <w:marRight w:val="0"/>
      <w:marTop w:val="0"/>
      <w:marBottom w:val="0"/>
      <w:divBdr>
        <w:top w:val="none" w:sz="0" w:space="0" w:color="auto"/>
        <w:left w:val="none" w:sz="0" w:space="0" w:color="auto"/>
        <w:bottom w:val="none" w:sz="0" w:space="0" w:color="auto"/>
        <w:right w:val="none" w:sz="0" w:space="0" w:color="auto"/>
      </w:divBdr>
    </w:div>
    <w:div w:id="997418971">
      <w:bodyDiv w:val="1"/>
      <w:marLeft w:val="0"/>
      <w:marRight w:val="0"/>
      <w:marTop w:val="0"/>
      <w:marBottom w:val="0"/>
      <w:divBdr>
        <w:top w:val="none" w:sz="0" w:space="0" w:color="auto"/>
        <w:left w:val="none" w:sz="0" w:space="0" w:color="auto"/>
        <w:bottom w:val="none" w:sz="0" w:space="0" w:color="auto"/>
        <w:right w:val="none" w:sz="0" w:space="0" w:color="auto"/>
      </w:divBdr>
    </w:div>
    <w:div w:id="1003823511">
      <w:bodyDiv w:val="1"/>
      <w:marLeft w:val="0"/>
      <w:marRight w:val="0"/>
      <w:marTop w:val="0"/>
      <w:marBottom w:val="0"/>
      <w:divBdr>
        <w:top w:val="none" w:sz="0" w:space="0" w:color="auto"/>
        <w:left w:val="none" w:sz="0" w:space="0" w:color="auto"/>
        <w:bottom w:val="none" w:sz="0" w:space="0" w:color="auto"/>
        <w:right w:val="none" w:sz="0" w:space="0" w:color="auto"/>
      </w:divBdr>
    </w:div>
    <w:div w:id="1725324746">
      <w:bodyDiv w:val="1"/>
      <w:marLeft w:val="0"/>
      <w:marRight w:val="0"/>
      <w:marTop w:val="0"/>
      <w:marBottom w:val="0"/>
      <w:divBdr>
        <w:top w:val="none" w:sz="0" w:space="0" w:color="auto"/>
        <w:left w:val="none" w:sz="0" w:space="0" w:color="auto"/>
        <w:bottom w:val="none" w:sz="0" w:space="0" w:color="auto"/>
        <w:right w:val="none" w:sz="0" w:space="0" w:color="auto"/>
      </w:divBdr>
    </w:div>
    <w:div w:id="1794058980">
      <w:bodyDiv w:val="1"/>
      <w:marLeft w:val="0"/>
      <w:marRight w:val="0"/>
      <w:marTop w:val="0"/>
      <w:marBottom w:val="0"/>
      <w:divBdr>
        <w:top w:val="none" w:sz="0" w:space="0" w:color="auto"/>
        <w:left w:val="none" w:sz="0" w:space="0" w:color="auto"/>
        <w:bottom w:val="none" w:sz="0" w:space="0" w:color="auto"/>
        <w:right w:val="none" w:sz="0" w:space="0" w:color="auto"/>
      </w:divBdr>
    </w:div>
    <w:div w:id="1806779555">
      <w:bodyDiv w:val="1"/>
      <w:marLeft w:val="0"/>
      <w:marRight w:val="0"/>
      <w:marTop w:val="0"/>
      <w:marBottom w:val="0"/>
      <w:divBdr>
        <w:top w:val="none" w:sz="0" w:space="0" w:color="auto"/>
        <w:left w:val="none" w:sz="0" w:space="0" w:color="auto"/>
        <w:bottom w:val="none" w:sz="0" w:space="0" w:color="auto"/>
        <w:right w:val="none" w:sz="0" w:space="0" w:color="auto"/>
      </w:divBdr>
    </w:div>
    <w:div w:id="1915385860">
      <w:bodyDiv w:val="1"/>
      <w:marLeft w:val="0"/>
      <w:marRight w:val="0"/>
      <w:marTop w:val="0"/>
      <w:marBottom w:val="0"/>
      <w:divBdr>
        <w:top w:val="none" w:sz="0" w:space="0" w:color="auto"/>
        <w:left w:val="none" w:sz="0" w:space="0" w:color="auto"/>
        <w:bottom w:val="none" w:sz="0" w:space="0" w:color="auto"/>
        <w:right w:val="none" w:sz="0" w:space="0" w:color="auto"/>
      </w:divBdr>
    </w:div>
    <w:div w:id="1936670012">
      <w:bodyDiv w:val="1"/>
      <w:marLeft w:val="0"/>
      <w:marRight w:val="0"/>
      <w:marTop w:val="0"/>
      <w:marBottom w:val="0"/>
      <w:divBdr>
        <w:top w:val="none" w:sz="0" w:space="0" w:color="auto"/>
        <w:left w:val="none" w:sz="0" w:space="0" w:color="auto"/>
        <w:bottom w:val="none" w:sz="0" w:space="0" w:color="auto"/>
        <w:right w:val="none" w:sz="0" w:space="0" w:color="auto"/>
      </w:divBdr>
    </w:div>
    <w:div w:id="1949774259">
      <w:bodyDiv w:val="1"/>
      <w:marLeft w:val="0"/>
      <w:marRight w:val="0"/>
      <w:marTop w:val="0"/>
      <w:marBottom w:val="0"/>
      <w:divBdr>
        <w:top w:val="none" w:sz="0" w:space="0" w:color="auto"/>
        <w:left w:val="none" w:sz="0" w:space="0" w:color="auto"/>
        <w:bottom w:val="none" w:sz="0" w:space="0" w:color="auto"/>
        <w:right w:val="none" w:sz="0" w:space="0" w:color="auto"/>
      </w:divBdr>
    </w:div>
    <w:div w:id="2024168759">
      <w:bodyDiv w:val="1"/>
      <w:marLeft w:val="0"/>
      <w:marRight w:val="0"/>
      <w:marTop w:val="0"/>
      <w:marBottom w:val="0"/>
      <w:divBdr>
        <w:top w:val="none" w:sz="0" w:space="0" w:color="auto"/>
        <w:left w:val="none" w:sz="0" w:space="0" w:color="auto"/>
        <w:bottom w:val="none" w:sz="0" w:space="0" w:color="auto"/>
        <w:right w:val="none" w:sz="0" w:space="0" w:color="auto"/>
      </w:divBdr>
    </w:div>
    <w:div w:id="209435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9F4059098027246BD0A1E634B86442D" ma:contentTypeVersion="4" ma:contentTypeDescription="Crie um novo documento." ma:contentTypeScope="" ma:versionID="a45a013b6271ac22b79c82fd0151bd34">
  <xsd:schema xmlns:xsd="http://www.w3.org/2001/XMLSchema" xmlns:xs="http://www.w3.org/2001/XMLSchema" xmlns:p="http://schemas.microsoft.com/office/2006/metadata/properties" xmlns:ns2="60bfed07-b85e-406b-82f7-8e4d9f3863e5" targetNamespace="http://schemas.microsoft.com/office/2006/metadata/properties" ma:root="true" ma:fieldsID="c530a03c760f5fc06b57d4551621f334" ns2:_="">
    <xsd:import namespace="60bfed07-b85e-406b-82f7-8e4d9f386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ed07-b85e-406b-82f7-8e4d9f386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0A94-5F74-4D8F-B4C6-629DF3D02AB0}">
  <ds:schemaRefs>
    <ds:schemaRef ds:uri="http://schemas.microsoft.com/sharepoint/v3/contenttype/forms"/>
  </ds:schemaRefs>
</ds:datastoreItem>
</file>

<file path=customXml/itemProps2.xml><?xml version="1.0" encoding="utf-8"?>
<ds:datastoreItem xmlns:ds="http://schemas.openxmlformats.org/officeDocument/2006/customXml" ds:itemID="{5A252E38-87C8-4FF9-9747-9E71D1A1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ed07-b85e-406b-82f7-8e4d9f386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5D47C-1B18-42C6-8F54-45391698B9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4CAF9A-4F52-4EE8-BD06-6221B175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E. Lucena</dc:creator>
  <cp:keywords/>
  <dc:description/>
  <cp:lastModifiedBy>María Eugenia Gómez Urbieta</cp:lastModifiedBy>
  <cp:revision>8</cp:revision>
  <dcterms:created xsi:type="dcterms:W3CDTF">2021-10-01T22:52:00Z</dcterms:created>
  <dcterms:modified xsi:type="dcterms:W3CDTF">2021-12-17T13:49:00Z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0x01010099F4059098027246BD0A1E634B86442D</vt:lpwstr>
  </property>
</Properties>
</file>