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MERCOSUL/SGT Nº 8/SCV/ATA Nº 04/21</w:t>
      </w:r>
    </w:p>
    <w:p w:rsidR="00000000" w:rsidDel="00000000" w:rsidP="00000000" w:rsidRDefault="00000000" w:rsidRPr="00000000" w14:paraId="0000000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REUNIÃO ORDINÁRIA DA SUBCOMISSÃO DE QUARENTENA VEGETAL</w:t>
      </w:r>
    </w:p>
    <w:p w:rsidR="00000000" w:rsidDel="00000000" w:rsidP="00000000" w:rsidRDefault="00000000" w:rsidRPr="00000000" w14:paraId="0000000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Realizou-se por videoconferência, nos dias 26 e 27 de </w:t>
      </w:r>
      <w:r w:rsidDel="00000000" w:rsidR="00000000" w:rsidRPr="00000000">
        <w:rPr>
          <w:rtl w:val="0"/>
        </w:rPr>
        <w:t xml:space="preserve">outubro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2021, sob a Presidência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 Tempore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Brasil, a Reunião Ordinária da Subcomissão de Quarentena Vegetal dependente do Subgrupo de Trabalho Nº 8 “Agricultura”, com a participação das Delegações de Argentina, Brasil, Paraguai e Uruguai.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426" w:hanging="426"/>
        <w:jc w:val="both"/>
        <w:rPr/>
      </w:pPr>
      <w:r w:rsidDel="00000000" w:rsidR="00000000" w:rsidRPr="00000000">
        <w:rPr>
          <w:rtl w:val="0"/>
        </w:rPr>
        <w:t xml:space="preserve">A Lista de Participantes consta no </w:t>
      </w:r>
      <w:r w:rsidDel="00000000" w:rsidR="00000000" w:rsidRPr="00000000">
        <w:rPr>
          <w:b w:val="1"/>
          <w:rtl w:val="0"/>
        </w:rPr>
        <w:t xml:space="preserve">Anexo I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B">
      <w:pPr>
        <w:ind w:left="426" w:hanging="42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426" w:hanging="426"/>
        <w:jc w:val="both"/>
        <w:rPr>
          <w:b w:val="1"/>
        </w:rPr>
      </w:pPr>
      <w:r w:rsidDel="00000000" w:rsidR="00000000" w:rsidRPr="00000000">
        <w:rPr>
          <w:rtl w:val="0"/>
        </w:rPr>
        <w:t xml:space="preserve">A Agenda aprovada consta no </w:t>
      </w:r>
      <w:r w:rsidDel="00000000" w:rsidR="00000000" w:rsidRPr="00000000">
        <w:rPr>
          <w:b w:val="1"/>
          <w:rtl w:val="0"/>
        </w:rPr>
        <w:t xml:space="preserve">Anexo I.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Durante a reunião foram tratados os seguintes temas: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54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Leitura das atas da reunião virtual 0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/21 da Subcomissão de Quarentena Vegetal do Mercosul (SCCV)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Procedeu-se à leitura das atas da reunião virtual 03/21 da Subcomissão de Quarentena Vegetal do Mercosul (SCCV).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56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Finalização Sub-standard 3.7.29 – Milho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i w:val="1"/>
          <w:rtl w:val="0"/>
        </w:rPr>
        <w:t xml:space="preserve">Eragrostis plana: </w:t>
      </w:r>
      <w:r w:rsidDel="00000000" w:rsidR="00000000" w:rsidRPr="00000000">
        <w:rPr>
          <w:sz w:val="22"/>
          <w:szCs w:val="22"/>
          <w:rtl w:val="0"/>
        </w:rPr>
        <w:t xml:space="preserve">Países acordam em manter regulamentação de </w:t>
      </w:r>
      <w:r w:rsidDel="00000000" w:rsidR="00000000" w:rsidRPr="00000000">
        <w:rPr>
          <w:i w:val="1"/>
          <w:sz w:val="22"/>
          <w:szCs w:val="22"/>
          <w:rtl w:val="0"/>
        </w:rPr>
        <w:t xml:space="preserve">Eragrostis plana</w:t>
      </w:r>
      <w:r w:rsidDel="00000000" w:rsidR="00000000" w:rsidRPr="00000000">
        <w:rPr>
          <w:sz w:val="22"/>
          <w:szCs w:val="22"/>
          <w:rtl w:val="0"/>
        </w:rPr>
        <w:t xml:space="preserve">, considerando que apesar de estar associada a campos naturais, como forma de manejo da planta invasora se pode converter áreas de pastagem para culturas agrícolas, como o milho, ocasião em que se pode ter as duas espécies juntas, bem como o fato de que há coincidência na época de produção de sementes. Assim, se exigirá DA5 (inspeção do campo) ou DA15 (análise laboratorial) para esta praga.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pacing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Em relação às pragas </w:t>
      </w:r>
      <w:r w:rsidDel="00000000" w:rsidR="00000000" w:rsidRPr="00000000">
        <w:rPr>
          <w:i w:val="1"/>
          <w:rtl w:val="0"/>
        </w:rPr>
        <w:t xml:space="preserve">Latheticus orizae</w:t>
      </w:r>
      <w:r w:rsidDel="00000000" w:rsidR="00000000" w:rsidRPr="00000000">
        <w:rPr>
          <w:rtl w:val="0"/>
        </w:rPr>
        <w:t xml:space="preserve"> e </w:t>
      </w:r>
      <w:r w:rsidDel="00000000" w:rsidR="00000000" w:rsidRPr="00000000">
        <w:rPr>
          <w:i w:val="1"/>
          <w:rtl w:val="0"/>
        </w:rPr>
        <w:t xml:space="preserve">Sitophilus granarius,</w:t>
      </w:r>
      <w:r w:rsidDel="00000000" w:rsidR="00000000" w:rsidRPr="00000000">
        <w:rPr>
          <w:rtl w:val="0"/>
        </w:rPr>
        <w:t xml:space="preserve"> para as quais se exigia tratamento com fosfina, </w:t>
      </w:r>
      <w:r w:rsidDel="00000000" w:rsidR="00000000" w:rsidRPr="00000000">
        <w:rPr>
          <w:rtl w:val="0"/>
        </w:rPr>
        <w:t xml:space="preserve">considerando que a regulamentação das mesmas foi baseada em revisão de literatura e que não há registros de interceptação das mesmas pelos países, a SCV acorda em reduzir a intensidade da medida de DA2 para DA1 neste momento. Em caso de interceptação no futuro, poderão ser revistas as medidas para as espécies interceptadas.</w:t>
      </w:r>
    </w:p>
    <w:p w:rsidR="00000000" w:rsidDel="00000000" w:rsidP="00000000" w:rsidRDefault="00000000" w:rsidRPr="00000000" w14:paraId="0000001A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Memória de alterações em relação ao Sub-standard vigente (2020):</w:t>
      </w:r>
    </w:p>
    <w:p w:rsidR="00000000" w:rsidDel="00000000" w:rsidP="00000000" w:rsidRDefault="00000000" w:rsidRPr="00000000" w14:paraId="0000001D">
      <w:pPr>
        <w:numPr>
          <w:ilvl w:val="0"/>
          <w:numId w:val="11"/>
        </w:numPr>
        <w:spacing w:line="276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 Sub-standard de 2006 não havia nenhuma praga regulamentada. Na revisão de 2020 foram incluídas 9 pragas (</w:t>
      </w:r>
      <w:r w:rsidDel="00000000" w:rsidR="00000000" w:rsidRPr="00000000">
        <w:rPr>
          <w:i w:val="1"/>
          <w:rtl w:val="0"/>
        </w:rPr>
        <w:t xml:space="preserve">Amaranthus palmeri, Aphelenchoides besseyi, Clavibacter michiganensis </w:t>
      </w:r>
      <w:r w:rsidDel="00000000" w:rsidR="00000000" w:rsidRPr="00000000">
        <w:rPr>
          <w:rtl w:val="0"/>
        </w:rPr>
        <w:t xml:space="preserve">subsp.</w:t>
      </w:r>
      <w:r w:rsidDel="00000000" w:rsidR="00000000" w:rsidRPr="00000000">
        <w:rPr>
          <w:i w:val="1"/>
          <w:rtl w:val="0"/>
        </w:rPr>
        <w:t xml:space="preserve"> nebraskensis, Eragrostis plana, Latheticus oryzae, Pantoea ananatis, Pantoea sterwartii, Sitophilus granarius, Thlaspi arvense</w:t>
      </w:r>
      <w:r w:rsidDel="00000000" w:rsidR="00000000" w:rsidRPr="00000000">
        <w:rPr>
          <w:rtl w:val="0"/>
        </w:rPr>
        <w:t xml:space="preserve">). Na presente revisão estão sendo retiradas 3 delas (</w:t>
      </w:r>
      <w:r w:rsidDel="00000000" w:rsidR="00000000" w:rsidRPr="00000000">
        <w:rPr>
          <w:i w:val="1"/>
          <w:rtl w:val="0"/>
        </w:rPr>
        <w:t xml:space="preserve">Aphelenchoides besseyi, Clavibacter michiganensis </w:t>
      </w:r>
      <w:r w:rsidDel="00000000" w:rsidR="00000000" w:rsidRPr="00000000">
        <w:rPr>
          <w:rtl w:val="0"/>
        </w:rPr>
        <w:t xml:space="preserve">subsp.</w:t>
      </w:r>
      <w:r w:rsidDel="00000000" w:rsidR="00000000" w:rsidRPr="00000000">
        <w:rPr>
          <w:i w:val="1"/>
          <w:rtl w:val="0"/>
        </w:rPr>
        <w:t xml:space="preserve"> nebraskensis, Pantoea ananatis</w:t>
      </w:r>
      <w:r w:rsidDel="00000000" w:rsidR="00000000" w:rsidRPr="00000000">
        <w:rPr>
          <w:rtl w:val="0"/>
        </w:rPr>
        <w:t xml:space="preserve">) e alterada a DA para duas delas (</w:t>
      </w:r>
      <w:r w:rsidDel="00000000" w:rsidR="00000000" w:rsidRPr="00000000">
        <w:rPr>
          <w:i w:val="1"/>
          <w:rtl w:val="0"/>
        </w:rPr>
        <w:t xml:space="preserve">Latheticus oryzae, Sitophilus granarius</w:t>
      </w:r>
      <w:r w:rsidDel="00000000" w:rsidR="00000000" w:rsidRPr="00000000">
        <w:rPr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1"/>
        </w:numPr>
        <w:spacing w:line="276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Adequação ao Standard 3.7 de acordo com a Resolução GMC Nº 10/20.</w:t>
      </w:r>
    </w:p>
    <w:p w:rsidR="00000000" w:rsidDel="00000000" w:rsidP="00000000" w:rsidRDefault="00000000" w:rsidRPr="00000000" w14:paraId="0000001F">
      <w:pPr>
        <w:numPr>
          <w:ilvl w:val="0"/>
          <w:numId w:val="11"/>
        </w:numPr>
        <w:spacing w:line="276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Retirada de </w:t>
      </w:r>
      <w:r w:rsidDel="00000000" w:rsidR="00000000" w:rsidRPr="00000000">
        <w:rPr>
          <w:i w:val="1"/>
          <w:rtl w:val="0"/>
        </w:rPr>
        <w:t xml:space="preserve">Aphelenchoides besseyi </w:t>
      </w:r>
      <w:r w:rsidDel="00000000" w:rsidR="00000000" w:rsidRPr="00000000">
        <w:rPr>
          <w:rtl w:val="0"/>
        </w:rPr>
        <w:t xml:space="preserve">que estava regulamentado para sementes de milho por Paraguai e Uruguai para Argentina e Brasil, com exigência de DA5 ou DA15. Motivo: semente não é via de ingresso em milho para o nematoide.</w:t>
      </w:r>
    </w:p>
    <w:p w:rsidR="00000000" w:rsidDel="00000000" w:rsidP="00000000" w:rsidRDefault="00000000" w:rsidRPr="00000000" w14:paraId="00000020">
      <w:pPr>
        <w:numPr>
          <w:ilvl w:val="0"/>
          <w:numId w:val="11"/>
        </w:numPr>
        <w:spacing w:line="276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Retirada de </w:t>
      </w:r>
      <w:r w:rsidDel="00000000" w:rsidR="00000000" w:rsidRPr="00000000">
        <w:rPr>
          <w:i w:val="1"/>
          <w:rtl w:val="0"/>
        </w:rPr>
        <w:t xml:space="preserve">Clavibacter michiganensis </w:t>
      </w:r>
      <w:r w:rsidDel="00000000" w:rsidR="00000000" w:rsidRPr="00000000">
        <w:rPr>
          <w:rtl w:val="0"/>
        </w:rPr>
        <w:t xml:space="preserve">subsp.</w:t>
      </w:r>
      <w:r w:rsidDel="00000000" w:rsidR="00000000" w:rsidRPr="00000000">
        <w:rPr>
          <w:i w:val="1"/>
          <w:rtl w:val="0"/>
        </w:rPr>
        <w:t xml:space="preserve"> nebraskensis </w:t>
      </w:r>
      <w:r w:rsidDel="00000000" w:rsidR="00000000" w:rsidRPr="00000000">
        <w:rPr>
          <w:rtl w:val="0"/>
        </w:rPr>
        <w:t xml:space="preserve">que estava regulamentada para sementes de milho por Argentina, Brasil e Paraguai para Uruguai, com exigência de DA5 ou DA15. Motivo: praga ausente no Uruguai.</w:t>
      </w:r>
    </w:p>
    <w:p w:rsidR="00000000" w:rsidDel="00000000" w:rsidP="00000000" w:rsidRDefault="00000000" w:rsidRPr="00000000" w14:paraId="00000021">
      <w:pPr>
        <w:numPr>
          <w:ilvl w:val="0"/>
          <w:numId w:val="11"/>
        </w:numPr>
        <w:spacing w:line="276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Retirada de </w:t>
      </w:r>
      <w:r w:rsidDel="00000000" w:rsidR="00000000" w:rsidRPr="00000000">
        <w:rPr>
          <w:i w:val="1"/>
          <w:rtl w:val="0"/>
        </w:rPr>
        <w:t xml:space="preserve">Pantoea ananatis </w:t>
      </w:r>
      <w:r w:rsidDel="00000000" w:rsidR="00000000" w:rsidRPr="00000000">
        <w:rPr>
          <w:rtl w:val="0"/>
        </w:rPr>
        <w:t xml:space="preserve">que estava regulamentada para sementes de milho por Paraguai e Uruguai para Argentina e Brasil, com exigência de DA5 ou DA15. Motivo: baixa probabilidade de associação com as sementes de milho e de estabelecimento uma vez que o vetor não está presente no Paraguai.</w:t>
      </w:r>
    </w:p>
    <w:p w:rsidR="00000000" w:rsidDel="00000000" w:rsidP="00000000" w:rsidRDefault="00000000" w:rsidRPr="00000000" w14:paraId="00000022">
      <w:pPr>
        <w:numPr>
          <w:ilvl w:val="0"/>
          <w:numId w:val="11"/>
        </w:numPr>
        <w:spacing w:line="276" w:lineRule="auto"/>
        <w:ind w:left="1440" w:hanging="360"/>
        <w:jc w:val="both"/>
        <w:rPr>
          <w:u w:val="none"/>
        </w:rPr>
      </w:pPr>
      <w:r w:rsidDel="00000000" w:rsidR="00000000" w:rsidRPr="00000000">
        <w:rPr>
          <w:i w:val="1"/>
          <w:rtl w:val="0"/>
        </w:rPr>
        <w:t xml:space="preserve">Eragrostis plana</w:t>
      </w:r>
      <w:r w:rsidDel="00000000" w:rsidR="00000000" w:rsidRPr="00000000">
        <w:rPr>
          <w:rtl w:val="0"/>
        </w:rPr>
        <w:t xml:space="preserve">: Uruguai solicitou a retirada considerando que não estaria associado a milho, no entanto, o grupo entendeu que há probabilidade de associação e manteve no substandard. Regulamentada em sementes de milho por Argentina e Paraguai para Brasil e Uruguai, com exigência de DA5 ou DA15.</w:t>
      </w:r>
    </w:p>
    <w:p w:rsidR="00000000" w:rsidDel="00000000" w:rsidP="00000000" w:rsidRDefault="00000000" w:rsidRPr="00000000" w14:paraId="00000023">
      <w:pPr>
        <w:numPr>
          <w:ilvl w:val="0"/>
          <w:numId w:val="11"/>
        </w:numPr>
        <w:spacing w:line="276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 exigência de tratamento com fosfina para os insetos </w:t>
      </w:r>
      <w:r w:rsidDel="00000000" w:rsidR="00000000" w:rsidRPr="00000000">
        <w:rPr>
          <w:i w:val="1"/>
          <w:rtl w:val="0"/>
        </w:rPr>
        <w:t xml:space="preserve">Latheticus oryzae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i w:val="1"/>
          <w:rtl w:val="0"/>
        </w:rPr>
        <w:t xml:space="preserve"> Sitophilus granarius </w:t>
      </w:r>
      <w:r w:rsidDel="00000000" w:rsidR="00000000" w:rsidRPr="00000000">
        <w:rPr>
          <w:rtl w:val="0"/>
        </w:rPr>
        <w:t xml:space="preserve">(DA2) foi substituída por inspeção do envio (DA1). Com isso, não se fez necessária a harmonização dos tratamentos entre os países, nem a opção de medida para viabilizar o comércio de grãos orgânicos.</w:t>
      </w:r>
    </w:p>
    <w:p w:rsidR="00000000" w:rsidDel="00000000" w:rsidP="00000000" w:rsidRDefault="00000000" w:rsidRPr="00000000" w14:paraId="00000024">
      <w:pPr>
        <w:numPr>
          <w:ilvl w:val="0"/>
          <w:numId w:val="11"/>
        </w:numPr>
        <w:spacing w:line="276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Farelo: não foi incluído considerando que não constava no substandard de 2006 e não houve demanda para inclusão.</w:t>
      </w:r>
    </w:p>
    <w:p w:rsidR="00000000" w:rsidDel="00000000" w:rsidP="00000000" w:rsidRDefault="00000000" w:rsidRPr="00000000" w14:paraId="00000025">
      <w:pPr>
        <w:numPr>
          <w:ilvl w:val="0"/>
          <w:numId w:val="11"/>
        </w:numPr>
        <w:spacing w:line="276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Argentina: passa a exigir (R4) e R18 em espiga / mazorca.</w:t>
      </w:r>
    </w:p>
    <w:p w:rsidR="00000000" w:rsidDel="00000000" w:rsidP="00000000" w:rsidRDefault="00000000" w:rsidRPr="00000000" w14:paraId="00000026">
      <w:pPr>
        <w:numPr>
          <w:ilvl w:val="0"/>
          <w:numId w:val="11"/>
        </w:numPr>
        <w:spacing w:line="276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Brasil: passa a especificar a subsp de </w:t>
      </w:r>
      <w:r w:rsidDel="00000000" w:rsidR="00000000" w:rsidRPr="00000000">
        <w:rPr>
          <w:i w:val="1"/>
          <w:rtl w:val="0"/>
        </w:rPr>
        <w:t xml:space="preserve">Pantoea stewartii</w:t>
      </w:r>
      <w:r w:rsidDel="00000000" w:rsidR="00000000" w:rsidRPr="00000000">
        <w:rPr>
          <w:rtl w:val="0"/>
        </w:rPr>
        <w:t xml:space="preserve"> como </w:t>
      </w:r>
      <w:r w:rsidDel="00000000" w:rsidR="00000000" w:rsidRPr="00000000">
        <w:rPr>
          <w:i w:val="1"/>
          <w:rtl w:val="0"/>
        </w:rPr>
        <w:t xml:space="preserve">P. stewartii </w:t>
      </w:r>
      <w:r w:rsidDel="00000000" w:rsidR="00000000" w:rsidRPr="00000000">
        <w:rPr>
          <w:rtl w:val="0"/>
        </w:rPr>
        <w:t xml:space="preserve">subsp. </w:t>
      </w:r>
      <w:r w:rsidDel="00000000" w:rsidR="00000000" w:rsidRPr="00000000">
        <w:rPr>
          <w:i w:val="1"/>
          <w:rtl w:val="0"/>
        </w:rPr>
        <w:t xml:space="preserve">stewartii</w:t>
      </w:r>
      <w:r w:rsidDel="00000000" w:rsidR="00000000" w:rsidRPr="00000000">
        <w:rPr>
          <w:rtl w:val="0"/>
        </w:rPr>
        <w:t xml:space="preserve"> que é a única espécie regulamentada como PQA.</w:t>
      </w:r>
    </w:p>
    <w:p w:rsidR="00000000" w:rsidDel="00000000" w:rsidP="00000000" w:rsidRDefault="00000000" w:rsidRPr="00000000" w14:paraId="00000027">
      <w:pPr>
        <w:numPr>
          <w:ilvl w:val="0"/>
          <w:numId w:val="11"/>
        </w:numPr>
        <w:spacing w:line="276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Brasil: retira R0 para todos os produtos do substandard e acrescenta R4 para espiga / mazorca.</w:t>
      </w:r>
    </w:p>
    <w:p w:rsidR="00000000" w:rsidDel="00000000" w:rsidP="00000000" w:rsidRDefault="00000000" w:rsidRPr="00000000" w14:paraId="00000028">
      <w:pPr>
        <w:numPr>
          <w:ilvl w:val="0"/>
          <w:numId w:val="11"/>
        </w:numPr>
        <w:spacing w:line="276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Paraguai: passa a exigir (R9) para sementes e R4 para espiga / mazorca.</w:t>
      </w:r>
    </w:p>
    <w:p w:rsidR="00000000" w:rsidDel="00000000" w:rsidP="00000000" w:rsidRDefault="00000000" w:rsidRPr="00000000" w14:paraId="00000029">
      <w:pPr>
        <w:numPr>
          <w:ilvl w:val="0"/>
          <w:numId w:val="11"/>
        </w:numPr>
        <w:spacing w:line="276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Uruguai: retira R12 para sementes e passa a exigir R4 para grão e espiga / mazorca.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[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R0 - Requer autorização fitossanitária de importação.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R4 - O envio estará sujeito a análise oficial de laboratório no ingresso.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R9 - O envio estará sujeito a quarentena pós-entrada de acordo com as seguintes condições: (especificar as condições ou a norma vigente).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R12 - Deverá cumprir ao disposto nos Standards Específicos para a Produção de Materiais de Propagação de Milho do Uruguai.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R18 - O envio deverá vir em envase novo, de primeiro uso, etiquetado ou rotulado de acordo com a norma vigente.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A revisão do Sub-standard de milho foi finalizada. Assim, a SCV informa que este Sub-standard está pronto para ser elevado ao SGT-8 e segue no </w:t>
      </w:r>
      <w:r w:rsidDel="00000000" w:rsidR="00000000" w:rsidRPr="00000000">
        <w:rPr>
          <w:b w:val="1"/>
          <w:rtl w:val="0"/>
        </w:rPr>
        <w:t xml:space="preserve">Anexo II</w:t>
      </w:r>
      <w:r w:rsidDel="00000000" w:rsidR="00000000" w:rsidRPr="00000000">
        <w:rPr>
          <w:rtl w:val="0"/>
        </w:rPr>
        <w:t xml:space="preserve"> as versões em espanhol e português. </w:t>
      </w:r>
    </w:p>
    <w:p w:rsidR="00000000" w:rsidDel="00000000" w:rsidP="00000000" w:rsidRDefault="00000000" w:rsidRPr="00000000" w14:paraId="00000035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line="256" w:lineRule="auto"/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Finalização Sub-Standard 3.7.27 – Arroz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54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9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Incorpora-se arroz polido ao substandard, classificado como Categoria 2. Serão regulamentadas as mesmas pragas que para os demais tipos de grãos.</w:t>
      </w:r>
    </w:p>
    <w:p w:rsidR="00000000" w:rsidDel="00000000" w:rsidP="00000000" w:rsidRDefault="00000000" w:rsidRPr="00000000" w14:paraId="00000039">
      <w:pPr>
        <w:numPr>
          <w:ilvl w:val="0"/>
          <w:numId w:val="9"/>
        </w:numPr>
        <w:spacing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Os produtos de consumo para arroz ficaram como:</w:t>
      </w:r>
    </w:p>
    <w:p w:rsidR="00000000" w:rsidDel="00000000" w:rsidP="00000000" w:rsidRDefault="00000000" w:rsidRPr="00000000" w14:paraId="0000003A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Categoria 3: Grão com casca/Grano con cáscara</w:t>
      </w:r>
    </w:p>
    <w:p w:rsidR="00000000" w:rsidDel="00000000" w:rsidP="00000000" w:rsidRDefault="00000000" w:rsidRPr="00000000" w14:paraId="0000003C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  <w:t xml:space="preserve">Categoria 2: Grão descascado (cargo ou integral) / </w:t>
      </w:r>
      <w:r w:rsidDel="00000000" w:rsidR="00000000" w:rsidRPr="00000000">
        <w:rPr>
          <w:rtl w:val="0"/>
        </w:rPr>
        <w:t xml:space="preserve">Grano descascarado </w:t>
      </w:r>
      <w:r w:rsidDel="00000000" w:rsidR="00000000" w:rsidRPr="00000000">
        <w:rPr>
          <w:rtl w:val="0"/>
        </w:rPr>
        <w:t xml:space="preserve">(cargo o integral)</w:t>
      </w:r>
    </w:p>
    <w:p w:rsidR="00000000" w:rsidDel="00000000" w:rsidP="00000000" w:rsidRDefault="00000000" w:rsidRPr="00000000" w14:paraId="0000003D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  <w:tab/>
        <w:tab/>
        <w:t xml:space="preserve">Grão polido (arroz branco) / </w:t>
      </w:r>
      <w:r w:rsidDel="00000000" w:rsidR="00000000" w:rsidRPr="00000000">
        <w:rPr>
          <w:rtl w:val="0"/>
        </w:rPr>
        <w:t xml:space="preserve">Grano pulido (arroz blanco)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  <w:tab/>
        <w:tab/>
        <w:t xml:space="preserve">Farelo / Afrechillo</w:t>
      </w:r>
    </w:p>
    <w:p w:rsidR="00000000" w:rsidDel="00000000" w:rsidP="00000000" w:rsidRDefault="00000000" w:rsidRPr="00000000" w14:paraId="0000003F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  <w:tab/>
        <w:tab/>
        <w:t xml:space="preserve">Casca / Cáscara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9"/>
        </w:numPr>
        <w:spacing w:line="276" w:lineRule="auto"/>
        <w:ind w:left="720" w:hanging="360"/>
        <w:jc w:val="both"/>
      </w:pPr>
      <w:r w:rsidDel="00000000" w:rsidR="00000000" w:rsidRPr="00000000">
        <w:rPr>
          <w:sz w:val="22"/>
          <w:szCs w:val="22"/>
          <w:rtl w:val="0"/>
        </w:rPr>
        <w:t xml:space="preserve">No Sub-standard de 2020, farelo / afrechillo era considerado como Categoria 3, tendo sido reclassificado para a Categoria 2.</w:t>
      </w:r>
    </w:p>
    <w:p w:rsidR="00000000" w:rsidDel="00000000" w:rsidP="00000000" w:rsidRDefault="00000000" w:rsidRPr="00000000" w14:paraId="00000041">
      <w:pPr>
        <w:numPr>
          <w:ilvl w:val="0"/>
          <w:numId w:val="9"/>
        </w:numPr>
        <w:spacing w:line="276" w:lineRule="auto"/>
        <w:ind w:left="720" w:hanging="360"/>
        <w:jc w:val="both"/>
      </w:pPr>
      <w:r w:rsidDel="00000000" w:rsidR="00000000" w:rsidRPr="00000000">
        <w:rPr>
          <w:sz w:val="22"/>
          <w:szCs w:val="22"/>
          <w:rtl w:val="0"/>
        </w:rPr>
        <w:t xml:space="preserve">Em relação às pragas </w:t>
      </w:r>
      <w:r w:rsidDel="00000000" w:rsidR="00000000" w:rsidRPr="00000000">
        <w:rPr>
          <w:i w:val="1"/>
          <w:rtl w:val="0"/>
        </w:rPr>
        <w:t xml:space="preserve">Callosobruchus analis, Callosobruchus maculatus, Callosobruchus chinensis, Urophorus humeralis,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Corcyra cephalonica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i w:val="1"/>
          <w:rtl w:val="0"/>
        </w:rPr>
        <w:t xml:space="preserve"> Latheticus oryzae, </w:t>
      </w:r>
      <w:r w:rsidDel="00000000" w:rsidR="00000000" w:rsidRPr="00000000">
        <w:rPr>
          <w:rtl w:val="0"/>
        </w:rPr>
        <w:t xml:space="preserve">para as quais se exigia tratamento com fosfina,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considerando que a regulamentação das mesmas foi baseada em revisão de literatura e que não há registros de interceptação das mesmas pelos países, a SCV acorda em reduzir a intensidade da medida de DA2 para DA1 neste momento. Em caso de interceptação no futuro, poderão ser revistas as medidas para as espécies interceptadas. </w:t>
      </w:r>
    </w:p>
    <w:p w:rsidR="00000000" w:rsidDel="00000000" w:rsidP="00000000" w:rsidRDefault="00000000" w:rsidRPr="00000000" w14:paraId="00000042">
      <w:pPr>
        <w:numPr>
          <w:ilvl w:val="0"/>
          <w:numId w:val="9"/>
        </w:numPr>
        <w:ind w:left="720" w:hanging="360"/>
        <w:jc w:val="both"/>
        <w:rPr>
          <w:rFonts w:ascii="Arial-BoldMT" w:cs="Arial-BoldMT" w:eastAsia="Arial-BoldMT" w:hAnsi="Arial-BoldMT"/>
        </w:rPr>
      </w:pPr>
      <w:r w:rsidDel="00000000" w:rsidR="00000000" w:rsidRPr="00000000">
        <w:rPr>
          <w:rFonts w:ascii="Arial-BoldMT" w:cs="Arial-BoldMT" w:eastAsia="Arial-BoldMT" w:hAnsi="Arial-BoldMT"/>
          <w:rtl w:val="0"/>
        </w:rPr>
        <w:t xml:space="preserve">No substandard atual, na versão em português só consta “farelo”, sendo que na presente revisão está se incluindo na versão em português além de farelo também casca, correspondendo a “cáscara e afrejillo” na versão em espanhol.</w:t>
      </w:r>
    </w:p>
    <w:p w:rsidR="00000000" w:rsidDel="00000000" w:rsidP="00000000" w:rsidRDefault="00000000" w:rsidRPr="00000000" w14:paraId="00000043">
      <w:pPr>
        <w:numPr>
          <w:ilvl w:val="0"/>
          <w:numId w:val="9"/>
        </w:numPr>
        <w:ind w:left="720" w:hanging="360"/>
        <w:jc w:val="both"/>
        <w:rPr>
          <w:rFonts w:ascii="Arial-BoldMT" w:cs="Arial-BoldMT" w:eastAsia="Arial-BoldMT" w:hAnsi="Arial-BoldMT"/>
        </w:rPr>
      </w:pPr>
      <w:r w:rsidDel="00000000" w:rsidR="00000000" w:rsidRPr="00000000">
        <w:rPr>
          <w:rFonts w:ascii="Arial-BoldMT" w:cs="Arial-BoldMT" w:eastAsia="Arial-BoldMT" w:hAnsi="Arial-BoldMT"/>
          <w:rtl w:val="0"/>
        </w:rPr>
        <w:t xml:space="preserve">Ficam separados casca e farelo, pois </w:t>
      </w:r>
      <w:r w:rsidDel="00000000" w:rsidR="00000000" w:rsidRPr="00000000">
        <w:rPr>
          <w:rFonts w:ascii="Arial-BoldMT" w:cs="Arial-BoldMT" w:eastAsia="Arial-BoldMT" w:hAnsi="Arial-BoldMT"/>
          <w:i w:val="1"/>
          <w:rtl w:val="0"/>
        </w:rPr>
        <w:t xml:space="preserve">A. besseyi</w:t>
      </w:r>
      <w:r w:rsidDel="00000000" w:rsidR="00000000" w:rsidRPr="00000000">
        <w:rPr>
          <w:rFonts w:ascii="Arial-BoldMT" w:cs="Arial-BoldMT" w:eastAsia="Arial-BoldMT" w:hAnsi="Arial-BoldMT"/>
          <w:rtl w:val="0"/>
        </w:rPr>
        <w:t xml:space="preserve"> só será regulamentado em casca, considerando que o uso previsto para farelo de arroz é basicamente alimentação animal, não havendo exposição à ambiente favorável para o nematoide. Em contrapartida, a casca pode ser utilizada como “cama” para animais de criação e depois ser depositada no solo como adubo, permitindo o estabelecimento do nematoide.</w:t>
      </w:r>
    </w:p>
    <w:p w:rsidR="00000000" w:rsidDel="00000000" w:rsidP="00000000" w:rsidRDefault="00000000" w:rsidRPr="00000000" w14:paraId="00000044">
      <w:pPr>
        <w:numPr>
          <w:ilvl w:val="0"/>
          <w:numId w:val="9"/>
        </w:numPr>
        <w:ind w:left="720" w:hanging="360"/>
        <w:jc w:val="both"/>
      </w:pPr>
      <w:r w:rsidDel="00000000" w:rsidR="00000000" w:rsidRPr="00000000">
        <w:rPr>
          <w:rFonts w:ascii="Arial-BoldMT" w:cs="Arial-BoldMT" w:eastAsia="Arial-BoldMT" w:hAnsi="Arial-BoldMT"/>
          <w:rtl w:val="0"/>
        </w:rPr>
        <w:t xml:space="preserve">Em relação à medida para </w:t>
      </w:r>
      <w:r w:rsidDel="00000000" w:rsidR="00000000" w:rsidRPr="00000000">
        <w:rPr>
          <w:rFonts w:ascii="Arial-BoldMT" w:cs="Arial-BoldMT" w:eastAsia="Arial-BoldMT" w:hAnsi="Arial-BoldMT"/>
          <w:i w:val="1"/>
          <w:rtl w:val="0"/>
        </w:rPr>
        <w:t xml:space="preserve">A. besseyi</w:t>
      </w:r>
      <w:r w:rsidDel="00000000" w:rsidR="00000000" w:rsidRPr="00000000">
        <w:rPr>
          <w:rFonts w:ascii="Arial-BoldMT" w:cs="Arial-BoldMT" w:eastAsia="Arial-BoldMT" w:hAnsi="Arial-BoldMT"/>
          <w:rtl w:val="0"/>
        </w:rPr>
        <w:t xml:space="preserve">, no substandard atual consta o tratamento com fosfina. No entanto, o grupo entende que este tratamento seria mais aplicável para os insetos e, portanto, propõe a análise laboratorial conforme era solicitado no sub-standard de 2003.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9"/>
        </w:numPr>
        <w:ind w:left="720" w:hanging="360"/>
        <w:jc w:val="both"/>
        <w:rPr>
          <w:rFonts w:ascii="Arial-BoldMT" w:cs="Arial-BoldMT" w:eastAsia="Arial-BoldMT" w:hAnsi="Arial-BoldMT"/>
        </w:rPr>
      </w:pPr>
      <w:r w:rsidDel="00000000" w:rsidR="00000000" w:rsidRPr="00000000">
        <w:rPr>
          <w:rFonts w:ascii="Arial-BoldMT" w:cs="Arial-BoldMT" w:eastAsia="Arial-BoldMT" w:hAnsi="Arial-BoldMT"/>
          <w:rtl w:val="0"/>
        </w:rPr>
        <w:t xml:space="preserve">Uruguai informa que </w:t>
      </w:r>
      <w:r w:rsidDel="00000000" w:rsidR="00000000" w:rsidRPr="00000000">
        <w:rPr>
          <w:rFonts w:ascii="Arial-BoldMT" w:cs="Arial-BoldMT" w:eastAsia="Arial-BoldMT" w:hAnsi="Arial-BoldMT"/>
          <w:i w:val="1"/>
          <w:rtl w:val="0"/>
        </w:rPr>
        <w:t xml:space="preserve">Burkholderia glumae</w:t>
      </w:r>
      <w:r w:rsidDel="00000000" w:rsidR="00000000" w:rsidRPr="00000000">
        <w:rPr>
          <w:rFonts w:ascii="Arial-BoldMT" w:cs="Arial-BoldMT" w:eastAsia="Arial-BoldMT" w:hAnsi="Arial-BoldMT"/>
          <w:rtl w:val="0"/>
        </w:rPr>
        <w:t xml:space="preserve"> é ausente no país (embora não regulamentada), e solicita sua desregulamentação. Desta forma, considerando que a bactéria não está presente em nenhum país, a espécie foi retirada do sub-standard.</w:t>
      </w:r>
    </w:p>
    <w:p w:rsidR="00000000" w:rsidDel="00000000" w:rsidP="00000000" w:rsidRDefault="00000000" w:rsidRPr="00000000" w14:paraId="00000046">
      <w:pPr>
        <w:numPr>
          <w:ilvl w:val="0"/>
          <w:numId w:val="9"/>
        </w:numPr>
        <w:ind w:left="720" w:hanging="360"/>
        <w:jc w:val="both"/>
        <w:rPr>
          <w:rFonts w:ascii="Arial-BoldMT" w:cs="Arial-BoldMT" w:eastAsia="Arial-BoldMT" w:hAnsi="Arial-BoldMT"/>
        </w:rPr>
      </w:pPr>
      <w:r w:rsidDel="00000000" w:rsidR="00000000" w:rsidRPr="00000000">
        <w:rPr>
          <w:rFonts w:ascii="Arial-BoldMT" w:cs="Arial-BoldMT" w:eastAsia="Arial-BoldMT" w:hAnsi="Arial-BoldMT"/>
          <w:rtl w:val="0"/>
        </w:rPr>
        <w:t xml:space="preserve">Uruguai informa que </w:t>
      </w:r>
      <w:r w:rsidDel="00000000" w:rsidR="00000000" w:rsidRPr="00000000">
        <w:rPr>
          <w:rFonts w:ascii="Arial-BoldMT" w:cs="Arial-BoldMT" w:eastAsia="Arial-BoldMT" w:hAnsi="Arial-BoldMT"/>
          <w:i w:val="1"/>
          <w:rtl w:val="0"/>
        </w:rPr>
        <w:t xml:space="preserve">Erigeron canadensis</w:t>
      </w:r>
      <w:r w:rsidDel="00000000" w:rsidR="00000000" w:rsidRPr="00000000">
        <w:rPr>
          <w:rFonts w:ascii="Arial-BoldMT" w:cs="Arial-BoldMT" w:eastAsia="Arial-BoldMT" w:hAnsi="Arial-BoldMT"/>
          <w:rtl w:val="0"/>
        </w:rPr>
        <w:t xml:space="preserve"> é ausente no país (embora não regulamentada), e solicita sua desregulamentação. Fica mantido para o Brasil (presente), sendo que o Uruguai passa a exigir medida de mitigação para o Brasil.</w:t>
      </w:r>
    </w:p>
    <w:p w:rsidR="00000000" w:rsidDel="00000000" w:rsidP="00000000" w:rsidRDefault="00000000" w:rsidRPr="00000000" w14:paraId="00000047">
      <w:pPr>
        <w:numPr>
          <w:ilvl w:val="0"/>
          <w:numId w:val="9"/>
        </w:numPr>
        <w:ind w:left="720" w:hanging="360"/>
        <w:jc w:val="both"/>
        <w:rPr>
          <w:rFonts w:ascii="Arial-BoldMT" w:cs="Arial-BoldMT" w:eastAsia="Arial-BoldMT" w:hAnsi="Arial-BoldMT"/>
        </w:rPr>
      </w:pPr>
      <w:r w:rsidDel="00000000" w:rsidR="00000000" w:rsidRPr="00000000">
        <w:rPr>
          <w:rFonts w:ascii="Arial-BoldMT" w:cs="Arial-BoldMT" w:eastAsia="Arial-BoldMT" w:hAnsi="Arial-BoldMT"/>
          <w:rtl w:val="0"/>
        </w:rPr>
        <w:t xml:space="preserve">Uruguai indica registro de presença de </w:t>
      </w:r>
      <w:r w:rsidDel="00000000" w:rsidR="00000000" w:rsidRPr="00000000">
        <w:rPr>
          <w:rFonts w:ascii="Arial-BoldMT" w:cs="Arial-BoldMT" w:eastAsia="Arial-BoldMT" w:hAnsi="Arial-BoldMT"/>
          <w:i w:val="1"/>
          <w:rtl w:val="0"/>
        </w:rPr>
        <w:t xml:space="preserve">Ciperus difformis</w:t>
      </w:r>
      <w:r w:rsidDel="00000000" w:rsidR="00000000" w:rsidRPr="00000000">
        <w:rPr>
          <w:rFonts w:ascii="Arial-BoldMT" w:cs="Arial-BoldMT" w:eastAsia="Arial-BoldMT" w:hAnsi="Arial-BoldMT"/>
          <w:rtl w:val="0"/>
        </w:rPr>
        <w:t xml:space="preserve"> na Argentina (LALLANA, V.H. Lista de malezas del cultivo de arroz en Entre Ríos, Argentina. Ecosistemas 14 (2): 162-167. Mayo 2005). Argentina averiguou a literatura indicada e informou que não é considerada como registro válido, sendo a espécie considerada PQA para o país.</w:t>
      </w:r>
    </w:p>
    <w:p w:rsidR="00000000" w:rsidDel="00000000" w:rsidP="00000000" w:rsidRDefault="00000000" w:rsidRPr="00000000" w14:paraId="00000048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Memória de alterações em relação ao Sub-standard vigente (2020):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pacing w:line="276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 Sub-standard de 2003 só estava regulamentado </w:t>
      </w:r>
      <w:r w:rsidDel="00000000" w:rsidR="00000000" w:rsidRPr="00000000">
        <w:rPr>
          <w:i w:val="1"/>
          <w:rtl w:val="0"/>
        </w:rPr>
        <w:t xml:space="preserve">Aphelenchoides besseyi</w:t>
      </w:r>
      <w:r w:rsidDel="00000000" w:rsidR="00000000" w:rsidRPr="00000000">
        <w:rPr>
          <w:rtl w:val="0"/>
        </w:rPr>
        <w:t xml:space="preserve"> para semente e farelo por Argentina, Paraguai e Uruguai para Brasil, tendo como exigência DA5 ou DA15 (semente) e DA15 (farelo). Na revisão de 2020 foram regulamentadas 14 pragas (</w:t>
      </w:r>
      <w:r w:rsidDel="00000000" w:rsidR="00000000" w:rsidRPr="00000000">
        <w:rPr>
          <w:i w:val="1"/>
          <w:rtl w:val="0"/>
        </w:rPr>
        <w:t xml:space="preserve">Aphelenchoides besseyi, Burkholderia glumae, Callosobruchus analis, Callosobruchus chinensis, Callosobruchus maculatus, Caperonia palustris, Urophorus humeralis, Corcyra cephalonica, Cyperus difformis, Echinochloa oryzoides, Eragrostis plana, Erigeron canadensis, Latheticus oryzae, Thlaspi arvense</w:t>
      </w:r>
      <w:r w:rsidDel="00000000" w:rsidR="00000000" w:rsidRPr="00000000">
        <w:rPr>
          <w:rtl w:val="0"/>
        </w:rPr>
        <w:t xml:space="preserve">). Na presente revisão foi retirada uma delas (</w:t>
      </w:r>
      <w:r w:rsidDel="00000000" w:rsidR="00000000" w:rsidRPr="00000000">
        <w:rPr>
          <w:i w:val="1"/>
          <w:rtl w:val="0"/>
        </w:rPr>
        <w:t xml:space="preserve">Burkholderia glumae</w:t>
      </w:r>
      <w:r w:rsidDel="00000000" w:rsidR="00000000" w:rsidRPr="00000000">
        <w:rPr>
          <w:rtl w:val="0"/>
        </w:rPr>
        <w:t xml:space="preserve">) e alterada a DA para os insetos e o nematoide em farelo.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line="276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Adequação ao Standard 3.7 de acordo com a Resolução GMC Nº 10/20.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ind w:left="1440" w:hanging="360"/>
        <w:jc w:val="both"/>
      </w:pPr>
      <w:r w:rsidDel="00000000" w:rsidR="00000000" w:rsidRPr="00000000">
        <w:rPr>
          <w:rFonts w:ascii="Arial-BoldMT" w:cs="Arial-BoldMT" w:eastAsia="Arial-BoldMT" w:hAnsi="Arial-BoldMT"/>
          <w:rtl w:val="0"/>
        </w:rPr>
        <w:t xml:space="preserve">Retirada de </w:t>
      </w:r>
      <w:r w:rsidDel="00000000" w:rsidR="00000000" w:rsidRPr="00000000">
        <w:rPr>
          <w:rFonts w:ascii="Arial-BoldMT" w:cs="Arial-BoldMT" w:eastAsia="Arial-BoldMT" w:hAnsi="Arial-BoldMT"/>
          <w:i w:val="1"/>
          <w:rtl w:val="0"/>
        </w:rPr>
        <w:t xml:space="preserve">Burkholderia glumae</w:t>
      </w:r>
      <w:r w:rsidDel="00000000" w:rsidR="00000000" w:rsidRPr="00000000">
        <w:rPr>
          <w:rFonts w:ascii="Arial-BoldMT" w:cs="Arial-BoldMT" w:eastAsia="Arial-BoldMT" w:hAnsi="Arial-BoldMT"/>
          <w:rtl w:val="0"/>
        </w:rPr>
        <w:t xml:space="preserve"> que estava regulamentada para sementes de arroz por Argentina, Brasil e Paraguai para Uruguai tendo como exigência DA5 ou DA15. Motivo: ausente no Uruguai.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ind w:left="1440" w:hanging="360"/>
        <w:jc w:val="both"/>
        <w:rPr>
          <w:rFonts w:ascii="Arial-BoldMT" w:cs="Arial-BoldMT" w:eastAsia="Arial-BoldMT" w:hAnsi="Arial-BoldMT"/>
        </w:rPr>
      </w:pPr>
      <w:r w:rsidDel="00000000" w:rsidR="00000000" w:rsidRPr="00000000">
        <w:rPr>
          <w:rFonts w:ascii="Arial-BoldMT" w:cs="Arial-BoldMT" w:eastAsia="Arial-BoldMT" w:hAnsi="Arial-BoldMT"/>
          <w:i w:val="1"/>
          <w:rtl w:val="0"/>
        </w:rPr>
        <w:t xml:space="preserve">Erigeron canadensis</w:t>
      </w:r>
      <w:r w:rsidDel="00000000" w:rsidR="00000000" w:rsidRPr="00000000">
        <w:rPr>
          <w:rFonts w:ascii="Arial-BoldMT" w:cs="Arial-BoldMT" w:eastAsia="Arial-BoldMT" w:hAnsi="Arial-BoldMT"/>
          <w:rtl w:val="0"/>
        </w:rPr>
        <w:t xml:space="preserve">: alteração do status de presente para ausente no Uruguai. Assim, fica regulamentado para sementes de arroz por Argentina, Paraguai e Uruguai para Brasil, tendo como exigência DA5 ou DA15.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ind w:left="1440" w:hanging="360"/>
        <w:jc w:val="both"/>
        <w:rPr>
          <w:rFonts w:ascii="Arial-BoldMT" w:cs="Arial-BoldMT" w:eastAsia="Arial-BoldMT" w:hAnsi="Arial-BoldMT"/>
          <w:u w:val="none"/>
        </w:rPr>
      </w:pPr>
      <w:r w:rsidDel="00000000" w:rsidR="00000000" w:rsidRPr="00000000">
        <w:rPr>
          <w:rFonts w:ascii="Arial-BoldMT" w:cs="Arial-BoldMT" w:eastAsia="Arial-BoldMT" w:hAnsi="Arial-BoldMT"/>
          <w:rtl w:val="0"/>
        </w:rPr>
        <w:t xml:space="preserve">Incorporação de arroz polido (Categoria 2) ao Sub-standard.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ind w:left="1440" w:hanging="360"/>
        <w:jc w:val="both"/>
        <w:rPr>
          <w:rFonts w:ascii="Arial-BoldMT" w:cs="Arial-BoldMT" w:eastAsia="Arial-BoldMT" w:hAnsi="Arial-BoldMT"/>
          <w:u w:val="none"/>
        </w:rPr>
      </w:pPr>
      <w:r w:rsidDel="00000000" w:rsidR="00000000" w:rsidRPr="00000000">
        <w:rPr>
          <w:rFonts w:ascii="Arial-BoldMT" w:cs="Arial-BoldMT" w:eastAsia="Arial-BoldMT" w:hAnsi="Arial-BoldMT"/>
          <w:rtl w:val="0"/>
        </w:rPr>
        <w:t xml:space="preserve">Recategorização de farelo da Categoria 3 para Categoria 2.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ind w:left="1440" w:hanging="360"/>
        <w:jc w:val="both"/>
        <w:rPr>
          <w:rFonts w:ascii="Arial-BoldMT" w:cs="Arial-BoldMT" w:eastAsia="Arial-BoldMT" w:hAnsi="Arial-BoldMT"/>
          <w:u w:val="none"/>
        </w:rPr>
      </w:pPr>
      <w:r w:rsidDel="00000000" w:rsidR="00000000" w:rsidRPr="00000000">
        <w:rPr>
          <w:rFonts w:ascii="Arial-BoldMT" w:cs="Arial-BoldMT" w:eastAsia="Arial-BoldMT" w:hAnsi="Arial-BoldMT"/>
          <w:rtl w:val="0"/>
        </w:rPr>
        <w:t xml:space="preserve">Brasil: retirada de R0 para todos os produtos.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line="276" w:lineRule="auto"/>
        <w:ind w:left="1440" w:hanging="360"/>
        <w:jc w:val="both"/>
        <w:rPr>
          <w:rFonts w:ascii="Arial-BoldMT" w:cs="Arial-BoldMT" w:eastAsia="Arial-BoldMT" w:hAnsi="Arial-BoldMT"/>
        </w:rPr>
      </w:pPr>
      <w:r w:rsidDel="00000000" w:rsidR="00000000" w:rsidRPr="00000000">
        <w:rPr>
          <w:rtl w:val="0"/>
        </w:rPr>
        <w:t xml:space="preserve">A exigência de tratamento com fosfina para os insetos </w:t>
      </w:r>
      <w:r w:rsidDel="00000000" w:rsidR="00000000" w:rsidRPr="00000000">
        <w:rPr>
          <w:i w:val="1"/>
          <w:rtl w:val="0"/>
        </w:rPr>
        <w:t xml:space="preserve">Callosobruchus analis, Callosobruchus maculatus, Callosobruchus chinensis, Urophorus humeralis </w:t>
      </w:r>
      <w:r w:rsidDel="00000000" w:rsidR="00000000" w:rsidRPr="00000000">
        <w:rPr>
          <w:rtl w:val="0"/>
        </w:rPr>
        <w:t xml:space="preserve">e </w:t>
      </w:r>
      <w:r w:rsidDel="00000000" w:rsidR="00000000" w:rsidRPr="00000000">
        <w:rPr>
          <w:i w:val="1"/>
          <w:rtl w:val="0"/>
        </w:rPr>
        <w:t xml:space="preserve">Corcyra cephalonica </w:t>
      </w:r>
      <w:r w:rsidDel="00000000" w:rsidR="00000000" w:rsidRPr="00000000">
        <w:rPr>
          <w:rtl w:val="0"/>
        </w:rPr>
        <w:t xml:space="preserve">(DA2) foi substituída por inspeção do envio (DA1). Com isso, não se fez necessária a harmonização dos tratamentos entre os países.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line="276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Brasil: Inclusão de casca, que não constava na versão vigente.</w:t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line="276" w:lineRule="auto"/>
        <w:ind w:left="1440" w:hanging="360"/>
        <w:jc w:val="both"/>
        <w:rPr>
          <w:u w:val="none"/>
        </w:rPr>
      </w:pPr>
      <w:r w:rsidDel="00000000" w:rsidR="00000000" w:rsidRPr="00000000">
        <w:rPr>
          <w:i w:val="1"/>
          <w:rtl w:val="0"/>
        </w:rPr>
        <w:t xml:space="preserve">Aphelenchoides besseyi</w:t>
      </w:r>
      <w:r w:rsidDel="00000000" w:rsidR="00000000" w:rsidRPr="00000000">
        <w:rPr>
          <w:rtl w:val="0"/>
        </w:rPr>
        <w:t xml:space="preserve">: somente associado a semente e casca, sendo exigido DA5 ou DA15 (semente) e DA15 para casca.</w:t>
      </w:r>
    </w:p>
    <w:p w:rsidR="00000000" w:rsidDel="00000000" w:rsidP="00000000" w:rsidRDefault="00000000" w:rsidRPr="00000000" w14:paraId="00000055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 revisão do Sub-standard de arroz foi finalizada. Assim, a SCV informa que este Sub-standard está pronto para ser elevado ao SGT-8 e segue no </w:t>
      </w:r>
      <w:r w:rsidDel="00000000" w:rsidR="00000000" w:rsidRPr="00000000">
        <w:rPr>
          <w:b w:val="1"/>
          <w:rtl w:val="0"/>
        </w:rPr>
        <w:t xml:space="preserve">Anexo II</w:t>
      </w:r>
      <w:r w:rsidDel="00000000" w:rsidR="00000000" w:rsidRPr="00000000">
        <w:rPr>
          <w:rtl w:val="0"/>
        </w:rPr>
        <w:t xml:space="preserve"> as versões em espanhol e português.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line="256" w:lineRule="auto"/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Finalização Sub-Standard </w:t>
      </w:r>
      <w:r w:rsidDel="00000000" w:rsidR="00000000" w:rsidRPr="00000000">
        <w:rPr>
          <w:rFonts w:ascii="Arial-BoldMT" w:cs="Arial-BoldMT" w:eastAsia="Arial-BoldMT" w:hAnsi="Arial-BoldMT"/>
          <w:b w:val="1"/>
          <w:rtl w:val="0"/>
        </w:rPr>
        <w:t xml:space="preserve">3.7.24 – Soja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7"/>
        </w:numPr>
        <w:ind w:left="720" w:hanging="360"/>
        <w:jc w:val="both"/>
        <w:rPr>
          <w:rFonts w:ascii="Arial-BoldMT" w:cs="Arial-BoldMT" w:eastAsia="Arial-BoldMT" w:hAnsi="Arial-BoldMT"/>
        </w:rPr>
      </w:pPr>
      <w:r w:rsidDel="00000000" w:rsidR="00000000" w:rsidRPr="00000000">
        <w:rPr>
          <w:rFonts w:ascii="Arial-BoldMT" w:cs="Arial-BoldMT" w:eastAsia="Arial-BoldMT" w:hAnsi="Arial-BoldMT"/>
          <w:rtl w:val="0"/>
        </w:rPr>
        <w:t xml:space="preserve">Em concordância com a modificação realizada para arroz e milho referente ao tratamento, considerando que não houve registro de interceptação dos organismos regulamentados para grãos e cuja regulamentação foi baseada em revisão de literatura, alterou-se de DA2 (tratamento) para DA1 (inspeção) a medida exigida para </w:t>
      </w:r>
      <w:r w:rsidDel="00000000" w:rsidR="00000000" w:rsidRPr="00000000">
        <w:rPr>
          <w:rFonts w:ascii="Arial-BoldMT" w:cs="Arial-BoldMT" w:eastAsia="Arial-BoldMT" w:hAnsi="Arial-BoldMT"/>
          <w:i w:val="1"/>
          <w:rtl w:val="0"/>
        </w:rPr>
        <w:t xml:space="preserve">Acarus siru</w:t>
      </w:r>
      <w:r w:rsidDel="00000000" w:rsidR="00000000" w:rsidRPr="00000000">
        <w:rPr>
          <w:rFonts w:ascii="Arial-BoldMT" w:cs="Arial-BoldMT" w:eastAsia="Arial-BoldMT" w:hAnsi="Arial-BoldMT"/>
          <w:rtl w:val="0"/>
        </w:rPr>
        <w:t xml:space="preserve"> e </w:t>
      </w:r>
      <w:r w:rsidDel="00000000" w:rsidR="00000000" w:rsidRPr="00000000">
        <w:rPr>
          <w:rFonts w:ascii="Arial-BoldMT" w:cs="Arial-BoldMT" w:eastAsia="Arial-BoldMT" w:hAnsi="Arial-BoldMT"/>
          <w:i w:val="1"/>
          <w:rtl w:val="0"/>
        </w:rPr>
        <w:t xml:space="preserve">Callosobruchus chinensis</w:t>
      </w:r>
      <w:r w:rsidDel="00000000" w:rsidR="00000000" w:rsidRPr="00000000">
        <w:rPr>
          <w:rFonts w:ascii="Arial-BoldMT" w:cs="Arial-BoldMT" w:eastAsia="Arial-BoldMT" w:hAnsi="Arial-BoldMT"/>
          <w:rtl w:val="0"/>
        </w:rPr>
        <w:t xml:space="preserve">. Caso haja interceptação no futuro, a medida poderá ser revista.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Uruguai solicita a inclusão de </w:t>
      </w:r>
      <w:r w:rsidDel="00000000" w:rsidR="00000000" w:rsidRPr="00000000">
        <w:rPr>
          <w:rFonts w:ascii="Arial-BoldMT" w:cs="Arial-BoldMT" w:eastAsia="Arial-BoldMT" w:hAnsi="Arial-BoldMT"/>
          <w:i w:val="1"/>
          <w:rtl w:val="0"/>
        </w:rPr>
        <w:t xml:space="preserve">Cowpea mild mottle virus, </w:t>
      </w:r>
      <w:r w:rsidDel="00000000" w:rsidR="00000000" w:rsidRPr="00000000">
        <w:rPr>
          <w:rFonts w:ascii="Arial-BoldMT" w:cs="Arial-BoldMT" w:eastAsia="Arial-BoldMT" w:hAnsi="Arial-BoldMT"/>
          <w:rtl w:val="0"/>
        </w:rPr>
        <w:t xml:space="preserve">tendo como justificativa revisão geral que o país fez para todas as origens autorizadas de sementes de soja. O vírus está presente na Argentina e no Brasil, sendo PCA para Paraguai e Uruguai. A literatura é um pouco controversa em relação à transmissão por sementes, no entanto, foram considerados como válidos os relatos que indicam a transmissão via sementes. Como medida de mitigação do risco foi solicitada a DA5 (inspeção de campo) ou DA15 (análise de laboratório).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-BoldMT" w:cs="Arial-BoldMT" w:eastAsia="Arial-BoldMT" w:hAnsi="Arial-BoldMT"/>
          <w:u w:val="none"/>
        </w:rPr>
      </w:pPr>
      <w:r w:rsidDel="00000000" w:rsidR="00000000" w:rsidRPr="00000000">
        <w:rPr>
          <w:rFonts w:ascii="Arial-BoldMT" w:cs="Arial-BoldMT" w:eastAsia="Arial-BoldMT" w:hAnsi="Arial-BoldMT"/>
          <w:rtl w:val="0"/>
        </w:rPr>
        <w:t xml:space="preserve">A Venezuela foi retirada do Sub-standard.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-BoldMT" w:cs="Arial-BoldMT" w:eastAsia="Arial-BoldMT" w:hAnsi="Arial-BoldMT"/>
          <w:u w:val="none"/>
        </w:rPr>
      </w:pPr>
      <w:r w:rsidDel="00000000" w:rsidR="00000000" w:rsidRPr="00000000">
        <w:rPr>
          <w:rFonts w:ascii="Arial-BoldMT" w:cs="Arial-BoldMT" w:eastAsia="Arial-BoldMT" w:hAnsi="Arial-BoldMT"/>
          <w:rtl w:val="0"/>
        </w:rPr>
        <w:t xml:space="preserve">Foi incluído o produto “farelo / afrechillo”, considerando as mesmas pragas e medidas exigidas para grão.</w:t>
      </w:r>
    </w:p>
    <w:p w:rsidR="00000000" w:rsidDel="00000000" w:rsidP="00000000" w:rsidRDefault="00000000" w:rsidRPr="00000000" w14:paraId="0000005E">
      <w:pPr>
        <w:numPr>
          <w:ilvl w:val="0"/>
          <w:numId w:val="7"/>
        </w:numPr>
        <w:ind w:left="720" w:hanging="360"/>
        <w:jc w:val="both"/>
        <w:rPr>
          <w:rFonts w:ascii="Arial-BoldMT" w:cs="Arial-BoldMT" w:eastAsia="Arial-BoldMT" w:hAnsi="Arial-BoldMT"/>
        </w:rPr>
      </w:pPr>
      <w:r w:rsidDel="00000000" w:rsidR="00000000" w:rsidRPr="00000000">
        <w:rPr>
          <w:rFonts w:ascii="Arial-BoldMT" w:cs="Arial-BoldMT" w:eastAsia="Arial-BoldMT" w:hAnsi="Arial-BoldMT"/>
          <w:rtl w:val="0"/>
        </w:rPr>
        <w:t xml:space="preserve">Observou-se que no substandard de 2006 constava como categoria 2  “grão processado (torta e expeller)”, sendo que na versão de 2016 não aparecem estes produtos. O grupo confirmou que torta e expeller se enquadram na categoria de risco 1, sendo portanto, não incluídos nesta revisão.</w:t>
      </w:r>
    </w:p>
    <w:p w:rsidR="00000000" w:rsidDel="00000000" w:rsidP="00000000" w:rsidRDefault="00000000" w:rsidRPr="00000000" w14:paraId="0000005F">
      <w:pPr>
        <w:jc w:val="both"/>
        <w:rPr>
          <w:rFonts w:ascii="Arial-BoldMT" w:cs="Arial-BoldMT" w:eastAsia="Arial-BoldMT" w:hAnsi="Arial-BoldM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Memória de alterações em relação ao Sub-standard vigente (2016):</w:t>
      </w:r>
    </w:p>
    <w:p w:rsidR="00000000" w:rsidDel="00000000" w:rsidP="00000000" w:rsidRDefault="00000000" w:rsidRPr="00000000" w14:paraId="00000061">
      <w:pPr>
        <w:numPr>
          <w:ilvl w:val="0"/>
          <w:numId w:val="5"/>
        </w:numPr>
        <w:spacing w:line="276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 Substandard de 2006 estavam regulamentadas 5 pragas (</w:t>
      </w:r>
      <w:r w:rsidDel="00000000" w:rsidR="00000000" w:rsidRPr="00000000">
        <w:rPr>
          <w:i w:val="1"/>
          <w:rtl w:val="0"/>
        </w:rPr>
        <w:t xml:space="preserve">Bean pod mottle virus, Southern bean mosaic virus, Tobacco ringspot virus, Curtobacterium flaccumfaciens pv. flaccumfaciens</w:t>
      </w:r>
      <w:r w:rsidDel="00000000" w:rsidR="00000000" w:rsidRPr="00000000">
        <w:rPr>
          <w:rtl w:val="0"/>
        </w:rPr>
        <w:t xml:space="preserve"> e </w:t>
      </w:r>
      <w:r w:rsidDel="00000000" w:rsidR="00000000" w:rsidRPr="00000000">
        <w:rPr>
          <w:i w:val="1"/>
          <w:rtl w:val="0"/>
        </w:rPr>
        <w:t xml:space="preserve">Heterodera glycines</w:t>
      </w:r>
      <w:r w:rsidDel="00000000" w:rsidR="00000000" w:rsidRPr="00000000">
        <w:rPr>
          <w:rtl w:val="0"/>
        </w:rPr>
        <w:t xml:space="preserve">). Na revisão de 2016 foram regulamentadas 7 pragas (</w:t>
      </w:r>
      <w:r w:rsidDel="00000000" w:rsidR="00000000" w:rsidRPr="00000000">
        <w:rPr>
          <w:i w:val="1"/>
          <w:rtl w:val="0"/>
        </w:rPr>
        <w:t xml:space="preserve">Acarus siro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Callosobruchus chinensis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Curtobacterium flaccumfaciens</w:t>
      </w:r>
      <w:r w:rsidDel="00000000" w:rsidR="00000000" w:rsidRPr="00000000">
        <w:rPr>
          <w:rtl w:val="0"/>
        </w:rPr>
        <w:t xml:space="preserve"> pv. </w:t>
      </w:r>
      <w:r w:rsidDel="00000000" w:rsidR="00000000" w:rsidRPr="00000000">
        <w:rPr>
          <w:i w:val="1"/>
          <w:rtl w:val="0"/>
        </w:rPr>
        <w:t xml:space="preserve">flaccumfaciens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i w:val="1"/>
          <w:rtl w:val="0"/>
        </w:rPr>
        <w:t xml:space="preserve">Heterodera glycines, Peronospora manshurica, Septoria glycines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i w:val="1"/>
          <w:rtl w:val="0"/>
        </w:rPr>
        <w:t xml:space="preserve"> Tomato ringspot virus</w:t>
      </w:r>
      <w:r w:rsidDel="00000000" w:rsidR="00000000" w:rsidRPr="00000000">
        <w:rPr>
          <w:rtl w:val="0"/>
        </w:rPr>
        <w:t xml:space="preserve">). Com a retirada da Venezuela foram excluídas as pragas </w:t>
      </w:r>
      <w:r w:rsidDel="00000000" w:rsidR="00000000" w:rsidRPr="00000000">
        <w:rPr>
          <w:i w:val="1"/>
          <w:rtl w:val="0"/>
        </w:rPr>
        <w:t xml:space="preserve">Peronospora manshurica, Septoria glycines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i w:val="1"/>
          <w:rtl w:val="0"/>
        </w:rPr>
        <w:t xml:space="preserve"> Tomato ringspot virus. </w:t>
      </w:r>
      <w:r w:rsidDel="00000000" w:rsidR="00000000" w:rsidRPr="00000000">
        <w:rPr>
          <w:rtl w:val="0"/>
        </w:rPr>
        <w:t xml:space="preserve">Foi incluído o vírus </w:t>
      </w:r>
      <w:r w:rsidDel="00000000" w:rsidR="00000000" w:rsidRPr="00000000">
        <w:rPr>
          <w:rFonts w:ascii="Arial-BoldMT" w:cs="Arial-BoldMT" w:eastAsia="Arial-BoldMT" w:hAnsi="Arial-BoldMT"/>
          <w:i w:val="1"/>
          <w:rtl w:val="0"/>
        </w:rPr>
        <w:t xml:space="preserve">Cowpea mild mottle virus.</w:t>
      </w:r>
    </w:p>
    <w:p w:rsidR="00000000" w:rsidDel="00000000" w:rsidP="00000000" w:rsidRDefault="00000000" w:rsidRPr="00000000" w14:paraId="00000062">
      <w:pPr>
        <w:numPr>
          <w:ilvl w:val="0"/>
          <w:numId w:val="5"/>
        </w:numPr>
        <w:spacing w:line="276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Adequação ao Standard 3.7 de acordo com a Resolução GMC Nº 10/20.</w:t>
      </w:r>
    </w:p>
    <w:p w:rsidR="00000000" w:rsidDel="00000000" w:rsidP="00000000" w:rsidRDefault="00000000" w:rsidRPr="00000000" w14:paraId="00000063">
      <w:pPr>
        <w:numPr>
          <w:ilvl w:val="0"/>
          <w:numId w:val="5"/>
        </w:numPr>
        <w:spacing w:line="276" w:lineRule="auto"/>
        <w:ind w:left="1440" w:hanging="360"/>
        <w:jc w:val="both"/>
        <w:rPr>
          <w:rFonts w:ascii="Arial-BoldMT" w:cs="Arial-BoldMT" w:eastAsia="Arial-BoldMT" w:hAnsi="Arial-BoldMT"/>
        </w:rPr>
      </w:pPr>
      <w:r w:rsidDel="00000000" w:rsidR="00000000" w:rsidRPr="00000000">
        <w:rPr>
          <w:rtl w:val="0"/>
        </w:rPr>
        <w:t xml:space="preserve">Retirada da Venezuela.</w:t>
      </w:r>
    </w:p>
    <w:p w:rsidR="00000000" w:rsidDel="00000000" w:rsidP="00000000" w:rsidRDefault="00000000" w:rsidRPr="00000000" w14:paraId="00000064">
      <w:pPr>
        <w:numPr>
          <w:ilvl w:val="0"/>
          <w:numId w:val="5"/>
        </w:numPr>
        <w:spacing w:line="276" w:lineRule="auto"/>
        <w:ind w:left="1440" w:hanging="360"/>
        <w:jc w:val="both"/>
        <w:rPr>
          <w:rFonts w:ascii="Arial-BoldMT" w:cs="Arial-BoldMT" w:eastAsia="Arial-BoldMT" w:hAnsi="Arial-BoldMT"/>
        </w:rPr>
      </w:pPr>
      <w:r w:rsidDel="00000000" w:rsidR="00000000" w:rsidRPr="00000000">
        <w:rPr>
          <w:rtl w:val="0"/>
        </w:rPr>
        <w:t xml:space="preserve">A exigência de tratamento com fosfina para o inseto</w:t>
      </w:r>
      <w:r w:rsidDel="00000000" w:rsidR="00000000" w:rsidRPr="00000000">
        <w:rPr>
          <w:i w:val="1"/>
          <w:rtl w:val="0"/>
        </w:rPr>
        <w:t xml:space="preserve"> Callosobruchus chinensis </w:t>
      </w:r>
      <w:r w:rsidDel="00000000" w:rsidR="00000000" w:rsidRPr="00000000">
        <w:rPr>
          <w:rtl w:val="0"/>
        </w:rPr>
        <w:t xml:space="preserve">e o ácaro</w:t>
      </w:r>
      <w:r w:rsidDel="00000000" w:rsidR="00000000" w:rsidRPr="00000000">
        <w:rPr>
          <w:i w:val="1"/>
          <w:rtl w:val="0"/>
        </w:rPr>
        <w:t xml:space="preserve"> Acarus siro </w:t>
      </w:r>
      <w:r w:rsidDel="00000000" w:rsidR="00000000" w:rsidRPr="00000000">
        <w:rPr>
          <w:rtl w:val="0"/>
        </w:rPr>
        <w:t xml:space="preserve">(DA2) foi substituída por inspeção do envio (DA1). Assim, não se fez necessária a modificação da dose que constava como número de pastilhas, não quantidade do princípio ativo.</w:t>
      </w:r>
    </w:p>
    <w:p w:rsidR="00000000" w:rsidDel="00000000" w:rsidP="00000000" w:rsidRDefault="00000000" w:rsidRPr="00000000" w14:paraId="00000065">
      <w:pPr>
        <w:numPr>
          <w:ilvl w:val="0"/>
          <w:numId w:val="5"/>
        </w:numPr>
        <w:spacing w:line="276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Inclusão de farelo / afrechillo como Categoria 2, com as mesmas pragas e medidas exigidas para grão.</w:t>
      </w:r>
    </w:p>
    <w:p w:rsidR="00000000" w:rsidDel="00000000" w:rsidP="00000000" w:rsidRDefault="00000000" w:rsidRPr="00000000" w14:paraId="00000066">
      <w:pPr>
        <w:numPr>
          <w:ilvl w:val="0"/>
          <w:numId w:val="5"/>
        </w:numPr>
        <w:spacing w:line="276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Inclusão do vírus </w:t>
      </w:r>
      <w:r w:rsidDel="00000000" w:rsidR="00000000" w:rsidRPr="00000000">
        <w:rPr>
          <w:rFonts w:ascii="Arial-BoldMT" w:cs="Arial-BoldMT" w:eastAsia="Arial-BoldMT" w:hAnsi="Arial-BoldMT"/>
          <w:i w:val="1"/>
          <w:rtl w:val="0"/>
        </w:rPr>
        <w:t xml:space="preserve">Cowpea mild mottle virus </w:t>
      </w:r>
      <w:r w:rsidDel="00000000" w:rsidR="00000000" w:rsidRPr="00000000">
        <w:rPr>
          <w:rFonts w:ascii="Arial-BoldMT" w:cs="Arial-BoldMT" w:eastAsia="Arial-BoldMT" w:hAnsi="Arial-BoldMT"/>
          <w:rtl w:val="0"/>
        </w:rPr>
        <w:t xml:space="preserve">para sementes de soja por Paraguai e Uruguai para Argentina e Brasil, tendo como exigência DA5 ou DA15.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5"/>
        </w:numPr>
        <w:spacing w:line="276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Argentina: passa a exigir R4 para broto.</w:t>
      </w:r>
    </w:p>
    <w:p w:rsidR="00000000" w:rsidDel="00000000" w:rsidP="00000000" w:rsidRDefault="00000000" w:rsidRPr="00000000" w14:paraId="00000068">
      <w:pPr>
        <w:numPr>
          <w:ilvl w:val="0"/>
          <w:numId w:val="5"/>
        </w:numPr>
        <w:ind w:left="1440" w:hanging="360"/>
        <w:jc w:val="both"/>
        <w:rPr>
          <w:rFonts w:ascii="Arial-BoldMT" w:cs="Arial-BoldMT" w:eastAsia="Arial-BoldMT" w:hAnsi="Arial-BoldMT"/>
        </w:rPr>
      </w:pPr>
      <w:r w:rsidDel="00000000" w:rsidR="00000000" w:rsidRPr="00000000">
        <w:rPr>
          <w:rFonts w:ascii="Arial-BoldMT" w:cs="Arial-BoldMT" w:eastAsia="Arial-BoldMT" w:hAnsi="Arial-BoldMT"/>
          <w:rtl w:val="0"/>
        </w:rPr>
        <w:t xml:space="preserve">Brasil: retirada de R0 para todos os produtos.</w:t>
      </w:r>
    </w:p>
    <w:p w:rsidR="00000000" w:rsidDel="00000000" w:rsidP="00000000" w:rsidRDefault="00000000" w:rsidRPr="00000000" w14:paraId="00000069">
      <w:pPr>
        <w:ind w:left="0" w:firstLine="0"/>
        <w:jc w:val="both"/>
        <w:rPr>
          <w:rFonts w:ascii="Arial-BoldMT" w:cs="Arial-BoldMT" w:eastAsia="Arial-BoldMT" w:hAnsi="Arial-BoldM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 revisão do Sub-standard de soja foi finalizada. Assim, a SCV informa que este Sub-standard está pronto para ser elevado ao SGT-8 e segue no </w:t>
      </w:r>
      <w:r w:rsidDel="00000000" w:rsidR="00000000" w:rsidRPr="00000000">
        <w:rPr>
          <w:b w:val="1"/>
          <w:rtl w:val="0"/>
        </w:rPr>
        <w:t xml:space="preserve">Anexo II</w:t>
      </w:r>
      <w:r w:rsidDel="00000000" w:rsidR="00000000" w:rsidRPr="00000000">
        <w:rPr>
          <w:rtl w:val="0"/>
        </w:rPr>
        <w:t xml:space="preserve"> as versões em espanhol e português. </w:t>
      </w:r>
    </w:p>
    <w:p w:rsidR="00000000" w:rsidDel="00000000" w:rsidP="00000000" w:rsidRDefault="00000000" w:rsidRPr="00000000" w14:paraId="0000006B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5) Finalização Sub-Standard 3.7.44 – Kiwi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76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Memória de alterações em relação ao Sub-standard vigente (2006):</w:t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spacing w:line="276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 Sub-standard de 2006 estão regulamentadas </w:t>
      </w:r>
      <w:r w:rsidDel="00000000" w:rsidR="00000000" w:rsidRPr="00000000">
        <w:rPr>
          <w:i w:val="1"/>
          <w:rtl w:val="0"/>
        </w:rPr>
        <w:t xml:space="preserve">Hemiberlesia lataniae</w:t>
      </w:r>
      <w:r w:rsidDel="00000000" w:rsidR="00000000" w:rsidRPr="00000000">
        <w:rPr>
          <w:rtl w:val="0"/>
        </w:rPr>
        <w:t xml:space="preserve"> e </w:t>
      </w:r>
      <w:r w:rsidDel="00000000" w:rsidR="00000000" w:rsidRPr="00000000">
        <w:rPr>
          <w:i w:val="1"/>
          <w:rtl w:val="0"/>
        </w:rPr>
        <w:t xml:space="preserve">Pratylenchus vulnus</w:t>
      </w:r>
      <w:r w:rsidDel="00000000" w:rsidR="00000000" w:rsidRPr="00000000">
        <w:rPr>
          <w:rtl w:val="0"/>
        </w:rPr>
        <w:t xml:space="preserve">. Na presente revisão foi incluído somente </w:t>
      </w:r>
      <w:r w:rsidDel="00000000" w:rsidR="00000000" w:rsidRPr="00000000">
        <w:rPr>
          <w:i w:val="1"/>
          <w:rtl w:val="0"/>
        </w:rPr>
        <w:t xml:space="preserve">Brevipalpus chilensis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71">
      <w:pPr>
        <w:numPr>
          <w:ilvl w:val="0"/>
          <w:numId w:val="3"/>
        </w:numPr>
        <w:spacing w:line="276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Adequação ao Standard 3.7 de acordo com a Resolução GMC Nº 10/20.</w:t>
      </w:r>
    </w:p>
    <w:p w:rsidR="00000000" w:rsidDel="00000000" w:rsidP="00000000" w:rsidRDefault="00000000" w:rsidRPr="00000000" w14:paraId="00000072">
      <w:pPr>
        <w:numPr>
          <w:ilvl w:val="0"/>
          <w:numId w:val="3"/>
        </w:numPr>
        <w:spacing w:line="276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Foi considerado apenas o nome válido de kiwi (</w:t>
      </w:r>
      <w:r w:rsidDel="00000000" w:rsidR="00000000" w:rsidRPr="00000000">
        <w:rPr>
          <w:i w:val="1"/>
          <w:rtl w:val="0"/>
        </w:rPr>
        <w:t xml:space="preserve">Actinidia chinensis</w:t>
      </w:r>
      <w:r w:rsidDel="00000000" w:rsidR="00000000" w:rsidRPr="00000000">
        <w:rPr>
          <w:rtl w:val="0"/>
        </w:rPr>
        <w:t xml:space="preserve">), sendo desconsiderada do Sub-standard a sinonímia </w:t>
      </w:r>
      <w:r w:rsidDel="00000000" w:rsidR="00000000" w:rsidRPr="00000000">
        <w:rPr>
          <w:i w:val="1"/>
          <w:rtl w:val="0"/>
        </w:rPr>
        <w:t xml:space="preserve">A. deliciosa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73">
      <w:pPr>
        <w:numPr>
          <w:ilvl w:val="0"/>
          <w:numId w:val="3"/>
        </w:numPr>
        <w:spacing w:line="276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Como material de propagação foram considerados apenas plantas, estacas e plantas in vitro. Na versão de 2006 se considera estacas com raiz e sem raiz, sendo que atualmente o entendimento é que estaca com raiz equivale a planta. </w:t>
      </w:r>
    </w:p>
    <w:p w:rsidR="00000000" w:rsidDel="00000000" w:rsidP="00000000" w:rsidRDefault="00000000" w:rsidRPr="00000000" w14:paraId="00000074">
      <w:pPr>
        <w:numPr>
          <w:ilvl w:val="0"/>
          <w:numId w:val="3"/>
        </w:numPr>
        <w:spacing w:line="276" w:lineRule="auto"/>
        <w:ind w:left="1440" w:hanging="360"/>
        <w:jc w:val="both"/>
      </w:pPr>
      <w:r w:rsidDel="00000000" w:rsidR="00000000" w:rsidRPr="00000000">
        <w:rPr>
          <w:i w:val="1"/>
          <w:rtl w:val="0"/>
        </w:rPr>
        <w:t xml:space="preserve">Hemiberlesia lataniae</w:t>
      </w:r>
      <w:r w:rsidDel="00000000" w:rsidR="00000000" w:rsidRPr="00000000">
        <w:rPr>
          <w:rtl w:val="0"/>
        </w:rPr>
        <w:t xml:space="preserve">: em 2006 Uruguai exigia para Argentina e Brasil, sendo que nesta revisão passa a ser exigida por Paraguai e Uruguai para Argentina e Brasil. </w:t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spacing w:line="276" w:lineRule="auto"/>
        <w:ind w:left="1440" w:hanging="360"/>
        <w:jc w:val="both"/>
      </w:pPr>
      <w:r w:rsidDel="00000000" w:rsidR="00000000" w:rsidRPr="00000000">
        <w:rPr>
          <w:i w:val="1"/>
          <w:rtl w:val="0"/>
        </w:rPr>
        <w:t xml:space="preserve">Hemiberlesia lataniae</w:t>
      </w:r>
      <w:r w:rsidDel="00000000" w:rsidR="00000000" w:rsidRPr="00000000">
        <w:rPr>
          <w:rtl w:val="0"/>
        </w:rPr>
        <w:t xml:space="preserve">: estava regulamentada em frutos, porém, por ser uma cochonilha da família Diaspididae (baixa mobilidade - Cosave) está sendo desregulada em frutos.</w:t>
      </w:r>
    </w:p>
    <w:p w:rsidR="00000000" w:rsidDel="00000000" w:rsidP="00000000" w:rsidRDefault="00000000" w:rsidRPr="00000000" w14:paraId="00000076">
      <w:pPr>
        <w:numPr>
          <w:ilvl w:val="0"/>
          <w:numId w:val="3"/>
        </w:numPr>
        <w:spacing w:line="276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Inclusão de </w:t>
      </w:r>
      <w:r w:rsidDel="00000000" w:rsidR="00000000" w:rsidRPr="00000000">
        <w:rPr>
          <w:i w:val="1"/>
          <w:rtl w:val="0"/>
        </w:rPr>
        <w:t xml:space="preserve">Brevipalpus chilensis</w:t>
      </w:r>
      <w:r w:rsidDel="00000000" w:rsidR="00000000" w:rsidRPr="00000000">
        <w:rPr>
          <w:rtl w:val="0"/>
        </w:rPr>
        <w:t xml:space="preserve"> como única espécie do gênero associada a kiwi. Exigida por Brasil, Paraguai e Uruguai para Argentina, em fruto tendo como medidas alternativas DA2 (tratamento com brometo de metila) ou DA14 (SMR) ou DA15 (análise laboratorial), e em planta e estaca DA5 (inspeção de campo) ou DA15 (análise laboratorial).</w:t>
      </w:r>
    </w:p>
    <w:p w:rsidR="00000000" w:rsidDel="00000000" w:rsidP="00000000" w:rsidRDefault="00000000" w:rsidRPr="00000000" w14:paraId="00000077">
      <w:pPr>
        <w:numPr>
          <w:ilvl w:val="0"/>
          <w:numId w:val="3"/>
        </w:numPr>
        <w:spacing w:line="276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 tratamento com brometo de metila é o mesmo que consta para o controle de ácaros </w:t>
      </w:r>
      <w:r w:rsidDel="00000000" w:rsidR="00000000" w:rsidRPr="00000000">
        <w:rPr>
          <w:i w:val="1"/>
          <w:rtl w:val="0"/>
        </w:rPr>
        <w:t xml:space="preserve">Brevipalpus</w:t>
      </w:r>
      <w:r w:rsidDel="00000000" w:rsidR="00000000" w:rsidRPr="00000000">
        <w:rPr>
          <w:rtl w:val="0"/>
        </w:rPr>
        <w:t xml:space="preserve"> em videira.</w:t>
      </w:r>
    </w:p>
    <w:p w:rsidR="00000000" w:rsidDel="00000000" w:rsidP="00000000" w:rsidRDefault="00000000" w:rsidRPr="00000000" w14:paraId="00000078">
      <w:pPr>
        <w:numPr>
          <w:ilvl w:val="0"/>
          <w:numId w:val="3"/>
        </w:numPr>
        <w:spacing w:line="276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Argentina: retirou (R3), (R7), R9 e R12 de planta, estaca e planta in vitro, e acrescentou R17 para planta in vitro. Retirou (R3) e (R7) para frutos e alterou (R4) para R4 em frutos.</w:t>
      </w:r>
    </w:p>
    <w:p w:rsidR="00000000" w:rsidDel="00000000" w:rsidP="00000000" w:rsidRDefault="00000000" w:rsidRPr="00000000" w14:paraId="00000079">
      <w:pPr>
        <w:numPr>
          <w:ilvl w:val="0"/>
          <w:numId w:val="3"/>
        </w:numPr>
        <w:spacing w:line="276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Brasil: retirou R0, R3, (R7), R8, R9 e R12 para material propagativo e incluiu R17 para planta in vitro. Retirou R3, (R7), (R8) e R12 para frutos e alterou de (R4) para R4 em frutos.</w:t>
      </w:r>
    </w:p>
    <w:p w:rsidR="00000000" w:rsidDel="00000000" w:rsidP="00000000" w:rsidRDefault="00000000" w:rsidRPr="00000000" w14:paraId="0000007A">
      <w:pPr>
        <w:numPr>
          <w:ilvl w:val="0"/>
          <w:numId w:val="3"/>
        </w:numPr>
        <w:spacing w:line="276" w:lineRule="auto"/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Paraguai: retirou (R4), (R7), R8 e R12 para material propagativo e (R9) para planta in vitro. Acrescentou R17 para planta in vitro. Retirou (R3), (R7), (R8) e R12 para frutos e alterou (R4) para R4 em frutos.</w:t>
      </w:r>
    </w:p>
    <w:p w:rsidR="00000000" w:rsidDel="00000000" w:rsidP="00000000" w:rsidRDefault="00000000" w:rsidRPr="00000000" w14:paraId="0000007B">
      <w:pPr>
        <w:numPr>
          <w:ilvl w:val="0"/>
          <w:numId w:val="3"/>
        </w:numPr>
        <w:spacing w:line="276" w:lineRule="auto"/>
        <w:ind w:left="1440" w:hanging="360"/>
        <w:jc w:val="both"/>
      </w:pPr>
      <w:r w:rsidDel="00000000" w:rsidR="00000000" w:rsidRPr="00000000">
        <w:rPr>
          <w:rtl w:val="0"/>
        </w:rPr>
        <w:t xml:space="preserve">Uruguai: retirou (R3), (R7) e R12 para material propagativo; retirou R9 para planta in vitro; alterou de R9 para (R9) para planta e estaca. Acrescentou R17 para planta in vitro.</w:t>
      </w:r>
    </w:p>
    <w:p w:rsidR="00000000" w:rsidDel="00000000" w:rsidP="00000000" w:rsidRDefault="00000000" w:rsidRPr="00000000" w14:paraId="0000007C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[</w:t>
      </w:r>
    </w:p>
    <w:p w:rsidR="00000000" w:rsidDel="00000000" w:rsidP="00000000" w:rsidRDefault="00000000" w:rsidRPr="00000000" w14:paraId="0000007E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R0 - Requer autorização fitossanitária de importação.</w:t>
      </w:r>
    </w:p>
    <w:p w:rsidR="00000000" w:rsidDel="00000000" w:rsidP="00000000" w:rsidRDefault="00000000" w:rsidRPr="00000000" w14:paraId="0000007F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R3 - A emissão do CF deverá estar respaldada por um procedimento de certificação fitossanitária oficial que garanta o lugar de produção.</w:t>
      </w:r>
    </w:p>
    <w:p w:rsidR="00000000" w:rsidDel="00000000" w:rsidP="00000000" w:rsidRDefault="00000000" w:rsidRPr="00000000" w14:paraId="00000080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R4 - O envio estará sujeito a análise oficial de laboratório no ingresso.</w:t>
      </w:r>
    </w:p>
    <w:p w:rsidR="00000000" w:rsidDel="00000000" w:rsidP="00000000" w:rsidRDefault="00000000" w:rsidRPr="00000000" w14:paraId="00000081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R7 - Ingressará consignado a (a QNPF do país importador</w:t>
      </w:r>
    </w:p>
    <w:p w:rsidR="00000000" w:rsidDel="00000000" w:rsidP="00000000" w:rsidRDefault="00000000" w:rsidRPr="00000000" w14:paraId="00000082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R8 - Ingressará para Depósito Quarentenário sob controle oficial.</w:t>
      </w:r>
    </w:p>
    <w:p w:rsidR="00000000" w:rsidDel="00000000" w:rsidP="00000000" w:rsidRDefault="00000000" w:rsidRPr="00000000" w14:paraId="00000083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R9 - O envio estará sujeito a quarentena pós-entrada de acordo com as seguintes condições: (especificar as condições ou a norma vigente).</w:t>
      </w:r>
    </w:p>
    <w:p w:rsidR="00000000" w:rsidDel="00000000" w:rsidP="00000000" w:rsidRDefault="00000000" w:rsidRPr="00000000" w14:paraId="00000084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R12 - Deverá cumprir o disposto na (Regulamentação Fitossanitária). (N° ).</w:t>
      </w:r>
    </w:p>
    <w:p w:rsidR="00000000" w:rsidDel="00000000" w:rsidP="00000000" w:rsidRDefault="00000000" w:rsidRPr="00000000" w14:paraId="00000085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R17 - O material </w:t>
      </w:r>
      <w:r w:rsidDel="00000000" w:rsidR="00000000" w:rsidRPr="00000000">
        <w:rPr>
          <w:i w:val="1"/>
          <w:rtl w:val="0"/>
        </w:rPr>
        <w:t xml:space="preserve">in vitro</w:t>
      </w:r>
      <w:r w:rsidDel="00000000" w:rsidR="00000000" w:rsidRPr="00000000">
        <w:rPr>
          <w:rtl w:val="0"/>
        </w:rPr>
        <w:t xml:space="preserve"> deve vir em envase transparente, cerrado e em um meio asséptico.</w:t>
      </w:r>
    </w:p>
    <w:p w:rsidR="00000000" w:rsidDel="00000000" w:rsidP="00000000" w:rsidRDefault="00000000" w:rsidRPr="00000000" w14:paraId="00000086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87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 revisão do Sub-standard de kiwi foi finalizada. Assim, a SCV informa que este Sub-standard está pronto para ser elevado ao SGT-8 e segue no </w:t>
      </w:r>
      <w:r w:rsidDel="00000000" w:rsidR="00000000" w:rsidRPr="00000000">
        <w:rPr>
          <w:b w:val="1"/>
          <w:rtl w:val="0"/>
        </w:rPr>
        <w:t xml:space="preserve">Anexo II</w:t>
      </w:r>
      <w:r w:rsidDel="00000000" w:rsidR="00000000" w:rsidRPr="00000000">
        <w:rPr>
          <w:rtl w:val="0"/>
        </w:rPr>
        <w:t xml:space="preserve"> as versões em espanhol e português. </w:t>
      </w:r>
    </w:p>
    <w:p w:rsidR="00000000" w:rsidDel="00000000" w:rsidP="00000000" w:rsidRDefault="00000000" w:rsidRPr="00000000" w14:paraId="0000008A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6) Andamento Sub-Standard 3.7.4 – Citrus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Vírus / viroides. Foram definidos quais serão regulamentados, os status em cada país, parte vegetal, hospedeiro e medidas, que constam no </w:t>
      </w:r>
      <w:r w:rsidDel="00000000" w:rsidR="00000000" w:rsidRPr="00000000">
        <w:rPr>
          <w:b w:val="1"/>
          <w:rtl w:val="0"/>
        </w:rPr>
        <w:t xml:space="preserve">Anexo IV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/>
      </w:pPr>
      <w:r w:rsidDel="00000000" w:rsidR="00000000" w:rsidRPr="00000000">
        <w:rPr>
          <w:i w:val="1"/>
          <w:highlight w:val="white"/>
          <w:rtl w:val="0"/>
        </w:rPr>
        <w:t xml:space="preserve">Citrus tatter leaf virus</w:t>
      </w:r>
      <w:r w:rsidDel="00000000" w:rsidR="00000000" w:rsidRPr="00000000">
        <w:rPr>
          <w:highlight w:val="white"/>
          <w:rtl w:val="0"/>
        </w:rPr>
        <w:t xml:space="preserve">: é um isolado de Apple Stem grooving virus, estando presente na Argentina.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76" w:lineRule="auto"/>
        <w:ind w:left="0" w:firstLine="720"/>
        <w:jc w:val="both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Citrus tristeza virus</w:t>
      </w:r>
      <w:r w:rsidDel="00000000" w:rsidR="00000000" w:rsidRPr="00000000">
        <w:rPr>
          <w:highlight w:val="white"/>
          <w:rtl w:val="0"/>
        </w:rPr>
        <w:t xml:space="preserve">: considerando que está regulamentado apenas como PNQR por Argentina e Uruguai, será retirado da proposta de Declarações Adicionais, ficando para ser internamente regulamentado por cada país.</w:t>
      </w:r>
    </w:p>
    <w:p w:rsidR="00000000" w:rsidDel="00000000" w:rsidP="00000000" w:rsidRDefault="00000000" w:rsidRPr="00000000" w14:paraId="00000091">
      <w:pPr>
        <w:ind w:left="0" w:firstLine="720"/>
        <w:jc w:val="both"/>
        <w:rPr/>
      </w:pPr>
      <w:r w:rsidDel="00000000" w:rsidR="00000000" w:rsidRPr="00000000">
        <w:rPr>
          <w:rtl w:val="0"/>
        </w:rPr>
        <w:t xml:space="preserve">Ficou acordado não regulamentar vírus/viroides (Apple stem grooving virus, Citrus bent leaf viroid, Citrus dwarfing viroid, Citrus vein enation virus) em sementes, uma vez que não se encontraram registros de transmissão por esta via.</w:t>
      </w:r>
    </w:p>
    <w:p w:rsidR="00000000" w:rsidDel="00000000" w:rsidP="00000000" w:rsidRDefault="00000000" w:rsidRPr="00000000" w14:paraId="00000092">
      <w:pPr>
        <w:ind w:left="0"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10"/>
        </w:numPr>
        <w:spacing w:line="276" w:lineRule="auto"/>
        <w:ind w:left="72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Ácaros. </w:t>
      </w:r>
      <w:r w:rsidDel="00000000" w:rsidR="00000000" w:rsidRPr="00000000">
        <w:rPr>
          <w:rtl w:val="0"/>
        </w:rPr>
        <w:t xml:space="preserve">Foram definidos quais serão regulamentados, os status em cada país, parte vegetal, hospedeiro e medidas, que constam no </w:t>
      </w:r>
      <w:r w:rsidDel="00000000" w:rsidR="00000000" w:rsidRPr="00000000">
        <w:rPr>
          <w:b w:val="1"/>
          <w:rtl w:val="0"/>
        </w:rPr>
        <w:t xml:space="preserve">Anexo IV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94">
      <w:pPr>
        <w:spacing w:line="276" w:lineRule="auto"/>
        <w:ind w:left="0" w:firstLine="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highlight w:val="white"/>
          <w:rtl w:val="0"/>
        </w:rPr>
        <w:tab/>
      </w:r>
      <w:r w:rsidDel="00000000" w:rsidR="00000000" w:rsidRPr="00000000">
        <w:rPr>
          <w:rFonts w:ascii="Arial-BoldMT" w:cs="Arial-BoldMT" w:eastAsia="Arial-BoldMT" w:hAnsi="Arial-BoldMT"/>
          <w:rtl w:val="0"/>
        </w:rPr>
        <w:t xml:space="preserve">Os países concordam em não regulamentar ácaros em frutos tendo em vista os procedimentos pós-colheita a que são submetidos os frutos, e a aplicação do R20 “</w:t>
      </w:r>
      <w:r w:rsidDel="00000000" w:rsidR="00000000" w:rsidRPr="00000000">
        <w:rPr>
          <w:rtl w:val="0"/>
        </w:rPr>
        <w:t xml:space="preserve">O envio deverá ser lavado, escovado e/ou encerado (indicar segundo corresponda).”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76" w:lineRule="auto"/>
        <w:ind w:left="0" w:firstLine="0"/>
        <w:jc w:val="both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tl w:val="0"/>
        </w:rPr>
        <w:t xml:space="preserve">Nematoides. Foram definidos quais serão regulamentados, os status em cada país, parte vegetal, hospedeiro e medidas, que constam no </w:t>
      </w:r>
      <w:r w:rsidDel="00000000" w:rsidR="00000000" w:rsidRPr="00000000">
        <w:rPr>
          <w:b w:val="1"/>
          <w:rtl w:val="0"/>
        </w:rPr>
        <w:t xml:space="preserve">Anexo IV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7) Andamento Sub-Standard 3.7.48 – Pinus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 SCV entende que a categorização dos produtos relacionados a madeiras não está bem definida quando se observa o que consta no Standard 3.7. Assim, esta SCV propõe que seja revista a categorização e os processos referentes a madeira no Standard 3.7 para melhor definir os produtos do Sub-standard. O mesmo poderá ser aplicado ao Sub-standard de eucalipto.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Assim, a SCV entende que este Sub-standard não está pronto para ser elevado, e propõe que sejam realizadas reuniões específicas com o auxílio de especialistas para resolver a categorização dos produtos de madeira.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8) Andamento Sub-Standard 3.7.10 – Azevém (</w:t>
      </w:r>
      <w:r w:rsidDel="00000000" w:rsidR="00000000" w:rsidRPr="00000000">
        <w:rPr>
          <w:b w:val="1"/>
          <w:i w:val="1"/>
          <w:rtl w:val="0"/>
        </w:rPr>
        <w:t xml:space="preserve">Lolium</w:t>
      </w:r>
      <w:r w:rsidDel="00000000" w:rsidR="00000000" w:rsidRPr="00000000">
        <w:rPr>
          <w:b w:val="1"/>
          <w:rtl w:val="0"/>
        </w:rPr>
        <w:t xml:space="preserve">)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12"/>
        </w:numPr>
        <w:ind w:left="720" w:hanging="360"/>
        <w:rPr>
          <w:rFonts w:ascii="Arial-BoldMT" w:cs="Arial-BoldMT" w:eastAsia="Arial-BoldMT" w:hAnsi="Arial-BoldMT"/>
          <w:u w:val="none"/>
        </w:rPr>
      </w:pPr>
      <w:r w:rsidDel="00000000" w:rsidR="00000000" w:rsidRPr="00000000">
        <w:rPr>
          <w:rFonts w:ascii="Arial-BoldMT" w:cs="Arial-BoldMT" w:eastAsia="Arial-BoldMT" w:hAnsi="Arial-BoldMT"/>
          <w:rtl w:val="0"/>
        </w:rPr>
        <w:t xml:space="preserve">Argentina informa que não encontrou informações para a exclusão de </w:t>
      </w:r>
      <w:r w:rsidDel="00000000" w:rsidR="00000000" w:rsidRPr="00000000">
        <w:rPr>
          <w:rFonts w:ascii="Arial-BoldMT" w:cs="Arial-BoldMT" w:eastAsia="Arial-BoldMT" w:hAnsi="Arial-BoldMT"/>
          <w:i w:val="1"/>
          <w:rtl w:val="0"/>
        </w:rPr>
        <w:t xml:space="preserve">Amaranthus</w:t>
      </w:r>
      <w:r w:rsidDel="00000000" w:rsidR="00000000" w:rsidRPr="00000000">
        <w:rPr>
          <w:rFonts w:ascii="Arial-BoldMT" w:cs="Arial-BoldMT" w:eastAsia="Arial-BoldMT" w:hAnsi="Arial-BoldMT"/>
          <w:rtl w:val="0"/>
        </w:rPr>
        <w:t xml:space="preserve">, ou seja, a regulamentação está adequada. Uruguai: irá apresentar informações sobre </w:t>
      </w:r>
      <w:r w:rsidDel="00000000" w:rsidR="00000000" w:rsidRPr="00000000">
        <w:rPr>
          <w:rFonts w:ascii="Arial-BoldMT" w:cs="Arial-BoldMT" w:eastAsia="Arial-BoldMT" w:hAnsi="Arial-BoldMT"/>
          <w:i w:val="1"/>
          <w:rtl w:val="0"/>
        </w:rPr>
        <w:t xml:space="preserve">Amaranthus</w:t>
      </w:r>
      <w:r w:rsidDel="00000000" w:rsidR="00000000" w:rsidRPr="00000000">
        <w:rPr>
          <w:rFonts w:ascii="Arial-BoldMT" w:cs="Arial-BoldMT" w:eastAsia="Arial-BoldMT" w:hAnsi="Arial-BoldMT"/>
          <w:rtl w:val="0"/>
        </w:rPr>
        <w:t xml:space="preserve">.</w:t>
      </w:r>
    </w:p>
    <w:p w:rsidR="00000000" w:rsidDel="00000000" w:rsidP="00000000" w:rsidRDefault="00000000" w:rsidRPr="00000000" w14:paraId="000000A0">
      <w:pPr>
        <w:numPr>
          <w:ilvl w:val="0"/>
          <w:numId w:val="12"/>
        </w:numPr>
        <w:ind w:left="720" w:hanging="360"/>
        <w:rPr>
          <w:rFonts w:ascii="Arial-BoldMT" w:cs="Arial-BoldMT" w:eastAsia="Arial-BoldMT" w:hAnsi="Arial-BoldMT"/>
          <w:u w:val="none"/>
        </w:rPr>
      </w:pPr>
      <w:r w:rsidDel="00000000" w:rsidR="00000000" w:rsidRPr="00000000">
        <w:rPr>
          <w:rFonts w:ascii="Arial-BoldMT" w:cs="Arial-BoldMT" w:eastAsia="Arial-BoldMT" w:hAnsi="Arial-BoldMT"/>
          <w:rtl w:val="0"/>
        </w:rPr>
        <w:t xml:space="preserve">Brasil solicita analisar e incluir </w:t>
      </w:r>
      <w:r w:rsidDel="00000000" w:rsidR="00000000" w:rsidRPr="00000000">
        <w:rPr>
          <w:rFonts w:ascii="Arial-BoldMT" w:cs="Arial-BoldMT" w:eastAsia="Arial-BoldMT" w:hAnsi="Arial-BoldMT"/>
          <w:i w:val="1"/>
          <w:rtl w:val="0"/>
        </w:rPr>
        <w:t xml:space="preserve">Gaudinia fragilis</w:t>
      </w:r>
      <w:r w:rsidDel="00000000" w:rsidR="00000000" w:rsidRPr="00000000">
        <w:rPr>
          <w:rFonts w:ascii="Arial-BoldMT" w:cs="Arial-BoldMT" w:eastAsia="Arial-BoldMT" w:hAnsi="Arial-BoldMT"/>
          <w:rtl w:val="0"/>
        </w:rPr>
        <w:t xml:space="preserve">, </w:t>
      </w:r>
      <w:r w:rsidDel="00000000" w:rsidR="00000000" w:rsidRPr="00000000">
        <w:rPr>
          <w:rFonts w:ascii="Arial-BoldMT" w:cs="Arial-BoldMT" w:eastAsia="Arial-BoldMT" w:hAnsi="Arial-BoldMT"/>
          <w:i w:val="1"/>
          <w:rtl w:val="0"/>
        </w:rPr>
        <w:t xml:space="preserve">Hordeum murinum</w:t>
      </w:r>
      <w:r w:rsidDel="00000000" w:rsidR="00000000" w:rsidRPr="00000000">
        <w:rPr>
          <w:rFonts w:ascii="Arial-BoldMT" w:cs="Arial-BoldMT" w:eastAsia="Arial-BoldMT" w:hAnsi="Arial-BoldMT"/>
          <w:rtl w:val="0"/>
        </w:rPr>
        <w:t xml:space="preserve"> subsp. </w:t>
      </w:r>
      <w:r w:rsidDel="00000000" w:rsidR="00000000" w:rsidRPr="00000000">
        <w:rPr>
          <w:rFonts w:ascii="Arial-BoldMT" w:cs="Arial-BoldMT" w:eastAsia="Arial-BoldMT" w:hAnsi="Arial-BoldMT"/>
          <w:i w:val="1"/>
          <w:rtl w:val="0"/>
        </w:rPr>
        <w:t xml:space="preserve">leporinum</w:t>
      </w:r>
      <w:r w:rsidDel="00000000" w:rsidR="00000000" w:rsidRPr="00000000">
        <w:rPr>
          <w:rFonts w:ascii="Arial-BoldMT" w:cs="Arial-BoldMT" w:eastAsia="Arial-BoldMT" w:hAnsi="Arial-BoldMT"/>
          <w:rtl w:val="0"/>
        </w:rPr>
        <w:t xml:space="preserve">, </w:t>
      </w:r>
      <w:r w:rsidDel="00000000" w:rsidR="00000000" w:rsidRPr="00000000">
        <w:rPr>
          <w:rFonts w:ascii="Arial-BoldMT" w:cs="Arial-BoldMT" w:eastAsia="Arial-BoldMT" w:hAnsi="Arial-BoldMT"/>
          <w:i w:val="1"/>
          <w:rtl w:val="0"/>
        </w:rPr>
        <w:t xml:space="preserve">Orobanche</w:t>
      </w:r>
      <w:r w:rsidDel="00000000" w:rsidR="00000000" w:rsidRPr="00000000">
        <w:rPr>
          <w:rFonts w:ascii="Arial-BoldMT" w:cs="Arial-BoldMT" w:eastAsia="Arial-BoldMT" w:hAnsi="Arial-BoldMT"/>
          <w:rtl w:val="0"/>
        </w:rPr>
        <w:t xml:space="preserve"> sp., considerando registro de interceptações do Uruguai.</w:t>
      </w:r>
    </w:p>
    <w:p w:rsidR="00000000" w:rsidDel="00000000" w:rsidP="00000000" w:rsidRDefault="00000000" w:rsidRPr="00000000" w14:paraId="000000A1">
      <w:pPr>
        <w:numPr>
          <w:ilvl w:val="0"/>
          <w:numId w:val="12"/>
        </w:numPr>
        <w:ind w:left="720" w:hanging="360"/>
        <w:rPr>
          <w:rFonts w:ascii="Arial-BoldMT" w:cs="Arial-BoldMT" w:eastAsia="Arial-BoldMT" w:hAnsi="Arial-BoldMT"/>
          <w:u w:val="none"/>
        </w:rPr>
      </w:pPr>
      <w:r w:rsidDel="00000000" w:rsidR="00000000" w:rsidRPr="00000000">
        <w:rPr>
          <w:rFonts w:ascii="Arial-BoldMT" w:cs="Arial-BoldMT" w:eastAsia="Arial-BoldMT" w:hAnsi="Arial-BoldMT"/>
          <w:rtl w:val="0"/>
        </w:rPr>
        <w:t xml:space="preserve">Fazer adequação ao Standard 3.7 versão 2020.</w:t>
      </w:r>
    </w:p>
    <w:p w:rsidR="00000000" w:rsidDel="00000000" w:rsidP="00000000" w:rsidRDefault="00000000" w:rsidRPr="00000000" w14:paraId="000000A2">
      <w:pPr>
        <w:numPr>
          <w:ilvl w:val="0"/>
          <w:numId w:val="12"/>
        </w:numPr>
        <w:ind w:left="720" w:hanging="360"/>
        <w:rPr>
          <w:rFonts w:ascii="Arial-BoldMT" w:cs="Arial-BoldMT" w:eastAsia="Arial-BoldMT" w:hAnsi="Arial-BoldMT"/>
          <w:u w:val="none"/>
        </w:rPr>
      </w:pPr>
      <w:r w:rsidDel="00000000" w:rsidR="00000000" w:rsidRPr="00000000">
        <w:rPr>
          <w:rFonts w:ascii="Arial-BoldMT" w:cs="Arial-BoldMT" w:eastAsia="Arial-BoldMT" w:hAnsi="Arial-BoldMT"/>
          <w:rtl w:val="0"/>
        </w:rPr>
        <w:t xml:space="preserve">Assim, </w:t>
      </w:r>
      <w:r w:rsidDel="00000000" w:rsidR="00000000" w:rsidRPr="00000000">
        <w:rPr>
          <w:rtl w:val="0"/>
        </w:rPr>
        <w:t xml:space="preserve">a SCV entende que este Sub-standard não está pronto para ser elevado, sendo que continuará a ser trabalhado na sequência.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PRÓXIMA REUNIÃO</w:t>
      </w:r>
    </w:p>
    <w:p w:rsidR="00000000" w:rsidDel="00000000" w:rsidP="00000000" w:rsidRDefault="00000000" w:rsidRPr="00000000" w14:paraId="000000A8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A próxima reunião da Subcomissão de Quarentena Vegetal será convocada oportunamente pela PPT em exercício.</w:t>
      </w:r>
    </w:p>
    <w:p w:rsidR="00000000" w:rsidDel="00000000" w:rsidP="00000000" w:rsidRDefault="00000000" w:rsidRPr="00000000" w14:paraId="000000AA">
      <w:pPr>
        <w:jc w:val="both"/>
        <w:rPr/>
      </w:pPr>
      <w:bookmarkStart w:colFirst="0" w:colLast="0" w:name="_heading=h.3nljpsjzzho3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b w:val="1"/>
        </w:rPr>
      </w:pPr>
      <w:bookmarkStart w:colFirst="0" w:colLast="0" w:name="_heading=h.8iwvjagdfbz8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>
          <w:b w:val="1"/>
        </w:rPr>
      </w:pPr>
      <w:bookmarkStart w:colFirst="0" w:colLast="0" w:name="_heading=h.ij2fy6az875w" w:id="3"/>
      <w:bookmarkEnd w:id="3"/>
      <w:r w:rsidDel="00000000" w:rsidR="00000000" w:rsidRPr="00000000">
        <w:rPr>
          <w:b w:val="1"/>
          <w:rtl w:val="0"/>
        </w:rPr>
        <w:t xml:space="preserve">PROPOSTA DE AGENDA PARA PRÓXIMO SEMESTRE</w:t>
      </w:r>
    </w:p>
    <w:p w:rsidR="00000000" w:rsidDel="00000000" w:rsidP="00000000" w:rsidRDefault="00000000" w:rsidRPr="00000000" w14:paraId="000000AD">
      <w:pPr>
        <w:jc w:val="both"/>
        <w:rPr/>
      </w:pPr>
      <w:bookmarkStart w:colFirst="0" w:colLast="0" w:name="_heading=h.e6rxh53pbloe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Finalização pinus (análise dos produtos de madeira Standard 3.7)</w:t>
      </w:r>
    </w:p>
    <w:p w:rsidR="00000000" w:rsidDel="00000000" w:rsidP="00000000" w:rsidRDefault="00000000" w:rsidRPr="00000000" w14:paraId="000000AF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Finalização azevém</w:t>
      </w:r>
    </w:p>
    <w:p w:rsidR="00000000" w:rsidDel="00000000" w:rsidP="00000000" w:rsidRDefault="00000000" w:rsidRPr="00000000" w14:paraId="000000B0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Finalização citrus</w:t>
      </w:r>
    </w:p>
    <w:p w:rsidR="00000000" w:rsidDel="00000000" w:rsidP="00000000" w:rsidRDefault="00000000" w:rsidRPr="00000000" w14:paraId="000000B1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Andamento dos demais sub-standards conforme prioridades definidas pela CSV</w:t>
      </w:r>
    </w:p>
    <w:p w:rsidR="00000000" w:rsidDel="00000000" w:rsidP="00000000" w:rsidRDefault="00000000" w:rsidRPr="00000000" w14:paraId="000000B2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ANEXOS:</w: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Anexos que fazem parte da presente ata são os seguintes:</w:t>
      </w:r>
    </w:p>
    <w:p w:rsidR="00000000" w:rsidDel="00000000" w:rsidP="00000000" w:rsidRDefault="00000000" w:rsidRPr="00000000" w14:paraId="000000B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11"/>
        <w:gridCol w:w="6984"/>
        <w:tblGridChange w:id="0">
          <w:tblGrid>
            <w:gridCol w:w="1511"/>
            <w:gridCol w:w="6984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Anexo 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Lista de Participantes e Agenda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Anexo II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Sub-standards revisados para elevar ao SGT Nº 8 (milho, soja, arroz, kiwi)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Anexo III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Fichas de pragas (milho, soja, arroz, kiwi)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Anexo IV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line="276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Pragas de Citrus definidas (ácaros, vírus/viroides, nematoides)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       ____________________________</w:t>
      </w:r>
    </w:p>
    <w:tbl>
      <w:tblPr>
        <w:tblStyle w:val="Table2"/>
        <w:tblW w:w="8505.0" w:type="dxa"/>
        <w:jc w:val="left"/>
        <w:tblInd w:w="0.0" w:type="dxa"/>
        <w:tblLayout w:type="fixed"/>
        <w:tblLook w:val="0000"/>
      </w:tblPr>
      <w:tblGrid>
        <w:gridCol w:w="4253"/>
        <w:gridCol w:w="4252"/>
        <w:tblGridChange w:id="0">
          <w:tblGrid>
            <w:gridCol w:w="4253"/>
            <w:gridCol w:w="42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Pela Delegação da Argentina</w:t>
            </w:r>
          </w:p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Adriana Ceriani Camdessus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Pela Delegação do Brasil</w:t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Tiago Rodrigo Lohmann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D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Pela Delegação do Paraguai</w:t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Fátima Alfonso de Maciel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Pela Delegação de Uruguai</w:t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Maria José Montelongo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6840" w:w="11907" w:orient="portrait"/>
      <w:pgMar w:bottom="1417" w:top="1417" w:left="1700.7874015748032" w:right="1701" w:header="680" w:footer="5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  <w:font w:name="Georgia"/>
  <w:font w:name="Times New Roman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-BoldMT"/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CG Omeg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G Omega" w:cs="CG Omega" w:eastAsia="CG Omega" w:hAnsi="CG Omega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0" distR="0">
          <wp:extent cx="1078865" cy="906145"/>
          <wp:effectExtent b="0" l="0" r="0" t="0"/>
          <wp:docPr descr="cs081209mercosurlogo" id="3" name="image1.png"/>
          <a:graphic>
            <a:graphicData uri="http://schemas.openxmlformats.org/drawingml/2006/picture">
              <pic:pic>
                <pic:nvPicPr>
                  <pic:cNvPr descr="cs081209mercosurlogo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8865" cy="9061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284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</w:t>
    </w:r>
  </w:p>
  <w:p w:rsidR="00000000" w:rsidDel="00000000" w:rsidP="00000000" w:rsidRDefault="00000000" w:rsidRPr="00000000" w14:paraId="000000E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</w:pPr>
    <w:rPr>
      <w:rFonts w:ascii="Corsiva" w:cs="Corsiva" w:eastAsia="Corsiva" w:hAnsi="Corsiva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ind w:firstLine="567"/>
    </w:pPr>
    <w:rPr>
      <w:b w:val="1"/>
    </w:rPr>
  </w:style>
  <w:style w:type="paragraph" w:styleId="Heading3">
    <w:name w:val="heading 3"/>
    <w:basedOn w:val="Normal"/>
    <w:next w:val="Normal"/>
    <w:pPr>
      <w:keepNext w:val="1"/>
      <w:ind w:left="567" w:right="567"/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</w:pPr>
    <w:rPr>
      <w:rFonts w:ascii="Corsiva" w:cs="Corsiva" w:eastAsia="Corsiva" w:hAnsi="Corsiva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ind w:firstLine="567"/>
    </w:pPr>
    <w:rPr>
      <w:b w:val="1"/>
    </w:rPr>
  </w:style>
  <w:style w:type="paragraph" w:styleId="Heading3">
    <w:name w:val="heading 3"/>
    <w:basedOn w:val="Normal"/>
    <w:next w:val="Normal"/>
    <w:pPr>
      <w:keepNext w:val="1"/>
      <w:ind w:left="567" w:right="567"/>
      <w:jc w:val="center"/>
    </w:pPr>
    <w:rPr>
      <w:b w:val="1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Normal" w:default="1">
    <w:name w:val="Normal"/>
    <w:qFormat w:val="1"/>
    <w:rPr>
      <w:rFonts w:ascii="Arial" w:hAnsi="Arial"/>
      <w:sz w:val="24"/>
      <w:lang w:eastAsia="es-ES" w:val="pt-BR"/>
    </w:rPr>
  </w:style>
  <w:style w:type="paragraph" w:styleId="Ttulo1">
    <w:name w:val="heading 1"/>
    <w:basedOn w:val="Normal"/>
    <w:next w:val="Normal"/>
    <w:qFormat w:val="1"/>
    <w:pPr>
      <w:keepNext w:val="1"/>
      <w:widowControl w:val="0"/>
      <w:outlineLvl w:val="0"/>
    </w:pPr>
    <w:rPr>
      <w:rFonts w:ascii="Monotype Corsiva" w:hAnsi="Monotype Corsiva"/>
      <w:b w:val="1"/>
      <w:snapToGrid w:val="0"/>
      <w:sz w:val="28"/>
      <w:lang w:val="es-MX"/>
    </w:rPr>
  </w:style>
  <w:style w:type="paragraph" w:styleId="Ttulo2">
    <w:name w:val="heading 2"/>
    <w:basedOn w:val="Normal"/>
    <w:next w:val="Normal"/>
    <w:qFormat w:val="1"/>
    <w:pPr>
      <w:keepNext w:val="1"/>
      <w:ind w:firstLine="567"/>
      <w:outlineLvl w:val="1"/>
    </w:pPr>
    <w:rPr>
      <w:b w:val="1"/>
      <w:lang w:val="es-MX"/>
    </w:rPr>
  </w:style>
  <w:style w:type="paragraph" w:styleId="Ttulo3">
    <w:name w:val="heading 3"/>
    <w:basedOn w:val="Normal"/>
    <w:next w:val="Normal"/>
    <w:qFormat w:val="1"/>
    <w:pPr>
      <w:keepNext w:val="1"/>
      <w:ind w:left="567" w:right="567"/>
      <w:jc w:val="center"/>
      <w:outlineLvl w:val="2"/>
    </w:pPr>
    <w:rPr>
      <w:b w:val="1"/>
      <w:lang w:val="es-UY"/>
    </w:rPr>
  </w:style>
  <w:style w:type="paragraph" w:styleId="Ttulo4">
    <w:name w:val="heading 4"/>
    <w:basedOn w:val="Normal"/>
    <w:next w:val="Normal"/>
    <w:link w:val="Ttulo4Char"/>
    <w:qFormat w:val="1"/>
    <w:rsid w:val="00E44408"/>
    <w:pPr>
      <w:keepNext w:val="1"/>
      <w:spacing w:after="60" w:before="240"/>
      <w:outlineLvl w:val="3"/>
    </w:pPr>
    <w:rPr>
      <w:rFonts w:ascii="Calibri" w:hAnsi="Calibri"/>
      <w:b w:val="1"/>
      <w:bCs w:val="1"/>
      <w:sz w:val="28"/>
      <w:szCs w:val="2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pPr>
      <w:widowControl w:val="0"/>
      <w:tabs>
        <w:tab w:val="center" w:pos="4252"/>
        <w:tab w:val="right" w:pos="8504"/>
      </w:tabs>
    </w:pPr>
    <w:rPr>
      <w:snapToGrid w:val="0"/>
      <w:lang w:val="es-ES_tradnl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pPr>
      <w:jc w:val="both"/>
    </w:pPr>
    <w:rPr>
      <w:lang w:val="es-ES_tradnl"/>
    </w:rPr>
  </w:style>
  <w:style w:type="paragraph" w:styleId="Corpodetexto3">
    <w:name w:val="Body Text 3"/>
    <w:basedOn w:val="Normal"/>
    <w:pPr>
      <w:jc w:val="center"/>
    </w:pPr>
    <w:rPr>
      <w:b w:val="1"/>
      <w:caps w:val="1"/>
      <w:sz w:val="36"/>
      <w:u w:val="thick"/>
      <w:lang w:val="es-UY"/>
    </w:rPr>
  </w:style>
  <w:style w:type="paragraph" w:styleId="Recuodecorpodetexto">
    <w:name w:val="Body Text Indent"/>
    <w:basedOn w:val="Normal"/>
    <w:link w:val="RecuodecorpodetextoChar"/>
    <w:rsid w:val="004A06BC"/>
    <w:pPr>
      <w:spacing w:after="120"/>
      <w:ind w:left="283"/>
    </w:pPr>
    <w:rPr>
      <w:rFonts w:ascii="Times New Roman" w:hAnsi="Times New Roman"/>
      <w:szCs w:val="24"/>
      <w:lang w:val="es-ES"/>
    </w:rPr>
  </w:style>
  <w:style w:type="character" w:styleId="RecuodecorpodetextoChar" w:customStyle="1">
    <w:name w:val="Recuo de corpo de texto Char"/>
    <w:link w:val="Recuodecorpodetexto"/>
    <w:rsid w:val="004A06BC"/>
    <w:rPr>
      <w:sz w:val="24"/>
      <w:szCs w:val="24"/>
      <w:lang w:eastAsia="es-ES" w:val="es-ES"/>
    </w:rPr>
  </w:style>
  <w:style w:type="paragraph" w:styleId="Corpodetexto">
    <w:name w:val="Body Text"/>
    <w:basedOn w:val="Normal"/>
    <w:link w:val="CorpodetextoChar"/>
    <w:rsid w:val="004A06BC"/>
    <w:pPr>
      <w:spacing w:after="120"/>
    </w:pPr>
    <w:rPr>
      <w:rFonts w:ascii="Times New Roman" w:hAnsi="Times New Roman"/>
      <w:szCs w:val="24"/>
      <w:lang w:eastAsia="en-US" w:val="en-US"/>
    </w:rPr>
  </w:style>
  <w:style w:type="character" w:styleId="CorpodetextoChar" w:customStyle="1">
    <w:name w:val="Corpo de texto Char"/>
    <w:link w:val="Corpodetexto"/>
    <w:rsid w:val="004A06BC"/>
    <w:rPr>
      <w:sz w:val="24"/>
      <w:szCs w:val="24"/>
      <w:lang w:eastAsia="en-US" w:val="en-US"/>
    </w:rPr>
  </w:style>
  <w:style w:type="paragraph" w:styleId="MediumGrid1-Accent21" w:customStyle="1">
    <w:name w:val="Medium Grid 1 - Accent 21"/>
    <w:basedOn w:val="Normal"/>
    <w:uiPriority w:val="34"/>
    <w:qFormat w:val="1"/>
    <w:rsid w:val="004A06BC"/>
    <w:pPr>
      <w:ind w:left="708"/>
    </w:pPr>
    <w:rPr>
      <w:rFonts w:ascii="Times New Roman" w:hAnsi="Times New Roman"/>
      <w:szCs w:val="24"/>
      <w:lang w:eastAsia="en-US" w:val="en-US"/>
    </w:rPr>
  </w:style>
  <w:style w:type="character" w:styleId="RodapChar" w:customStyle="1">
    <w:name w:val="Rodapé Char"/>
    <w:link w:val="Rodap"/>
    <w:uiPriority w:val="99"/>
    <w:rsid w:val="004A06BC"/>
    <w:rPr>
      <w:rFonts w:ascii="Arial" w:hAnsi="Arial"/>
      <w:sz w:val="24"/>
      <w:lang w:eastAsia="es-ES" w:val="pt-BR"/>
    </w:rPr>
  </w:style>
  <w:style w:type="paragraph" w:styleId="Textodebalo">
    <w:name w:val="Balloon Text"/>
    <w:basedOn w:val="Normal"/>
    <w:link w:val="TextodebaloChar"/>
    <w:rsid w:val="004A06BC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rsid w:val="004A06BC"/>
    <w:rPr>
      <w:rFonts w:ascii="Tahoma" w:cs="Tahoma" w:hAnsi="Tahoma"/>
      <w:sz w:val="16"/>
      <w:szCs w:val="16"/>
      <w:lang w:eastAsia="es-ES" w:val="pt-BR"/>
    </w:rPr>
  </w:style>
  <w:style w:type="paragraph" w:styleId="TIT2" w:customStyle="1">
    <w:name w:val="TIT 2"/>
    <w:basedOn w:val="Ttulo"/>
    <w:rsid w:val="009B5FA2"/>
    <w:pPr>
      <w:widowControl w:val="0"/>
      <w:suppressAutoHyphens w:val="1"/>
      <w:autoSpaceDE w:val="0"/>
      <w:spacing w:after="20" w:before="20"/>
      <w:outlineLvl w:val="9"/>
    </w:pPr>
    <w:rPr>
      <w:rFonts w:ascii="Times New Roman" w:hAnsi="Times New Roman"/>
      <w:bCs w:val="0"/>
      <w:kern w:val="1"/>
      <w:sz w:val="24"/>
      <w:szCs w:val="20"/>
      <w:lang w:eastAsia="ar-SA"/>
    </w:rPr>
  </w:style>
  <w:style w:type="paragraph" w:styleId="NormalWeb">
    <w:name w:val="Normal (Web)"/>
    <w:basedOn w:val="Normal"/>
    <w:rsid w:val="009B5FA2"/>
    <w:pPr>
      <w:spacing w:after="280" w:before="280"/>
    </w:pPr>
    <w:rPr>
      <w:rFonts w:ascii="Times New Roman" w:hAnsi="Times New Roman"/>
      <w:sz w:val="20"/>
      <w:lang w:eastAsia="en-US" w:val="en-US"/>
    </w:rPr>
  </w:style>
  <w:style w:type="table" w:styleId="Tabelacomgrade">
    <w:name w:val="Table Grid"/>
    <w:basedOn w:val="Tabelanormal"/>
    <w:uiPriority w:val="59"/>
    <w:rsid w:val="009B5FA2"/>
    <w:rPr>
      <w:rFonts w:ascii="Calibri" w:eastAsia="Calibri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tulo">
    <w:name w:val="Title"/>
    <w:basedOn w:val="Normal"/>
    <w:next w:val="Normal"/>
    <w:link w:val="TtuloChar"/>
    <w:qFormat w:val="1"/>
    <w:rsid w:val="009B5FA2"/>
    <w:pPr>
      <w:spacing w:after="60" w:before="240"/>
      <w:jc w:val="center"/>
      <w:outlineLvl w:val="0"/>
    </w:pPr>
    <w:rPr>
      <w:rFonts w:ascii="Cambria" w:hAnsi="Cambria"/>
      <w:b w:val="1"/>
      <w:bCs w:val="1"/>
      <w:kern w:val="28"/>
      <w:sz w:val="32"/>
      <w:szCs w:val="32"/>
    </w:rPr>
  </w:style>
  <w:style w:type="character" w:styleId="TtuloChar" w:customStyle="1">
    <w:name w:val="Título Char"/>
    <w:link w:val="Ttulo"/>
    <w:rsid w:val="009B5FA2"/>
    <w:rPr>
      <w:rFonts w:ascii="Cambria" w:cs="Times New Roman" w:eastAsia="Times New Roman" w:hAnsi="Cambria"/>
      <w:b w:val="1"/>
      <w:bCs w:val="1"/>
      <w:kern w:val="28"/>
      <w:sz w:val="32"/>
      <w:szCs w:val="32"/>
      <w:lang w:eastAsia="es-ES" w:val="pt-BR"/>
    </w:rPr>
  </w:style>
  <w:style w:type="character" w:styleId="Ttulo4Char" w:customStyle="1">
    <w:name w:val="Título 4 Char"/>
    <w:link w:val="Ttulo4"/>
    <w:semiHidden w:val="1"/>
    <w:rsid w:val="00E44408"/>
    <w:rPr>
      <w:rFonts w:ascii="Calibri" w:cs="Times New Roman" w:eastAsia="Times New Roman" w:hAnsi="Calibri"/>
      <w:b w:val="1"/>
      <w:bCs w:val="1"/>
      <w:sz w:val="28"/>
      <w:szCs w:val="28"/>
      <w:lang w:eastAsia="es-ES" w:val="pt-BR"/>
    </w:rPr>
  </w:style>
  <w:style w:type="paragraph" w:styleId="Instruccionesenvocorreo" w:customStyle="1">
    <w:name w:val="Instrucciones envío correo"/>
    <w:basedOn w:val="Normal"/>
    <w:rsid w:val="00E44408"/>
    <w:pPr>
      <w:widowControl w:val="0"/>
    </w:pPr>
    <w:rPr>
      <w:lang w:eastAsia="es-UY"/>
    </w:rPr>
  </w:style>
  <w:style w:type="character" w:styleId="CabealhoChar" w:customStyle="1">
    <w:name w:val="Cabeçalho Char"/>
    <w:link w:val="Cabealho"/>
    <w:uiPriority w:val="99"/>
    <w:locked w:val="1"/>
    <w:rsid w:val="000C1448"/>
    <w:rPr>
      <w:rFonts w:ascii="Arial" w:hAnsi="Arial"/>
      <w:snapToGrid w:val="0"/>
      <w:sz w:val="24"/>
      <w:lang w:val="es-ES_tradnl"/>
    </w:rPr>
  </w:style>
  <w:style w:type="paragraph" w:styleId="Lista">
    <w:name w:val="List"/>
    <w:basedOn w:val="Normal"/>
    <w:uiPriority w:val="99"/>
    <w:unhideWhenUsed w:val="1"/>
    <w:rsid w:val="000C1448"/>
    <w:pPr>
      <w:ind w:left="283" w:hanging="283"/>
      <w:contextualSpacing w:val="1"/>
    </w:pPr>
    <w:rPr>
      <w:szCs w:val="24"/>
      <w:lang w:val="es-ES"/>
    </w:rPr>
  </w:style>
  <w:style w:type="paragraph" w:styleId="Listadecontinuao">
    <w:name w:val="List Continue"/>
    <w:basedOn w:val="Normal"/>
    <w:uiPriority w:val="99"/>
    <w:unhideWhenUsed w:val="1"/>
    <w:rsid w:val="000C1448"/>
    <w:pPr>
      <w:spacing w:after="120"/>
      <w:ind w:left="283"/>
      <w:contextualSpacing w:val="1"/>
    </w:pPr>
    <w:rPr>
      <w:szCs w:val="24"/>
      <w:lang w:val="es-ES"/>
    </w:rPr>
  </w:style>
  <w:style w:type="paragraph" w:styleId="PargrafodaLista">
    <w:name w:val="List Paragraph"/>
    <w:basedOn w:val="Normal"/>
    <w:uiPriority w:val="34"/>
    <w:qFormat w:val="1"/>
    <w:rsid w:val="006D6EAD"/>
    <w:pPr>
      <w:ind w:left="720"/>
      <w:contextualSpacing w:val="1"/>
    </w:pPr>
  </w:style>
  <w:style w:type="paragraph" w:styleId="Default" w:customStyle="1">
    <w:name w:val="Default"/>
    <w:rsid w:val="006D6EAD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  <w:lang w:eastAsia="es-ES" w:val="es-ES"/>
    </w:rPr>
  </w:style>
  <w:style w:type="paragraph" w:styleId="Textodenotaderodap">
    <w:name w:val="footnote text"/>
    <w:basedOn w:val="Normal"/>
    <w:link w:val="TextodenotaderodapChar"/>
    <w:unhideWhenUsed w:val="1"/>
    <w:rsid w:val="003F45E4"/>
    <w:pPr>
      <w:widowControl w:val="0"/>
      <w:snapToGrid w:val="0"/>
    </w:pPr>
    <w:rPr>
      <w:rFonts w:ascii="Times New Roman" w:hAnsi="Times New Roman"/>
      <w:sz w:val="20"/>
    </w:rPr>
  </w:style>
  <w:style w:type="character" w:styleId="TextodenotaderodapChar" w:customStyle="1">
    <w:name w:val="Texto de nota de rodapé Char"/>
    <w:link w:val="Textodenotaderodap"/>
    <w:rsid w:val="003F45E4"/>
    <w:rPr>
      <w:lang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2QBEBd2Gpx/XtTk1Zq0HZBmVIg==">AMUW2mUFzL2QCLIbB/QOZ1nw3mHX2EpE7uijI7P8laM/VwAacR7jEMefAZNT7W9jXgimoD+CyC2yr3smiHKZuGOvsixianOlwVuFAB9Z0hotpAGaWsxAP8kWiwRfTfByLt3uJX6eqcLcD6laXKdXjwLhPjnvGxk7sW/eS50/zg04NYq4T1npU5qzKODyuWQSfOfG5cAdnyvLJAcHklDtiBLxaxSyd9PsEQ==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2021-08-27T19:54:00Z</dcterms:created>
  <dc:creator>Informatica</dc:creator>
</cp:coreProperties>
</file>