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MERCOSUL/SGT Nº 8/SCV/ATA Nº 03/21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REUNÃO ORDINÁRIA DA SUBCOMISSÃO DE QUARENTENA VEGETAL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Realizou-se por videoconferência, nos dias 26 e 27 de agosto de 2021, sob a Presidência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Tempore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Brasil, a Reunião Ordinária da Subcomissão de Quarentena Vegetal dependente do Subgrupo de Trabalho Nº 8 “Agricultura”, com a participação das Delegações de Argentina, Brasil, Paraguai e Uruguai.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6" w:hanging="426"/>
        <w:jc w:val="both"/>
        <w:rPr/>
      </w:pPr>
      <w:r w:rsidDel="00000000" w:rsidR="00000000" w:rsidRPr="00000000">
        <w:rPr>
          <w:rtl w:val="0"/>
        </w:rPr>
        <w:t xml:space="preserve">A Lista de Participantes consta no </w:t>
      </w:r>
      <w:r w:rsidDel="00000000" w:rsidR="00000000" w:rsidRPr="00000000">
        <w:rPr>
          <w:b w:val="1"/>
          <w:rtl w:val="0"/>
        </w:rPr>
        <w:t xml:space="preserve">Anexo 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26" w:hanging="426"/>
        <w:jc w:val="both"/>
        <w:rPr>
          <w:b w:val="1"/>
        </w:rPr>
      </w:pPr>
      <w:r w:rsidDel="00000000" w:rsidR="00000000" w:rsidRPr="00000000">
        <w:rPr>
          <w:rtl w:val="0"/>
        </w:rPr>
        <w:t xml:space="preserve">A Agenda aprovada consta no </w:t>
      </w:r>
      <w:r w:rsidDel="00000000" w:rsidR="00000000" w:rsidRPr="00000000">
        <w:rPr>
          <w:b w:val="1"/>
          <w:rtl w:val="0"/>
        </w:rPr>
        <w:t xml:space="preserve">Anexo II.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Durante a reunião foram tratados os seguintes temas: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4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Leitura das atas da reunião virtual 02/21 da Subcomissão de Quarentena Vegetal do Mercosul (SCCV) e da reunião virtual 03/21 da Comissão de Sanidade Vegetal.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Procedeu-se à leitura das atas da reunião virtual 02/21 da Subcomissão de Quarentena Vegetal do Mercosul (SCCV) e da reunião virtual 03/21 da Comissão de Sanidade Vegetal.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Análise do andamento dos Sub-Standards em revisão.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O delegado do Brasil apresentou a situação dos Sub-Standards em revisão quanto às prioridades definidas pela CSV na sua reunião 03/21, conforme segue: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4" w:lineRule="auto"/>
        <w:jc w:val="both"/>
        <w:rPr/>
      </w:pPr>
      <w:r w:rsidDel="00000000" w:rsidR="00000000" w:rsidRPr="00000000">
        <w:rPr>
          <w:rtl w:val="0"/>
        </w:rPr>
        <w:t xml:space="preserve">Grupo 1: Arroz, Milho e Soja</w:t>
      </w:r>
    </w:p>
    <w:p w:rsidR="00000000" w:rsidDel="00000000" w:rsidP="00000000" w:rsidRDefault="00000000" w:rsidRPr="00000000" w14:paraId="0000001C">
      <w:pPr>
        <w:spacing w:line="254" w:lineRule="auto"/>
        <w:jc w:val="both"/>
        <w:rPr/>
      </w:pPr>
      <w:r w:rsidDel="00000000" w:rsidR="00000000" w:rsidRPr="00000000">
        <w:rPr>
          <w:rtl w:val="0"/>
        </w:rPr>
        <w:t xml:space="preserve">Grupo 2: Pinus, Azevém, Kiwi</w:t>
      </w:r>
    </w:p>
    <w:p w:rsidR="00000000" w:rsidDel="00000000" w:rsidP="00000000" w:rsidRDefault="00000000" w:rsidRPr="00000000" w14:paraId="0000001D">
      <w:pPr>
        <w:spacing w:line="254" w:lineRule="auto"/>
        <w:jc w:val="both"/>
        <w:rPr/>
      </w:pPr>
      <w:r w:rsidDel="00000000" w:rsidR="00000000" w:rsidRPr="00000000">
        <w:rPr>
          <w:rtl w:val="0"/>
        </w:rPr>
        <w:t xml:space="preserve">Grupo 3: Aveia, Cevada, Banana, Sorgo, Beterraba, Canola, Videira, Citrus</w:t>
      </w:r>
    </w:p>
    <w:p w:rsidR="00000000" w:rsidDel="00000000" w:rsidP="00000000" w:rsidRDefault="00000000" w:rsidRPr="00000000" w14:paraId="0000001E">
      <w:pPr>
        <w:spacing w:line="254" w:lineRule="auto"/>
        <w:jc w:val="both"/>
        <w:rPr/>
      </w:pPr>
      <w:r w:rsidDel="00000000" w:rsidR="00000000" w:rsidRPr="00000000">
        <w:rPr>
          <w:rtl w:val="0"/>
        </w:rPr>
        <w:t xml:space="preserve">Grupo 4: Morango, Maçã, Abacate, Damasco, Cereja-doce, Ameixa, Pêssego, Pera, Batata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Análise dos Sub-standards priorizados</w:t>
      </w:r>
    </w:p>
    <w:p w:rsidR="00000000" w:rsidDel="00000000" w:rsidP="00000000" w:rsidRDefault="00000000" w:rsidRPr="00000000" w14:paraId="00000025">
      <w:pPr>
        <w:spacing w:line="254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851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Sub-Standard 3.7.27 – Arroz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Verificação dos tipos de arroz para inclusão de arroz polido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Adequação do texto ao novo formato do Standard 3.7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países apresentarão as informações de interceptação em arroz para subsidiar a análise das pragas regulamentadas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Harmonização do tratamento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Revisão das pragas regulamentadas, considerando as interceptações, para decisão de sua manutenção ou não.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51" w:firstLine="0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Sub-Standard 3.7.29 – Milho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Retirada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Pantoea ananatis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pelo Paraguai considerando que o vetor da bactéria não está presente no país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Eragrostis plana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rever a associação com milho. Uruguai apresentará literatura de suporte para a revisão.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países apresentarão as informações de interceptação em milho para subsidiar a análise das pragas regulamentadas, especialmente os insetos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Latheticus orizae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Sitophilus granarius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Harmonização do tratamento.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Avaliação de medida alternativa possível para o tratamento com fumigação.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Foi discutido a inclusão da Categoria 2 (farelos). Considerando que o sub-standard anterior ao atual não constava este tipo de produto e não houve demanda para sua inclusão, a SCV decidiu não incluir a Categoria 2.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1" w:firstLine="0"/>
        <w:jc w:val="both"/>
        <w:rPr>
          <w:rFonts w:ascii="Arial-BoldMT" w:cs="Arial-BoldMT" w:eastAsia="Arial-BoldMT" w:hAnsi="Arial-BoldMT"/>
          <w:b w:val="1"/>
          <w:color w:val="000000"/>
          <w:u w:val="singl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u w:val="single"/>
          <w:rtl w:val="0"/>
        </w:rPr>
        <w:t xml:space="preserve">Sub-Standard 3.7.24 – Soja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Inclusão da Categoria 2 (farelos)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Adequação ao Standard 3.7 “Categorização”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Revisão do tratamento para constar as doses do princípio ativo, não a quantidade de pastilhas.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Uruguai solicita incluir o vírus 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Cowpea mild mottle virus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ao que os demais países verificarão a presença do mesmo nos seus territórios. Uruguai apresentará a justificação técnica para regulamentar o vírus.</w:t>
      </w:r>
    </w:p>
    <w:p w:rsidR="00000000" w:rsidDel="00000000" w:rsidP="00000000" w:rsidRDefault="00000000" w:rsidRPr="00000000" w14:paraId="0000003F">
      <w:pPr>
        <w:jc w:val="both"/>
        <w:rPr>
          <w:rFonts w:ascii="Arial-BoldMT" w:cs="Arial-BoldMT" w:eastAsia="Arial-BoldMT" w:hAnsi="Arial-Bold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-BoldMT" w:cs="Arial-BoldMT" w:eastAsia="Arial-BoldMT" w:hAnsi="Arial-Bold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1" w:firstLine="0"/>
        <w:jc w:val="both"/>
        <w:rPr>
          <w:rFonts w:ascii="Arial-BoldMT" w:cs="Arial-BoldMT" w:eastAsia="Arial-BoldMT" w:hAnsi="Arial-BoldMT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Sub-Standard 3.7.44 – Kiwi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Retirar 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Hemiberlesia lataniae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frutos, considerada como praga de baixa mobilidade, por ser cochonilha da família Diaspidadae.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Tratamento com brometo de metila para 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Brevipalpus chilensis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o mesmo que consta para videira.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Sub-Standard 3.7.48 – Pinus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Esclarecer a situação dos tipos de madeira “processada”, “semiprocessada” e “não processada”.</w:t>
      </w:r>
    </w:p>
    <w:p w:rsidR="00000000" w:rsidDel="00000000" w:rsidP="00000000" w:rsidRDefault="00000000" w:rsidRPr="00000000" w14:paraId="0000004A">
      <w:pPr>
        <w:rPr>
          <w:rFonts w:ascii="Arial-BoldMT" w:cs="Arial-BoldMT" w:eastAsia="Arial-BoldMT" w:hAnsi="Arial-Bold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09" w:firstLine="0"/>
        <w:rPr>
          <w:rFonts w:ascii="Arial-BoldMT" w:cs="Arial-BoldMT" w:eastAsia="Arial-BoldMT" w:hAnsi="Arial-BoldMT"/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Sub-Standard 3.7.10 – Azevém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países deverão verificar os requisitos que cada um exigirá;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Argentina e 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Uruguai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apresentaram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justificativas para não regulamentar 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Amaranthus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considerando que os ciclos destes diferem do ciclo do azevém.</w:t>
      </w:r>
    </w:p>
    <w:p w:rsidR="00000000" w:rsidDel="00000000" w:rsidP="00000000" w:rsidRDefault="00000000" w:rsidRPr="00000000" w14:paraId="0000004F">
      <w:pPr>
        <w:jc w:val="both"/>
        <w:rPr>
          <w:rFonts w:ascii="Arial-BoldMT" w:cs="Arial-BoldMT" w:eastAsia="Arial-BoldMT" w:hAnsi="Arial-Bold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09" w:firstLine="0"/>
        <w:jc w:val="both"/>
        <w:rPr>
          <w:rFonts w:ascii="Arial-BoldMT" w:cs="Arial-BoldMT" w:eastAsia="Arial-BoldMT" w:hAnsi="Arial-BoldMT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Sub-Standard 3.7.4 – Citrus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A SCV analisou este sub-standard estabelecendo como tarefas a serem feitas para sua revisão: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relação a frutos, os países verificarão, em relação às pragas selecionadas como associadas aos frutos, os antecedentes de interceptação para justificar a inclusão no sub-standard.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à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três 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pragas 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xcluíd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a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anteriormente (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Citrus exocortis viroid, Citrus psorosis virus 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Hop stunt viroid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se esclarece que a retirada ocorreu porque os mesmo são PNQR nos respectivos países que os regulamentam, sendo que neste caso a regulamentação já é interna e no sub-standar constará apenas nos requisitos a serem cumpridos.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países acordam seguir a análise deste sub-standard enfocando grupos de pragas e definindo a situação delas quanto aos produtos associados (frutos, muda, estaca etc), espécies de </w:t>
      </w:r>
      <w:r w:rsidDel="00000000" w:rsidR="00000000" w:rsidRPr="00000000">
        <w:rPr>
          <w:rFonts w:ascii="Arial-BoldMT" w:cs="Arial-BoldMT" w:eastAsia="Arial-BoldMT" w:hAnsi="Arial-Bold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Citrus</w:t>
      </w:r>
      <w:r w:rsidDel="00000000" w:rsidR="00000000" w:rsidRPr="00000000">
        <w:rPr>
          <w:rFonts w:ascii="Arial-BoldMT" w:cs="Arial-BoldMT" w:eastAsia="Arial-BoldMT" w:hAnsi="Arial-Bold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associadas e medidas a serem exigidas.</w:t>
      </w:r>
    </w:p>
    <w:p w:rsidR="00000000" w:rsidDel="00000000" w:rsidP="00000000" w:rsidRDefault="00000000" w:rsidRPr="00000000" w14:paraId="00000055">
      <w:pPr>
        <w:jc w:val="both"/>
        <w:rPr>
          <w:rFonts w:ascii="Arial-BoldMT" w:cs="Arial-BoldMT" w:eastAsia="Arial-BoldMT" w:hAnsi="Arial-Bold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houve outros assuntos discutidos.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PRÓXIMA REUNIÃO</w:t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 próxima reunião formal da Subcomissão de Quarentena Vegetal está programada para os dias 26 e 27 de outubro de 2021.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Anexos que fazem parte da presente ata são os seguintes:</w:t>
      </w:r>
    </w:p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1"/>
        <w:gridCol w:w="6984"/>
        <w:tblGridChange w:id="0">
          <w:tblGrid>
            <w:gridCol w:w="1511"/>
            <w:gridCol w:w="698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Lista de Participantes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       ____________________________</w:t>
      </w:r>
    </w:p>
    <w:tbl>
      <w:tblPr>
        <w:tblStyle w:val="Table2"/>
        <w:tblW w:w="8505.0" w:type="dxa"/>
        <w:jc w:val="left"/>
        <w:tblInd w:w="0.0" w:type="dxa"/>
        <w:tblLayout w:type="fixed"/>
        <w:tblLook w:val="0000"/>
      </w:tblPr>
      <w:tblGrid>
        <w:gridCol w:w="4253"/>
        <w:gridCol w:w="4252"/>
        <w:tblGridChange w:id="0">
          <w:tblGrid>
            <w:gridCol w:w="4253"/>
            <w:gridCol w:w="42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da Argentina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Adriana Ceriani Camdessus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do Brasil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Tiago Rodrigo Lohmann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do Paraguai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Fátima Alfonso de Maciel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de Uruguai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Maria José Montelongo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40" w:w="11907" w:orient="portrait"/>
      <w:pgMar w:bottom="1417" w:top="1417" w:left="1701" w:right="1701" w:header="680" w:footer="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-BoldMT"/>
  <w:font w:name="CG Ome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078865" cy="906145"/>
          <wp:effectExtent b="0" l="0" r="0" t="0"/>
          <wp:docPr descr="cs081209mercosurlogo" id="2" name="image1.png"/>
          <a:graphic>
            <a:graphicData uri="http://schemas.openxmlformats.org/drawingml/2006/picture">
              <pic:pic>
                <pic:nvPicPr>
                  <pic:cNvPr descr="cs081209mercosur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865" cy="906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28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</w:t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Corsiva" w:cs="Corsiva" w:eastAsia="Corsiva" w:hAnsi="Corsiv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567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567" w:right="567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Pr>
      <w:rFonts w:ascii="Arial" w:hAnsi="Arial"/>
      <w:sz w:val="24"/>
      <w:lang w:eastAsia="es-ES" w:val="pt-BR"/>
    </w:rPr>
  </w:style>
  <w:style w:type="paragraph" w:styleId="Ttulo1">
    <w:name w:val="heading 1"/>
    <w:basedOn w:val="Normal"/>
    <w:next w:val="Normal"/>
    <w:qFormat w:val="1"/>
    <w:pPr>
      <w:keepNext w:val="1"/>
      <w:widowControl w:val="0"/>
      <w:outlineLvl w:val="0"/>
    </w:pPr>
    <w:rPr>
      <w:rFonts w:ascii="Monotype Corsiva" w:hAnsi="Monotype Corsiva"/>
      <w:b w:val="1"/>
      <w:snapToGrid w:val="0"/>
      <w:sz w:val="28"/>
      <w:lang w:val="es-MX"/>
    </w:rPr>
  </w:style>
  <w:style w:type="paragraph" w:styleId="Ttulo2">
    <w:name w:val="heading 2"/>
    <w:basedOn w:val="Normal"/>
    <w:next w:val="Normal"/>
    <w:qFormat w:val="1"/>
    <w:pPr>
      <w:keepNext w:val="1"/>
      <w:ind w:firstLine="567"/>
      <w:outlineLvl w:val="1"/>
    </w:pPr>
    <w:rPr>
      <w:b w:val="1"/>
      <w:lang w:val="es-MX"/>
    </w:rPr>
  </w:style>
  <w:style w:type="paragraph" w:styleId="Ttulo3">
    <w:name w:val="heading 3"/>
    <w:basedOn w:val="Normal"/>
    <w:next w:val="Normal"/>
    <w:qFormat w:val="1"/>
    <w:pPr>
      <w:keepNext w:val="1"/>
      <w:ind w:left="567" w:right="567"/>
      <w:jc w:val="center"/>
      <w:outlineLvl w:val="2"/>
    </w:pPr>
    <w:rPr>
      <w:b w:val="1"/>
      <w:lang w:val="es-UY"/>
    </w:rPr>
  </w:style>
  <w:style w:type="paragraph" w:styleId="Ttulo4">
    <w:name w:val="heading 4"/>
    <w:basedOn w:val="Normal"/>
    <w:next w:val="Normal"/>
    <w:link w:val="Ttulo4Char"/>
    <w:qFormat w:val="1"/>
    <w:rsid w:val="00E44408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lang w:val="es-ES_tradnl"/>
    </w:rPr>
  </w:style>
  <w:style w:type="paragraph" w:styleId="Corpodetexto3">
    <w:name w:val="Body Text 3"/>
    <w:basedOn w:val="Normal"/>
    <w:pPr>
      <w:jc w:val="center"/>
    </w:pPr>
    <w:rPr>
      <w:b w:val="1"/>
      <w:caps w:val="1"/>
      <w:sz w:val="36"/>
      <w:u w:val="thick"/>
      <w:lang w:val="es-UY"/>
    </w:rPr>
  </w:style>
  <w:style w:type="paragraph" w:styleId="Recuodecorpodetexto">
    <w:name w:val="Body Text Indent"/>
    <w:basedOn w:val="Normal"/>
    <w:link w:val="RecuodecorpodetextoCh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styleId="RecuodecorpodetextoChar" w:customStyle="1">
    <w:name w:val="Recuo de corpo de texto Char"/>
    <w:link w:val="Recuodecorpodetexto"/>
    <w:rsid w:val="004A06BC"/>
    <w:rPr>
      <w:sz w:val="24"/>
      <w:szCs w:val="24"/>
      <w:lang w:eastAsia="es-ES" w:val="es-ES"/>
    </w:rPr>
  </w:style>
  <w:style w:type="paragraph" w:styleId="Corpodetexto">
    <w:name w:val="Body Text"/>
    <w:basedOn w:val="Normal"/>
    <w:link w:val="CorpodetextoChar"/>
    <w:rsid w:val="004A06BC"/>
    <w:pPr>
      <w:spacing w:after="120"/>
    </w:pPr>
    <w:rPr>
      <w:rFonts w:ascii="Times New Roman" w:hAnsi="Times New Roman"/>
      <w:szCs w:val="24"/>
      <w:lang w:eastAsia="en-US" w:val="en-US"/>
    </w:rPr>
  </w:style>
  <w:style w:type="character" w:styleId="CorpodetextoChar" w:customStyle="1">
    <w:name w:val="Corpo de texto Char"/>
    <w:link w:val="Corpodetexto"/>
    <w:rsid w:val="004A06BC"/>
    <w:rPr>
      <w:sz w:val="24"/>
      <w:szCs w:val="24"/>
      <w:lang w:eastAsia="en-US" w:val="en-US"/>
    </w:rPr>
  </w:style>
  <w:style w:type="paragraph" w:styleId="MediumGrid1-Accent21" w:customStyle="1">
    <w:name w:val="Medium Grid 1 - Accent 21"/>
    <w:basedOn w:val="Normal"/>
    <w:uiPriority w:val="34"/>
    <w:qFormat w:val="1"/>
    <w:rsid w:val="004A06BC"/>
    <w:pPr>
      <w:ind w:left="708"/>
    </w:pPr>
    <w:rPr>
      <w:rFonts w:ascii="Times New Roman" w:hAnsi="Times New Roman"/>
      <w:szCs w:val="24"/>
      <w:lang w:eastAsia="en-US" w:val="en-US"/>
    </w:rPr>
  </w:style>
  <w:style w:type="character" w:styleId="RodapChar" w:customStyle="1">
    <w:name w:val="Rodapé Char"/>
    <w:link w:val="Rodap"/>
    <w:uiPriority w:val="99"/>
    <w:rsid w:val="004A06BC"/>
    <w:rPr>
      <w:rFonts w:ascii="Arial" w:hAnsi="Arial"/>
      <w:sz w:val="24"/>
      <w:lang w:eastAsia="es-ES" w:val="pt-BR"/>
    </w:rPr>
  </w:style>
  <w:style w:type="paragraph" w:styleId="Textodebalo">
    <w:name w:val="Balloon Text"/>
    <w:basedOn w:val="Normal"/>
    <w:link w:val="TextodebaloChar"/>
    <w:rsid w:val="004A06B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A06BC"/>
    <w:rPr>
      <w:rFonts w:ascii="Tahoma" w:cs="Tahoma" w:hAnsi="Tahoma"/>
      <w:sz w:val="16"/>
      <w:szCs w:val="16"/>
      <w:lang w:eastAsia="es-ES" w:val="pt-BR"/>
    </w:rPr>
  </w:style>
  <w:style w:type="paragraph" w:styleId="TIT2" w:customStyle="1">
    <w:name w:val="TIT 2"/>
    <w:basedOn w:val="Ttulo"/>
    <w:rsid w:val="009B5FA2"/>
    <w:pPr>
      <w:widowControl w:val="0"/>
      <w:suppressAutoHyphens w:val="1"/>
      <w:autoSpaceDE w:val="0"/>
      <w:spacing w:after="20" w:before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after="280" w:before="280"/>
    </w:pPr>
    <w:rPr>
      <w:rFonts w:ascii="Times New Roman" w:hAnsi="Times New Roman"/>
      <w:sz w:val="20"/>
      <w:lang w:eastAsia="en-US" w:val="en-US"/>
    </w:rPr>
  </w:style>
  <w:style w:type="table" w:styleId="Tabelacomgrade">
    <w:name w:val="Table Grid"/>
    <w:basedOn w:val="Tabelanormal"/>
    <w:uiPriority w:val="59"/>
    <w:rsid w:val="009B5FA2"/>
    <w:rPr>
      <w:rFonts w:ascii="Calibri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basedOn w:val="Normal"/>
    <w:next w:val="Normal"/>
    <w:link w:val="TtuloChar"/>
    <w:qFormat w:val="1"/>
    <w:rsid w:val="009B5FA2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TtuloChar" w:customStyle="1">
    <w:name w:val="Título Char"/>
    <w:link w:val="Ttulo"/>
    <w:rsid w:val="009B5FA2"/>
    <w:rPr>
      <w:rFonts w:ascii="Cambria" w:cs="Times New Roman" w:eastAsia="Times New Roman" w:hAnsi="Cambria"/>
      <w:b w:val="1"/>
      <w:bCs w:val="1"/>
      <w:kern w:val="28"/>
      <w:sz w:val="32"/>
      <w:szCs w:val="32"/>
      <w:lang w:eastAsia="es-ES" w:val="pt-BR"/>
    </w:rPr>
  </w:style>
  <w:style w:type="character" w:styleId="Ttulo4Char" w:customStyle="1">
    <w:name w:val="Título 4 Char"/>
    <w:link w:val="Ttulo4"/>
    <w:semiHidden w:val="1"/>
    <w:rsid w:val="00E44408"/>
    <w:rPr>
      <w:rFonts w:ascii="Calibri" w:cs="Times New Roman" w:eastAsia="Times New Roman" w:hAnsi="Calibri"/>
      <w:b w:val="1"/>
      <w:bCs w:val="1"/>
      <w:sz w:val="28"/>
      <w:szCs w:val="28"/>
      <w:lang w:eastAsia="es-ES" w:val="pt-BR"/>
    </w:rPr>
  </w:style>
  <w:style w:type="paragraph" w:styleId="Instruccionesenvocorreo" w:customStyle="1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styleId="CabealhoChar" w:customStyle="1">
    <w:name w:val="Cabeçalho Char"/>
    <w:link w:val="Cabealho"/>
    <w:uiPriority w:val="99"/>
    <w:locked w:val="1"/>
    <w:rsid w:val="000C1448"/>
    <w:rPr>
      <w:rFonts w:ascii="Arial" w:hAnsi="Arial"/>
      <w:snapToGrid w:val="0"/>
      <w:sz w:val="24"/>
      <w:lang w:val="es-ES_tradnl"/>
    </w:rPr>
  </w:style>
  <w:style w:type="paragraph" w:styleId="Lista">
    <w:name w:val="List"/>
    <w:basedOn w:val="Normal"/>
    <w:uiPriority w:val="99"/>
    <w:unhideWhenUsed w:val="1"/>
    <w:rsid w:val="000C1448"/>
    <w:pPr>
      <w:ind w:left="283" w:hanging="283"/>
      <w:contextualSpacing w:val="1"/>
    </w:pPr>
    <w:rPr>
      <w:szCs w:val="24"/>
      <w:lang w:val="es-ES"/>
    </w:rPr>
  </w:style>
  <w:style w:type="paragraph" w:styleId="Listadecontinuao">
    <w:name w:val="List Continue"/>
    <w:basedOn w:val="Normal"/>
    <w:uiPriority w:val="99"/>
    <w:unhideWhenUsed w:val="1"/>
    <w:rsid w:val="000C1448"/>
    <w:pPr>
      <w:spacing w:after="120"/>
      <w:ind w:left="283"/>
      <w:contextualSpacing w:val="1"/>
    </w:pPr>
    <w:rPr>
      <w:szCs w:val="24"/>
      <w:lang w:val="es-ES"/>
    </w:rPr>
  </w:style>
  <w:style w:type="paragraph" w:styleId="PargrafodaLista">
    <w:name w:val="List Paragraph"/>
    <w:basedOn w:val="Normal"/>
    <w:uiPriority w:val="34"/>
    <w:qFormat w:val="1"/>
    <w:rsid w:val="006D6EAD"/>
    <w:pPr>
      <w:ind w:left="720"/>
      <w:contextualSpacing w:val="1"/>
    </w:pPr>
  </w:style>
  <w:style w:type="paragraph" w:styleId="Default" w:customStyle="1">
    <w:name w:val="Default"/>
    <w:rsid w:val="006D6EAD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s-ES" w:val="es-ES"/>
    </w:rPr>
  </w:style>
  <w:style w:type="paragraph" w:styleId="Textodenotaderodap">
    <w:name w:val="footnote text"/>
    <w:basedOn w:val="Normal"/>
    <w:link w:val="TextodenotaderodapChar"/>
    <w:unhideWhenUsed w:val="1"/>
    <w:rsid w:val="003F45E4"/>
    <w:pPr>
      <w:widowControl w:val="0"/>
      <w:snapToGrid w:val="0"/>
    </w:pPr>
    <w:rPr>
      <w:rFonts w:ascii="Times New Roman" w:hAnsi="Times New Roman"/>
      <w:sz w:val="20"/>
    </w:rPr>
  </w:style>
  <w:style w:type="character" w:styleId="TextodenotaderodapChar" w:customStyle="1">
    <w:name w:val="Texto de nota de rodapé Char"/>
    <w:link w:val="Textodenotaderodap"/>
    <w:rsid w:val="003F45E4"/>
    <w:rPr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+gSGAgQ2T3tMzymXw+VkQm1OA==">AMUW2mWZ/RGVpCFKdOdNH4NQJaJCzaX0COTJHpTDDNbCdMcvYHkWbq2M/vBAJr5G3kNpcj43hg7BxKan3qhA9mFSnWeOui+IWyw0t6+VAIyVbDDA1jtf8xWHCEJFLyM27KbxSL3YdiOe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0BC9389-358C-4862-A550-D10F4423B54A}"/>
</file>

<file path=customXML/itemProps3.xml><?xml version="1.0" encoding="utf-8"?>
<ds:datastoreItem xmlns:ds="http://schemas.openxmlformats.org/officeDocument/2006/customXml" ds:itemID="{A8FE0214-7371-4551-8C9B-B23DDC3BC277}"/>
</file>

<file path=customXML/itemProps4.xml><?xml version="1.0" encoding="utf-8"?>
<ds:datastoreItem xmlns:ds="http://schemas.openxmlformats.org/officeDocument/2006/customXml" ds:itemID="{787B4FEB-C264-4029-A02A-3B7B90B1781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dcterms:created xsi:type="dcterms:W3CDTF">2021-08-27T19:54:00Z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