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A380" w14:textId="7B3DC363" w:rsidR="00655BBA" w:rsidRPr="006B0E74" w:rsidRDefault="005D34AB" w:rsidP="006B0E74">
      <w:pPr>
        <w:tabs>
          <w:tab w:val="left" w:pos="5450"/>
        </w:tabs>
        <w:spacing w:after="0" w:line="240" w:lineRule="auto"/>
        <w:rPr>
          <w:rFonts w:ascii="Arial" w:hAnsi="Arial" w:cs="Arial"/>
          <w:b/>
          <w:sz w:val="24"/>
          <w:szCs w:val="24"/>
          <w:lang w:val="es-UY" w:eastAsia="es-ES"/>
        </w:rPr>
      </w:pPr>
      <w:r w:rsidRPr="00655BBA">
        <w:rPr>
          <w:rFonts w:ascii="Arial" w:hAnsi="Arial" w:cs="Arial"/>
          <w:b/>
          <w:sz w:val="24"/>
          <w:szCs w:val="24"/>
          <w:lang w:val="es-UY" w:eastAsia="es-ES"/>
        </w:rPr>
        <w:t xml:space="preserve">                                               </w:t>
      </w:r>
    </w:p>
    <w:p w14:paraId="3C7AC3EF" w14:textId="6D00691E" w:rsidR="00EE5ED4" w:rsidRPr="00655BBA" w:rsidRDefault="00EE5ED4" w:rsidP="00655BBA">
      <w:pPr>
        <w:pStyle w:val="Ttulo9"/>
        <w:numPr>
          <w:ilvl w:val="0"/>
          <w:numId w:val="0"/>
        </w:numPr>
        <w:rPr>
          <w:szCs w:val="24"/>
          <w:lang w:val="es-UY"/>
        </w:rPr>
      </w:pPr>
      <w:r w:rsidRPr="00655BBA">
        <w:rPr>
          <w:szCs w:val="24"/>
          <w:lang w:val="es-UY"/>
        </w:rPr>
        <w:t>MERCOSUR/SGT 10/ACTA Nº 0</w:t>
      </w:r>
      <w:r w:rsidR="00211F09" w:rsidRPr="00655BBA">
        <w:rPr>
          <w:szCs w:val="24"/>
          <w:lang w:val="es-UY"/>
        </w:rPr>
        <w:t>1</w:t>
      </w:r>
      <w:r w:rsidRPr="00655BBA">
        <w:rPr>
          <w:szCs w:val="24"/>
          <w:lang w:val="es-UY"/>
        </w:rPr>
        <w:t>/2</w:t>
      </w:r>
      <w:r w:rsidR="00211F09" w:rsidRPr="00655BBA">
        <w:rPr>
          <w:szCs w:val="24"/>
          <w:lang w:val="es-UY"/>
        </w:rPr>
        <w:t>1</w:t>
      </w:r>
    </w:p>
    <w:p w14:paraId="64B29E5F" w14:textId="77777777" w:rsidR="004D6935" w:rsidRPr="00655BBA" w:rsidRDefault="004D6935" w:rsidP="00655BBA">
      <w:pPr>
        <w:tabs>
          <w:tab w:val="left" w:pos="5450"/>
        </w:tabs>
        <w:spacing w:after="0" w:line="240" w:lineRule="auto"/>
        <w:rPr>
          <w:rFonts w:ascii="Arial" w:hAnsi="Arial" w:cs="Arial"/>
          <w:sz w:val="24"/>
          <w:szCs w:val="24"/>
          <w:lang w:val="es-UY" w:eastAsia="es-ES"/>
        </w:rPr>
      </w:pPr>
    </w:p>
    <w:p w14:paraId="63A72808" w14:textId="77777777" w:rsidR="00655BBA" w:rsidRDefault="00655BBA" w:rsidP="00655BBA">
      <w:pPr>
        <w:pStyle w:val="Textoindependiente"/>
        <w:jc w:val="center"/>
        <w:rPr>
          <w:rFonts w:eastAsia="Calibri"/>
          <w:b/>
          <w:szCs w:val="24"/>
          <w:shd w:val="clear" w:color="auto" w:fill="FFFFFF"/>
        </w:rPr>
      </w:pPr>
    </w:p>
    <w:p w14:paraId="3372856B" w14:textId="43064C3A" w:rsidR="00EE5ED4" w:rsidRPr="00655BBA" w:rsidRDefault="00746FC0" w:rsidP="00655BBA">
      <w:pPr>
        <w:pStyle w:val="Textoindependiente"/>
        <w:jc w:val="center"/>
        <w:rPr>
          <w:rFonts w:eastAsia="Calibri"/>
          <w:b/>
          <w:szCs w:val="24"/>
          <w:shd w:val="clear" w:color="auto" w:fill="FFFFFF"/>
        </w:rPr>
      </w:pPr>
      <w:r w:rsidRPr="00655BBA">
        <w:rPr>
          <w:rFonts w:eastAsia="Calibri"/>
          <w:b/>
          <w:szCs w:val="24"/>
          <w:shd w:val="clear" w:color="auto" w:fill="FFFFFF"/>
        </w:rPr>
        <w:t>XL</w:t>
      </w:r>
      <w:r w:rsidR="00211F09" w:rsidRPr="00655BBA">
        <w:rPr>
          <w:rFonts w:eastAsia="Calibri"/>
          <w:b/>
          <w:szCs w:val="24"/>
          <w:shd w:val="clear" w:color="auto" w:fill="FFFFFF"/>
        </w:rPr>
        <w:t>IX</w:t>
      </w:r>
      <w:r w:rsidRPr="00655BBA">
        <w:rPr>
          <w:rFonts w:eastAsia="Calibri"/>
          <w:b/>
          <w:szCs w:val="24"/>
          <w:shd w:val="clear" w:color="auto" w:fill="FFFFFF"/>
        </w:rPr>
        <w:t xml:space="preserve"> REUNIÓN ORDINARIA DEL SGT N° 10 “ASUNTOS LABORALES, EMPLEO Y SEGURIDAD SOCIAL”</w:t>
      </w:r>
    </w:p>
    <w:p w14:paraId="70EB44FA" w14:textId="77777777" w:rsidR="003B48B7" w:rsidRPr="00655BBA" w:rsidRDefault="003B48B7" w:rsidP="00655BBA">
      <w:pPr>
        <w:pStyle w:val="Textoindependiente"/>
        <w:rPr>
          <w:szCs w:val="24"/>
        </w:rPr>
      </w:pPr>
    </w:p>
    <w:p w14:paraId="06C3532E" w14:textId="77777777" w:rsidR="00655BBA" w:rsidRDefault="00655BBA" w:rsidP="00655BBA">
      <w:pPr>
        <w:pStyle w:val="Textoindependiente"/>
        <w:rPr>
          <w:szCs w:val="24"/>
        </w:rPr>
      </w:pPr>
    </w:p>
    <w:p w14:paraId="6AAC7A85" w14:textId="1EB7A861" w:rsidR="00EE5ED4" w:rsidRPr="00655BBA" w:rsidRDefault="00211F09" w:rsidP="00655BBA">
      <w:pPr>
        <w:pStyle w:val="Textoindependiente"/>
        <w:rPr>
          <w:szCs w:val="24"/>
        </w:rPr>
      </w:pPr>
      <w:r w:rsidRPr="00655BBA">
        <w:rPr>
          <w:szCs w:val="24"/>
        </w:rPr>
        <w:t xml:space="preserve">Se realizó el día 19 de mayo de 2021, en ejercicio de la Presidencia </w:t>
      </w:r>
      <w:r w:rsidRPr="00655BBA">
        <w:rPr>
          <w:i/>
          <w:iCs/>
          <w:szCs w:val="24"/>
        </w:rPr>
        <w:t>Pro T</w:t>
      </w:r>
      <w:r w:rsidR="00EE5ED4" w:rsidRPr="00655BBA">
        <w:rPr>
          <w:i/>
          <w:szCs w:val="24"/>
        </w:rPr>
        <w:t>empore</w:t>
      </w:r>
      <w:r w:rsidR="00EE5ED4" w:rsidRPr="00655BBA">
        <w:rPr>
          <w:szCs w:val="24"/>
        </w:rPr>
        <w:t xml:space="preserve"> de </w:t>
      </w:r>
      <w:r w:rsidRPr="00655BBA">
        <w:rPr>
          <w:szCs w:val="24"/>
        </w:rPr>
        <w:t>Argentina</w:t>
      </w:r>
      <w:r w:rsidR="00EE5ED4" w:rsidRPr="00655BBA">
        <w:rPr>
          <w:szCs w:val="24"/>
        </w:rPr>
        <w:t xml:space="preserve"> (PPT</w:t>
      </w:r>
      <w:r w:rsidRPr="00655BBA">
        <w:rPr>
          <w:szCs w:val="24"/>
        </w:rPr>
        <w:t>A</w:t>
      </w:r>
      <w:r w:rsidR="00EE5ED4" w:rsidRPr="00655BBA">
        <w:rPr>
          <w:szCs w:val="24"/>
        </w:rPr>
        <w:t xml:space="preserve">), </w:t>
      </w:r>
      <w:r w:rsidRPr="00655BBA">
        <w:rPr>
          <w:szCs w:val="24"/>
        </w:rPr>
        <w:t xml:space="preserve">la XLIX Reunión Ordinaria del SGT N° 10 “Asuntos Laborales, Empleo y Seguridad Social”, </w:t>
      </w:r>
      <w:r w:rsidR="00EE5ED4" w:rsidRPr="00655BBA">
        <w:rPr>
          <w:szCs w:val="24"/>
        </w:rPr>
        <w:t xml:space="preserve">por medio del sistema de videoconferencia, conforme se establece en la Resolución GMC N° 19/12 “Reuniones por el sistema de videoconferencia”, con la participación de las </w:t>
      </w:r>
      <w:r w:rsidRPr="00655BBA">
        <w:rPr>
          <w:szCs w:val="24"/>
        </w:rPr>
        <w:t>d</w:t>
      </w:r>
      <w:r w:rsidR="00EE5ED4" w:rsidRPr="00655BBA">
        <w:rPr>
          <w:szCs w:val="24"/>
        </w:rPr>
        <w:t>elegaciones de Argentina, Brasil, Paraguay y Uruguay</w:t>
      </w:r>
      <w:r w:rsidR="003B48B7" w:rsidRPr="00655BBA">
        <w:rPr>
          <w:szCs w:val="24"/>
        </w:rPr>
        <w:t xml:space="preserve"> y la participación de los sectores sindicales y empresariales.</w:t>
      </w:r>
    </w:p>
    <w:p w14:paraId="0B89E9F0" w14:textId="77777777" w:rsidR="003B48B7" w:rsidRPr="00655BBA" w:rsidRDefault="003B48B7" w:rsidP="00655BBA">
      <w:pPr>
        <w:pStyle w:val="Textoindependiente"/>
        <w:rPr>
          <w:szCs w:val="24"/>
        </w:rPr>
      </w:pPr>
    </w:p>
    <w:p w14:paraId="73B5C4D8" w14:textId="63BC89D7" w:rsidR="00EE5ED4" w:rsidRPr="00655BBA" w:rsidRDefault="00EE5ED4" w:rsidP="00655BBA">
      <w:pPr>
        <w:pStyle w:val="Textoindependiente"/>
        <w:rPr>
          <w:szCs w:val="24"/>
        </w:rPr>
      </w:pPr>
      <w:r w:rsidRPr="00655BBA">
        <w:rPr>
          <w:szCs w:val="24"/>
        </w:rPr>
        <w:t xml:space="preserve">La Lista de Participantes consta como </w:t>
      </w:r>
      <w:r w:rsidRPr="00655BBA">
        <w:rPr>
          <w:b/>
          <w:szCs w:val="24"/>
        </w:rPr>
        <w:t>Anexo I</w:t>
      </w:r>
      <w:r w:rsidRPr="00655BBA">
        <w:rPr>
          <w:szCs w:val="24"/>
        </w:rPr>
        <w:t>.</w:t>
      </w:r>
    </w:p>
    <w:p w14:paraId="5300F584" w14:textId="66D79ED2" w:rsidR="003B48B7" w:rsidRPr="00655BBA" w:rsidRDefault="003B48B7" w:rsidP="00655BBA">
      <w:pPr>
        <w:pStyle w:val="Textoindependiente"/>
        <w:rPr>
          <w:szCs w:val="24"/>
        </w:rPr>
      </w:pPr>
    </w:p>
    <w:p w14:paraId="7BBBFC5A" w14:textId="67B42554" w:rsidR="00746FC0" w:rsidRPr="00655BBA" w:rsidRDefault="00293987" w:rsidP="00655BBA">
      <w:pPr>
        <w:pStyle w:val="Textoindependiente"/>
        <w:rPr>
          <w:bCs/>
          <w:szCs w:val="24"/>
        </w:rPr>
      </w:pPr>
      <w:r w:rsidRPr="00655BBA">
        <w:rPr>
          <w:szCs w:val="24"/>
        </w:rPr>
        <w:t>La PPT</w:t>
      </w:r>
      <w:r w:rsidR="0018690E" w:rsidRPr="00655BBA">
        <w:rPr>
          <w:szCs w:val="24"/>
        </w:rPr>
        <w:t>A</w:t>
      </w:r>
      <w:r w:rsidRPr="00655BBA">
        <w:rPr>
          <w:szCs w:val="24"/>
        </w:rPr>
        <w:t xml:space="preserve">, </w:t>
      </w:r>
      <w:r w:rsidR="00746FC0" w:rsidRPr="00655BBA">
        <w:rPr>
          <w:szCs w:val="24"/>
        </w:rPr>
        <w:t xml:space="preserve">en ejercicio de la Presidencia </w:t>
      </w:r>
      <w:r w:rsidR="00746FC0" w:rsidRPr="00655BBA">
        <w:rPr>
          <w:i/>
          <w:szCs w:val="24"/>
        </w:rPr>
        <w:t>Pro Tempore</w:t>
      </w:r>
      <w:r w:rsidR="00746FC0" w:rsidRPr="00655BBA">
        <w:rPr>
          <w:szCs w:val="24"/>
        </w:rPr>
        <w:t xml:space="preserve"> del MERCOSUR, dio la bienvenida a las delegaciones y puso a consideración la Agenda </w:t>
      </w:r>
      <w:r w:rsidR="000D3584" w:rsidRPr="00655BBA">
        <w:rPr>
          <w:szCs w:val="24"/>
        </w:rPr>
        <w:t xml:space="preserve">tentativa </w:t>
      </w:r>
      <w:r w:rsidR="00746FC0" w:rsidRPr="00655BBA">
        <w:rPr>
          <w:szCs w:val="24"/>
        </w:rPr>
        <w:t xml:space="preserve">de la reunión, la que fue aprobada y consta </w:t>
      </w:r>
      <w:r w:rsidR="00746FC0" w:rsidRPr="00655BBA">
        <w:rPr>
          <w:bCs/>
          <w:szCs w:val="24"/>
        </w:rPr>
        <w:t xml:space="preserve">como </w:t>
      </w:r>
      <w:r w:rsidR="00746FC0" w:rsidRPr="00655BBA">
        <w:rPr>
          <w:b/>
          <w:szCs w:val="24"/>
        </w:rPr>
        <w:t>Anexo II</w:t>
      </w:r>
      <w:r w:rsidR="00746FC0" w:rsidRPr="00655BBA">
        <w:rPr>
          <w:bCs/>
          <w:szCs w:val="24"/>
        </w:rPr>
        <w:t>.</w:t>
      </w:r>
    </w:p>
    <w:p w14:paraId="059EF96E" w14:textId="77777777" w:rsidR="003B48B7" w:rsidRPr="00655BBA" w:rsidRDefault="003B48B7" w:rsidP="00655BBA">
      <w:pPr>
        <w:pStyle w:val="Textoindependiente"/>
        <w:rPr>
          <w:szCs w:val="24"/>
        </w:rPr>
      </w:pPr>
    </w:p>
    <w:p w14:paraId="551A99E4" w14:textId="7F5BF3A5" w:rsidR="00746FC0" w:rsidRPr="00655BBA" w:rsidRDefault="00746FC0" w:rsidP="00655BBA">
      <w:pPr>
        <w:pStyle w:val="Textoindependiente"/>
        <w:rPr>
          <w:szCs w:val="24"/>
        </w:rPr>
      </w:pPr>
      <w:r w:rsidRPr="00655BBA">
        <w:rPr>
          <w:szCs w:val="24"/>
        </w:rPr>
        <w:t xml:space="preserve">El Resumen del Acta consta como </w:t>
      </w:r>
      <w:r w:rsidRPr="00655BBA">
        <w:rPr>
          <w:b/>
          <w:szCs w:val="24"/>
        </w:rPr>
        <w:t>Anexo III</w:t>
      </w:r>
      <w:r w:rsidRPr="00655BBA">
        <w:rPr>
          <w:szCs w:val="24"/>
        </w:rPr>
        <w:t>.</w:t>
      </w:r>
    </w:p>
    <w:p w14:paraId="58CB292F" w14:textId="77777777" w:rsidR="003B48B7" w:rsidRPr="00655BBA" w:rsidRDefault="003B48B7" w:rsidP="00655BBA">
      <w:pPr>
        <w:pStyle w:val="Textoindependiente"/>
        <w:rPr>
          <w:szCs w:val="24"/>
        </w:rPr>
      </w:pPr>
    </w:p>
    <w:p w14:paraId="497F7075" w14:textId="77777777" w:rsidR="00655BBA" w:rsidRDefault="00655BBA" w:rsidP="00655BBA">
      <w:pPr>
        <w:pStyle w:val="Textoindependiente"/>
        <w:rPr>
          <w:szCs w:val="24"/>
        </w:rPr>
      </w:pPr>
    </w:p>
    <w:p w14:paraId="12BDFA61" w14:textId="0E5AB932" w:rsidR="00EE5ED4" w:rsidRPr="00655BBA" w:rsidRDefault="00EE5ED4" w:rsidP="00655BBA">
      <w:pPr>
        <w:pStyle w:val="Textoindependiente"/>
        <w:rPr>
          <w:szCs w:val="24"/>
        </w:rPr>
      </w:pPr>
      <w:r w:rsidRPr="00655BBA">
        <w:rPr>
          <w:szCs w:val="24"/>
        </w:rPr>
        <w:t xml:space="preserve">Durante la reunión fueron tratados los siguientes temas: </w:t>
      </w:r>
    </w:p>
    <w:p w14:paraId="350379E6" w14:textId="0508F5BD" w:rsidR="003B48B7" w:rsidRPr="00655BBA" w:rsidRDefault="003B48B7" w:rsidP="00655BBA">
      <w:pPr>
        <w:pStyle w:val="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43C80E8E" w14:textId="77777777" w:rsidR="0018690E" w:rsidRPr="00655BBA" w:rsidRDefault="0018690E" w:rsidP="00655BBA">
      <w:pPr>
        <w:pStyle w:val="Lista"/>
        <w:spacing w:after="0" w:line="240" w:lineRule="auto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6BFF3884" w14:textId="190A1570" w:rsidR="00293987" w:rsidRPr="00655BBA" w:rsidRDefault="001E01E5" w:rsidP="00655BBA">
      <w:pPr>
        <w:pStyle w:val="Lista"/>
        <w:numPr>
          <w:ilvl w:val="0"/>
          <w:numId w:val="43"/>
        </w:num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655BBA">
        <w:rPr>
          <w:rFonts w:ascii="Arial" w:eastAsia="Arial" w:hAnsi="Arial" w:cs="Arial"/>
          <w:b/>
          <w:bCs/>
          <w:sz w:val="24"/>
          <w:szCs w:val="24"/>
          <w:lang w:val="es-ES"/>
        </w:rPr>
        <w:t>TRIGÉSIMO ANIVERSARIO DEL MERCOSUR: PRESENTACIÓN DE LA PUBLICACIÓN SOBRE LA DIMENSIÓN SOCIOLABORAL</w:t>
      </w:r>
    </w:p>
    <w:p w14:paraId="62EDAD5F" w14:textId="77777777" w:rsidR="00C33A2B" w:rsidRDefault="00C33A2B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3AF4E68" w14:textId="63D47C13" w:rsidR="003168B3" w:rsidRPr="00655BBA" w:rsidRDefault="00A90519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PPTA comentó sobre el trabajo realizado para elaborar </w:t>
      </w:r>
      <w:r w:rsidR="0070253F"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publicación </w:t>
      </w:r>
      <w:r w:rsidR="005A5E8D" w:rsidRPr="00655BBA">
        <w:rPr>
          <w:rFonts w:ascii="Arial" w:eastAsia="Times New Roman" w:hAnsi="Arial" w:cs="Arial"/>
          <w:sz w:val="24"/>
          <w:szCs w:val="24"/>
          <w:lang w:val="es-UY" w:eastAsia="es-ES"/>
        </w:rPr>
        <w:t>“</w:t>
      </w:r>
      <w:r w:rsidR="003168B3" w:rsidRPr="00655BBA">
        <w:rPr>
          <w:rFonts w:ascii="Arial" w:eastAsia="Times New Roman" w:hAnsi="Arial" w:cs="Arial"/>
          <w:sz w:val="24"/>
          <w:szCs w:val="24"/>
          <w:lang w:val="es-UY" w:eastAsia="es-ES"/>
        </w:rPr>
        <w:t>P</w:t>
      </w:r>
      <w:r w:rsidR="005A5E8D" w:rsidRPr="00655BBA">
        <w:rPr>
          <w:rFonts w:ascii="Arial" w:eastAsia="Times New Roman" w:hAnsi="Arial" w:cs="Arial"/>
          <w:sz w:val="24"/>
          <w:szCs w:val="24"/>
          <w:lang w:val="es-UY" w:eastAsia="es-ES"/>
        </w:rPr>
        <w:t>olítica Sociolaboral del MERCOSUR 1991 – 2021”</w:t>
      </w:r>
      <w:r w:rsidR="003168B3"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5A0489">
        <w:rPr>
          <w:rFonts w:ascii="Arial" w:eastAsia="Times New Roman" w:hAnsi="Arial" w:cs="Arial"/>
          <w:sz w:val="24"/>
          <w:szCs w:val="24"/>
          <w:lang w:val="es-UY" w:eastAsia="es-ES"/>
        </w:rPr>
        <w:t>(</w:t>
      </w:r>
      <w:r w:rsidR="005A0489" w:rsidRPr="00655BBA">
        <w:rPr>
          <w:rFonts w:ascii="Arial" w:hAnsi="Arial" w:cs="Arial"/>
          <w:b/>
          <w:sz w:val="24"/>
          <w:szCs w:val="24"/>
          <w:lang w:val="es-UY"/>
        </w:rPr>
        <w:t>Anexo IV</w:t>
      </w:r>
      <w:r w:rsidR="005A0489">
        <w:rPr>
          <w:rFonts w:ascii="Arial" w:hAnsi="Arial" w:cs="Arial"/>
          <w:b/>
          <w:sz w:val="24"/>
          <w:szCs w:val="24"/>
          <w:lang w:val="es-UY"/>
        </w:rPr>
        <w:t>)</w:t>
      </w:r>
      <w:r w:rsidR="00064399">
        <w:rPr>
          <w:rFonts w:ascii="Arial" w:hAnsi="Arial" w:cs="Arial"/>
          <w:b/>
          <w:sz w:val="24"/>
          <w:szCs w:val="24"/>
          <w:lang w:val="es-UY"/>
        </w:rPr>
        <w:t>,</w:t>
      </w:r>
      <w:r w:rsidR="005A0489"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3168B3" w:rsidRPr="00655BBA">
        <w:rPr>
          <w:rFonts w:ascii="Arial" w:eastAsia="Times New Roman" w:hAnsi="Arial" w:cs="Arial"/>
          <w:sz w:val="24"/>
          <w:szCs w:val="24"/>
          <w:lang w:val="es-UY" w:eastAsia="es-ES"/>
        </w:rPr>
        <w:t>que reúne los avances producidos en los treinta años del MERCOSUR, teniendo en cuenta el trigésimo Aniversario.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3C5B99">
        <w:rPr>
          <w:rFonts w:ascii="Arial" w:eastAsia="Times New Roman" w:hAnsi="Arial" w:cs="Arial"/>
          <w:sz w:val="24"/>
          <w:szCs w:val="24"/>
          <w:lang w:val="es-UY" w:eastAsia="es-ES"/>
        </w:rPr>
        <w:t>Su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presentaci</w:t>
      </w:r>
      <w:r w:rsidR="003C5B9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ón ha sido incluida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como punto de agenda de la Reunión Ministros de Trabajo a celebrarse el próximo 1 de junio. </w:t>
      </w:r>
      <w:r w:rsidR="003168B3"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</w:p>
    <w:p w14:paraId="70B7DA87" w14:textId="58477137" w:rsidR="003168B3" w:rsidRPr="00655BBA" w:rsidRDefault="003168B3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47CF34B4" w14:textId="5804F1C2" w:rsidR="003168B3" w:rsidRPr="00655BBA" w:rsidRDefault="003168B3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655BBA">
        <w:rPr>
          <w:rFonts w:ascii="Arial" w:eastAsia="Times New Roman" w:hAnsi="Arial" w:cs="Arial"/>
          <w:sz w:val="24"/>
          <w:szCs w:val="24"/>
          <w:lang w:val="es-UY" w:eastAsia="es-ES"/>
        </w:rPr>
        <w:t>Las delegaciones agradecieron el trabajo de compilación realizado por la PPTA.</w:t>
      </w:r>
    </w:p>
    <w:p w14:paraId="21F921D2" w14:textId="77777777" w:rsidR="003168B3" w:rsidRPr="00655BBA" w:rsidRDefault="003168B3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F9480CE" w14:textId="53210A8D" w:rsidR="0018690E" w:rsidRDefault="0018690E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59E926C" w14:textId="1F6412DA" w:rsidR="00C33A2B" w:rsidRDefault="00C33A2B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D33F1F6" w14:textId="2CD6501F" w:rsidR="00C33A2B" w:rsidRDefault="00C33A2B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4CC825D" w14:textId="24B2001B" w:rsidR="00C33A2B" w:rsidRDefault="00C33A2B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bookmarkStart w:id="0" w:name="_GoBack"/>
      <w:bookmarkEnd w:id="0"/>
    </w:p>
    <w:p w14:paraId="5BBAC8E0" w14:textId="77777777" w:rsidR="00C33A2B" w:rsidRPr="00655BBA" w:rsidRDefault="00C33A2B" w:rsidP="00655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C126CA1" w14:textId="2F0C6A73" w:rsidR="001E01E5" w:rsidRPr="00655BBA" w:rsidRDefault="001E01E5" w:rsidP="00655BBA">
      <w:pPr>
        <w:pStyle w:val="Lista"/>
        <w:numPr>
          <w:ilvl w:val="0"/>
          <w:numId w:val="43"/>
        </w:num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val="es-UY"/>
        </w:rPr>
      </w:pPr>
      <w:r w:rsidRPr="00655BBA">
        <w:rPr>
          <w:rFonts w:ascii="Arial" w:eastAsia="Arial" w:hAnsi="Arial" w:cs="Arial"/>
          <w:b/>
          <w:bCs/>
          <w:sz w:val="24"/>
          <w:szCs w:val="24"/>
          <w:lang w:val="es-ES"/>
        </w:rPr>
        <w:lastRenderedPageBreak/>
        <w:t>PRESENTACIÓN</w:t>
      </w:r>
      <w:r w:rsidRPr="00655BBA">
        <w:rPr>
          <w:rFonts w:ascii="Arial" w:eastAsia="Arial" w:hAnsi="Arial" w:cs="Arial"/>
          <w:b/>
          <w:bCs/>
          <w:sz w:val="24"/>
          <w:szCs w:val="24"/>
          <w:lang w:val="es-UY"/>
        </w:rPr>
        <w:t xml:space="preserve"> DEL NUEVO ESTATUTO DE CIUDADANÍA: CAPÍTULO LABORAL Y DE LA SEGURIDAD SOCIAL</w:t>
      </w:r>
    </w:p>
    <w:p w14:paraId="3606E00F" w14:textId="77777777" w:rsidR="0070253F" w:rsidRPr="00655BBA" w:rsidRDefault="0070253F" w:rsidP="00655BBA">
      <w:pPr>
        <w:pStyle w:val="Lista"/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</w:p>
    <w:p w14:paraId="0A5C8A96" w14:textId="6B360800" w:rsidR="001E01E5" w:rsidRPr="00655BBA" w:rsidRDefault="0070253F" w:rsidP="00655BBA">
      <w:pPr>
        <w:pStyle w:val="Lista"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55BBA">
        <w:rPr>
          <w:rFonts w:ascii="Arial" w:eastAsia="Arial" w:hAnsi="Arial" w:cs="Arial"/>
          <w:sz w:val="24"/>
          <w:szCs w:val="24"/>
          <w:lang w:val="es-ES"/>
        </w:rPr>
        <w:t xml:space="preserve">La PPTA realizó la presentación del nuevo Estatuto de la Ciudadanía en </w:t>
      </w:r>
      <w:r w:rsidR="006656FF">
        <w:rPr>
          <w:rFonts w:ascii="Arial" w:eastAsia="Arial" w:hAnsi="Arial" w:cs="Arial"/>
          <w:sz w:val="24"/>
          <w:szCs w:val="24"/>
          <w:lang w:val="es-ES"/>
        </w:rPr>
        <w:t>el</w:t>
      </w:r>
      <w:r w:rsidRPr="00655BBA">
        <w:rPr>
          <w:rFonts w:ascii="Arial" w:eastAsia="Arial" w:hAnsi="Arial" w:cs="Arial"/>
          <w:sz w:val="24"/>
          <w:szCs w:val="24"/>
          <w:lang w:val="es-ES"/>
        </w:rPr>
        <w:t xml:space="preserve"> cual se detalla y compila derechos y beneficios en favor de los nacionales, ciudadanos y residentes de los Estados Partes del MERCOSUR; contemplados en el acervo jurídico vigente del MERCOSUR dependiendo su alcance de las respectivas legislaciones nacionales y de la naturaleza específica de los diferentes instrumentos.</w:t>
      </w:r>
      <w:r w:rsidR="00807470" w:rsidRPr="00655BB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E0D2E">
        <w:rPr>
          <w:rFonts w:ascii="Arial" w:eastAsia="Arial" w:hAnsi="Arial" w:cs="Arial"/>
          <w:sz w:val="24"/>
          <w:szCs w:val="24"/>
          <w:lang w:val="es-ES"/>
        </w:rPr>
        <w:t xml:space="preserve">El mismo incluye dos capítulos referidos al aspecto laboral y de la seguridad social. </w:t>
      </w:r>
      <w:r w:rsidR="00203063" w:rsidRPr="00655BBA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6A233F">
        <w:rPr>
          <w:rFonts w:ascii="Arial" w:eastAsia="Arial" w:hAnsi="Arial" w:cs="Arial"/>
          <w:sz w:val="24"/>
          <w:szCs w:val="24"/>
          <w:lang w:val="es-ES"/>
        </w:rPr>
        <w:t>Estatuto</w:t>
      </w:r>
      <w:r w:rsidR="00203063" w:rsidRPr="00655BBA">
        <w:rPr>
          <w:rFonts w:ascii="Arial" w:eastAsia="Arial" w:hAnsi="Arial" w:cs="Arial"/>
          <w:sz w:val="24"/>
          <w:szCs w:val="24"/>
          <w:lang w:val="es-ES"/>
        </w:rPr>
        <w:t xml:space="preserve"> consta como </w:t>
      </w:r>
      <w:r w:rsidR="00807470" w:rsidRPr="00655BBA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Anexo </w:t>
      </w:r>
      <w:r w:rsidR="00203063" w:rsidRPr="00655BBA">
        <w:rPr>
          <w:rFonts w:ascii="Arial" w:eastAsia="Arial" w:hAnsi="Arial" w:cs="Arial"/>
          <w:b/>
          <w:bCs/>
          <w:sz w:val="24"/>
          <w:szCs w:val="24"/>
          <w:lang w:val="es-ES"/>
        </w:rPr>
        <w:t>V</w:t>
      </w:r>
      <w:r w:rsidR="00203063" w:rsidRPr="00655BBA">
        <w:rPr>
          <w:rFonts w:ascii="Arial" w:eastAsia="Arial" w:hAnsi="Arial" w:cs="Arial"/>
          <w:sz w:val="24"/>
          <w:szCs w:val="24"/>
          <w:lang w:val="es-ES"/>
        </w:rPr>
        <w:t>.</w:t>
      </w:r>
      <w:r w:rsidRPr="00655BBA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3C5231D" w14:textId="7CE0F090" w:rsidR="003168B3" w:rsidRPr="00655BBA" w:rsidRDefault="003168B3" w:rsidP="00655BBA">
      <w:pPr>
        <w:pStyle w:val="Lista"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5C79CD21" w14:textId="67EC3548" w:rsidR="003168B3" w:rsidRPr="00655BBA" w:rsidRDefault="003168B3" w:rsidP="004E0312">
      <w:pPr>
        <w:pStyle w:val="Lista"/>
        <w:spacing w:after="0" w:line="240" w:lineRule="auto"/>
        <w:ind w:left="0" w:firstLine="0"/>
        <w:jc w:val="both"/>
        <w:rPr>
          <w:rFonts w:ascii="Arial" w:eastAsia="Arial" w:hAnsi="Arial" w:cs="Arial"/>
          <w:color w:val="FF0000"/>
          <w:sz w:val="24"/>
          <w:szCs w:val="24"/>
          <w:lang w:val="es-ES"/>
        </w:rPr>
      </w:pPr>
      <w:r w:rsidRPr="00655BBA">
        <w:rPr>
          <w:rFonts w:ascii="Arial" w:eastAsia="Arial" w:hAnsi="Arial" w:cs="Arial"/>
          <w:sz w:val="24"/>
          <w:szCs w:val="24"/>
          <w:lang w:val="es-ES"/>
        </w:rPr>
        <w:t xml:space="preserve">En ese sentido, </w:t>
      </w:r>
      <w:r w:rsidR="003E4E7F" w:rsidRPr="00655BBA">
        <w:rPr>
          <w:rFonts w:ascii="Arial" w:eastAsia="Arial" w:hAnsi="Arial" w:cs="Arial"/>
          <w:sz w:val="24"/>
          <w:szCs w:val="24"/>
          <w:lang w:val="es-ES"/>
        </w:rPr>
        <w:t>el SGT N° 10, solicita al GMC que, en la próxima actualización del Estatuto de la Ciudadanía,</w:t>
      </w:r>
      <w:r w:rsidR="003C5B99">
        <w:rPr>
          <w:rFonts w:ascii="Arial" w:eastAsia="Arial" w:hAnsi="Arial" w:cs="Arial"/>
          <w:sz w:val="24"/>
          <w:szCs w:val="24"/>
          <w:lang w:val="es-ES"/>
        </w:rPr>
        <w:t xml:space="preserve"> se cite como fuente</w:t>
      </w:r>
      <w:r w:rsidR="004E0312">
        <w:rPr>
          <w:rFonts w:ascii="Arial" w:eastAsia="Arial" w:hAnsi="Arial" w:cs="Arial"/>
          <w:sz w:val="24"/>
          <w:szCs w:val="24"/>
          <w:lang w:val="es-ES"/>
        </w:rPr>
        <w:t xml:space="preserve"> al</w:t>
      </w:r>
      <w:r w:rsidRPr="00655BBA">
        <w:rPr>
          <w:rFonts w:ascii="Arial" w:eastAsia="Arial" w:hAnsi="Arial" w:cs="Arial"/>
          <w:sz w:val="24"/>
          <w:szCs w:val="24"/>
          <w:lang w:val="es-ES"/>
        </w:rPr>
        <w:t xml:space="preserve"> “Plan Regional de Salud y Seguridad</w:t>
      </w:r>
      <w:r w:rsidR="004E0312" w:rsidRPr="004E0312">
        <w:rPr>
          <w:rFonts w:ascii="Arial" w:eastAsia="Times New Roman" w:hAnsi="Arial" w:cs="Times New Roman"/>
          <w:sz w:val="24"/>
          <w:szCs w:val="20"/>
          <w:lang w:val="es-AR" w:eastAsia="es-ES"/>
        </w:rPr>
        <w:t xml:space="preserve"> de los Trabajadores en el MERCOSUR</w:t>
      </w:r>
      <w:r w:rsidRPr="00655BBA">
        <w:rPr>
          <w:rFonts w:ascii="Arial" w:eastAsia="Arial" w:hAnsi="Arial" w:cs="Arial"/>
          <w:sz w:val="24"/>
          <w:szCs w:val="24"/>
          <w:lang w:val="es-ES"/>
        </w:rPr>
        <w:t>”</w:t>
      </w:r>
      <w:r w:rsidR="00FE0D2E">
        <w:rPr>
          <w:rFonts w:ascii="Arial" w:eastAsia="Arial" w:hAnsi="Arial" w:cs="Arial"/>
          <w:sz w:val="24"/>
          <w:szCs w:val="24"/>
          <w:lang w:val="es-ES"/>
        </w:rPr>
        <w:t xml:space="preserve">, tal como se hizo con los restantes planes regionales vigentes en el ámbito del SGT </w:t>
      </w:r>
      <w:proofErr w:type="spellStart"/>
      <w:r w:rsidR="006A233F">
        <w:rPr>
          <w:rFonts w:ascii="Arial" w:eastAsia="Arial" w:hAnsi="Arial" w:cs="Arial"/>
          <w:sz w:val="24"/>
          <w:szCs w:val="24"/>
          <w:lang w:val="es-ES"/>
        </w:rPr>
        <w:t>N°</w:t>
      </w:r>
      <w:proofErr w:type="spellEnd"/>
      <w:r w:rsidR="006A233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E0D2E">
        <w:rPr>
          <w:rFonts w:ascii="Arial" w:eastAsia="Arial" w:hAnsi="Arial" w:cs="Arial"/>
          <w:sz w:val="24"/>
          <w:szCs w:val="24"/>
          <w:lang w:val="es-ES"/>
        </w:rPr>
        <w:t xml:space="preserve">10. </w:t>
      </w:r>
      <w:r w:rsidR="003E4E7F" w:rsidRPr="00655BBA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3FFD7BF3" w14:textId="77777777" w:rsidR="0070253F" w:rsidRPr="00655BBA" w:rsidRDefault="0070253F" w:rsidP="00655BBA">
      <w:pPr>
        <w:pStyle w:val="Lista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18EFBD41" w14:textId="77777777" w:rsidR="001E01E5" w:rsidRPr="00655BBA" w:rsidRDefault="001E01E5" w:rsidP="00655BBA">
      <w:pPr>
        <w:pStyle w:val="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025D79F5" w14:textId="403C1AD7" w:rsidR="0018690E" w:rsidRPr="00655BBA" w:rsidRDefault="001E01E5" w:rsidP="00655BBA">
      <w:pPr>
        <w:pStyle w:val="Lista"/>
        <w:numPr>
          <w:ilvl w:val="0"/>
          <w:numId w:val="43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655BBA">
        <w:rPr>
          <w:rFonts w:ascii="Arial" w:eastAsia="Arial" w:hAnsi="Arial" w:cs="Arial"/>
          <w:b/>
          <w:bCs/>
          <w:sz w:val="24"/>
          <w:szCs w:val="24"/>
          <w:lang w:val="es-ES"/>
        </w:rPr>
        <w:t>PRESENTACIÓN</w:t>
      </w:r>
      <w:r w:rsidRPr="00655BBA">
        <w:rPr>
          <w:rFonts w:ascii="Arial" w:eastAsia="Arial" w:hAnsi="Arial" w:cs="Arial"/>
          <w:b/>
          <w:bCs/>
          <w:sz w:val="24"/>
          <w:szCs w:val="24"/>
          <w:lang w:val="es-UY"/>
        </w:rPr>
        <w:t xml:space="preserve"> Y APROBACIÓN DEL ACTA OMTM</w:t>
      </w:r>
      <w:r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</w:p>
    <w:p w14:paraId="5CDE74BC" w14:textId="77777777" w:rsidR="001E01E5" w:rsidRPr="00655BBA" w:rsidRDefault="001E01E5" w:rsidP="00655BBA">
      <w:pPr>
        <w:pStyle w:val="Lista"/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927FE97" w14:textId="69F60DF3" w:rsidR="00293987" w:rsidRPr="00655BBA" w:rsidRDefault="00804340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655BBA">
        <w:rPr>
          <w:rFonts w:ascii="Arial" w:hAnsi="Arial" w:cs="Arial"/>
          <w:sz w:val="24"/>
          <w:szCs w:val="24"/>
          <w:lang w:val="es-UY" w:eastAsia="es-ES"/>
        </w:rPr>
        <w:t>El SGT N° 10 recibió el Informe de los resultados de la Reunión de la Comisión Observatorio del Mercado de Trabajo del MERCOSUR (OMTM), y aprobó el Acta N° 0</w:t>
      </w:r>
      <w:r w:rsidR="001E01E5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>/2</w:t>
      </w:r>
      <w:r w:rsidR="001E01E5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la reunión realizada por medio del sistema de videoconferencia, conforme se establece en la Resolución GMC N° 19/12 “Reuniones por el sistema de videoconferencia”, el día </w:t>
      </w:r>
      <w:r w:rsidR="00807470" w:rsidRPr="00655BBA">
        <w:rPr>
          <w:rFonts w:ascii="Arial" w:hAnsi="Arial" w:cs="Arial"/>
          <w:sz w:val="24"/>
          <w:szCs w:val="24"/>
          <w:lang w:val="es-UY" w:eastAsia="es-ES"/>
        </w:rPr>
        <w:t>5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</w:t>
      </w:r>
      <w:r w:rsidR="00807470" w:rsidRPr="00655BBA">
        <w:rPr>
          <w:rFonts w:ascii="Arial" w:hAnsi="Arial" w:cs="Arial"/>
          <w:sz w:val="24"/>
          <w:szCs w:val="24"/>
          <w:lang w:val="es-UY" w:eastAsia="es-ES"/>
        </w:rPr>
        <w:t>mayo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202</w:t>
      </w:r>
      <w:r w:rsidR="00807470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(Anexo </w:t>
      </w:r>
      <w:r w:rsidR="003E4E7F"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VI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)</w:t>
      </w:r>
      <w:r w:rsidRPr="00655BB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2D3909EA" w14:textId="003E2B95" w:rsidR="00CC7A8F" w:rsidRPr="00655BBA" w:rsidRDefault="00CC7A8F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3CDEFED4" w14:textId="005516D6" w:rsidR="00CC7A8F" w:rsidRPr="00655BBA" w:rsidRDefault="00CC7A8F" w:rsidP="00655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F86ABA">
        <w:rPr>
          <w:rFonts w:ascii="Arial" w:hAnsi="Arial" w:cs="Arial"/>
          <w:sz w:val="24"/>
          <w:szCs w:val="24"/>
          <w:lang w:val="es-UY" w:eastAsia="es-ES"/>
        </w:rPr>
        <w:t xml:space="preserve">Asimismo, tomaron nota de las presentaciones realizadas </w:t>
      </w:r>
      <w:r w:rsidR="00F86ABA" w:rsidRPr="00F86ABA">
        <w:rPr>
          <w:rFonts w:ascii="Arial" w:hAnsi="Arial" w:cs="Arial"/>
          <w:sz w:val="24"/>
          <w:szCs w:val="24"/>
          <w:lang w:val="es-UY" w:eastAsia="es-ES"/>
        </w:rPr>
        <w:t xml:space="preserve">en dicha reunión, en particular su interacción con la Reunión Especializada de Estadísticas (REES) y felicitaron la realización de los informes: “Análisis sobre los principales indicadores del mercado de trabajo en los países del MERCOSUR, año 2020” (figura como anexo III del </w:t>
      </w:r>
      <w:r w:rsidR="003D3EF4">
        <w:rPr>
          <w:rFonts w:ascii="Arial" w:hAnsi="Arial" w:cs="Arial"/>
          <w:sz w:val="24"/>
          <w:szCs w:val="24"/>
          <w:lang w:val="es-UY" w:eastAsia="es-ES"/>
        </w:rPr>
        <w:t>A</w:t>
      </w:r>
      <w:r w:rsidR="00F86ABA" w:rsidRPr="00F86ABA">
        <w:rPr>
          <w:rFonts w:ascii="Arial" w:hAnsi="Arial" w:cs="Arial"/>
          <w:sz w:val="24"/>
          <w:szCs w:val="24"/>
          <w:lang w:val="es-UY" w:eastAsia="es-ES"/>
        </w:rPr>
        <w:t xml:space="preserve">cta </w:t>
      </w:r>
      <w:r w:rsidR="003D3EF4">
        <w:rPr>
          <w:rFonts w:ascii="Arial" w:hAnsi="Arial" w:cs="Arial"/>
          <w:sz w:val="24"/>
          <w:szCs w:val="24"/>
          <w:lang w:val="es-UY" w:eastAsia="es-ES"/>
        </w:rPr>
        <w:t>0</w:t>
      </w:r>
      <w:r w:rsidR="00F86ABA" w:rsidRPr="00F86ABA">
        <w:rPr>
          <w:rFonts w:ascii="Arial" w:hAnsi="Arial" w:cs="Arial"/>
          <w:sz w:val="24"/>
          <w:szCs w:val="24"/>
          <w:lang w:val="es-UY" w:eastAsia="es-ES"/>
        </w:rPr>
        <w:t xml:space="preserve">1/21 </w:t>
      </w:r>
      <w:r w:rsidR="003D3EF4">
        <w:rPr>
          <w:rFonts w:ascii="Arial" w:hAnsi="Arial" w:cs="Arial"/>
          <w:sz w:val="24"/>
          <w:szCs w:val="24"/>
          <w:lang w:val="es-UY" w:eastAsia="es-ES"/>
        </w:rPr>
        <w:t>del</w:t>
      </w:r>
      <w:r w:rsidR="00F86ABA" w:rsidRPr="00F86ABA">
        <w:rPr>
          <w:rFonts w:ascii="Arial" w:hAnsi="Arial" w:cs="Arial"/>
          <w:sz w:val="24"/>
          <w:szCs w:val="24"/>
          <w:lang w:val="es-UY" w:eastAsia="es-ES"/>
        </w:rPr>
        <w:t xml:space="preserve"> OMTM) y “Situación de los Indicadores para la Comisión Sociolaboral del MERCOSUR, </w:t>
      </w:r>
      <w:r w:rsidR="006B0E74" w:rsidRPr="00F86ABA">
        <w:rPr>
          <w:rFonts w:ascii="Arial" w:hAnsi="Arial" w:cs="Arial"/>
          <w:sz w:val="24"/>
          <w:szCs w:val="24"/>
          <w:lang w:val="es-UY" w:eastAsia="es-ES"/>
        </w:rPr>
        <w:t>mayo</w:t>
      </w:r>
      <w:r w:rsidR="00F86ABA" w:rsidRPr="00F86ABA">
        <w:rPr>
          <w:rFonts w:ascii="Arial" w:hAnsi="Arial" w:cs="Arial"/>
          <w:sz w:val="24"/>
          <w:szCs w:val="24"/>
          <w:lang w:val="es-UY" w:eastAsia="es-ES"/>
        </w:rPr>
        <w:t xml:space="preserve"> 2021” (figura como anexo IV del Acta </w:t>
      </w:r>
      <w:r w:rsidR="003D3EF4">
        <w:rPr>
          <w:rFonts w:ascii="Arial" w:hAnsi="Arial" w:cs="Arial"/>
          <w:sz w:val="24"/>
          <w:szCs w:val="24"/>
          <w:lang w:val="es-UY" w:eastAsia="es-ES"/>
        </w:rPr>
        <w:t>0</w:t>
      </w:r>
      <w:r w:rsidR="00F86ABA" w:rsidRPr="00F86ABA">
        <w:rPr>
          <w:rFonts w:ascii="Arial" w:hAnsi="Arial" w:cs="Arial"/>
          <w:sz w:val="24"/>
          <w:szCs w:val="24"/>
          <w:lang w:val="es-UY" w:eastAsia="es-ES"/>
        </w:rPr>
        <w:t>1/21 del OMTM).</w:t>
      </w:r>
    </w:p>
    <w:p w14:paraId="6C1A90E0" w14:textId="51E2EB5F" w:rsidR="00CC7A8F" w:rsidRPr="00655BBA" w:rsidRDefault="00CC7A8F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043526CD" w14:textId="77777777" w:rsidR="00807470" w:rsidRPr="00655BBA" w:rsidRDefault="00807470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20B4E523" w14:textId="390A024F" w:rsidR="00293987" w:rsidRDefault="00C83551" w:rsidP="00655BBA">
      <w:pPr>
        <w:pStyle w:val="Lista"/>
        <w:numPr>
          <w:ilvl w:val="0"/>
          <w:numId w:val="43"/>
        </w:num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PLAN PARA FACILITAR LA CIRCULACIÓN DE TRABAJADORES EN EL MERCOSUR</w:t>
      </w:r>
    </w:p>
    <w:p w14:paraId="50076751" w14:textId="77777777" w:rsidR="00655BBA" w:rsidRPr="00655BBA" w:rsidRDefault="00655BBA" w:rsidP="00655BBA">
      <w:pPr>
        <w:pStyle w:val="Lista"/>
        <w:spacing w:after="0" w:line="240" w:lineRule="auto"/>
        <w:ind w:left="284" w:firstLine="0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2A609424" w14:textId="4D0751EF" w:rsidR="00A74B6B" w:rsidRPr="00655BBA" w:rsidRDefault="00A74B6B" w:rsidP="00655BBA">
      <w:pPr>
        <w:pStyle w:val="Ttulo2"/>
        <w:numPr>
          <w:ilvl w:val="1"/>
          <w:numId w:val="43"/>
        </w:numPr>
        <w:rPr>
          <w:szCs w:val="24"/>
        </w:rPr>
      </w:pPr>
      <w:r w:rsidRPr="00655BBA">
        <w:rPr>
          <w:szCs w:val="24"/>
        </w:rPr>
        <w:t xml:space="preserve">Formación </w:t>
      </w:r>
      <w:r w:rsidR="00807470" w:rsidRPr="00655BBA">
        <w:rPr>
          <w:szCs w:val="24"/>
        </w:rPr>
        <w:t>P</w:t>
      </w:r>
      <w:r w:rsidRPr="00655BBA">
        <w:rPr>
          <w:szCs w:val="24"/>
        </w:rPr>
        <w:t>rofesional, presentación y aprobación del acta de la Comisión</w:t>
      </w:r>
    </w:p>
    <w:p w14:paraId="4EECCE4A" w14:textId="77777777" w:rsidR="002F45B4" w:rsidRPr="00655BBA" w:rsidRDefault="002F45B4" w:rsidP="00655BBA">
      <w:pPr>
        <w:pStyle w:val="Textoindependiente"/>
        <w:rPr>
          <w:szCs w:val="24"/>
        </w:rPr>
      </w:pPr>
    </w:p>
    <w:p w14:paraId="1F7B2C62" w14:textId="682DC5EB" w:rsidR="00804340" w:rsidRPr="00655BBA" w:rsidRDefault="00804340" w:rsidP="00655BBA">
      <w:pPr>
        <w:pStyle w:val="Textoindependiente"/>
        <w:rPr>
          <w:szCs w:val="24"/>
        </w:rPr>
      </w:pPr>
      <w:r w:rsidRPr="00655BBA">
        <w:rPr>
          <w:szCs w:val="24"/>
        </w:rPr>
        <w:t>El SGT N° 10 recibió el Informe de los resultados de la Comisión del Equipo Técnico de Formación Profesional (CETFP), y aprobó el Acta N° 0</w:t>
      </w:r>
      <w:r w:rsidR="00807470" w:rsidRPr="00655BBA">
        <w:rPr>
          <w:szCs w:val="24"/>
        </w:rPr>
        <w:t>1</w:t>
      </w:r>
      <w:r w:rsidRPr="00655BBA">
        <w:rPr>
          <w:szCs w:val="24"/>
        </w:rPr>
        <w:t>/2</w:t>
      </w:r>
      <w:r w:rsidR="00807470" w:rsidRPr="00655BBA">
        <w:rPr>
          <w:szCs w:val="24"/>
        </w:rPr>
        <w:t>1</w:t>
      </w:r>
      <w:r w:rsidRPr="00655BBA">
        <w:rPr>
          <w:szCs w:val="24"/>
        </w:rPr>
        <w:t xml:space="preserve"> de la reunión realizada por medio del sistema de videoconferencia, conforme se establece en la Resolución GMC N° 19/12 “Reuniones por el sistema de videoconferencia”, el día </w:t>
      </w:r>
      <w:r w:rsidR="00807470" w:rsidRPr="00655BBA">
        <w:rPr>
          <w:szCs w:val="24"/>
        </w:rPr>
        <w:t>30</w:t>
      </w:r>
      <w:r w:rsidRPr="00655BBA">
        <w:rPr>
          <w:szCs w:val="24"/>
        </w:rPr>
        <w:t xml:space="preserve"> de </w:t>
      </w:r>
      <w:r w:rsidR="00807470" w:rsidRPr="00655BBA">
        <w:rPr>
          <w:szCs w:val="24"/>
        </w:rPr>
        <w:t>abril</w:t>
      </w:r>
      <w:r w:rsidRPr="00655BBA">
        <w:rPr>
          <w:szCs w:val="24"/>
        </w:rPr>
        <w:t xml:space="preserve"> de 202</w:t>
      </w:r>
      <w:r w:rsidR="00807470" w:rsidRPr="00655BBA">
        <w:rPr>
          <w:szCs w:val="24"/>
        </w:rPr>
        <w:t>1</w:t>
      </w:r>
      <w:r w:rsidRPr="00655BBA">
        <w:rPr>
          <w:szCs w:val="24"/>
        </w:rPr>
        <w:t xml:space="preserve"> </w:t>
      </w:r>
      <w:r w:rsidRPr="00655BBA">
        <w:rPr>
          <w:b/>
          <w:bCs/>
          <w:szCs w:val="24"/>
        </w:rPr>
        <w:t xml:space="preserve">(Anexo </w:t>
      </w:r>
      <w:r w:rsidR="002F45B4" w:rsidRPr="00655BBA">
        <w:rPr>
          <w:b/>
          <w:bCs/>
          <w:szCs w:val="24"/>
        </w:rPr>
        <w:t>VII</w:t>
      </w:r>
      <w:r w:rsidRPr="00655BBA">
        <w:rPr>
          <w:b/>
          <w:bCs/>
          <w:szCs w:val="24"/>
        </w:rPr>
        <w:t>)</w:t>
      </w:r>
      <w:r w:rsidRPr="00655BBA">
        <w:rPr>
          <w:szCs w:val="24"/>
        </w:rPr>
        <w:t xml:space="preserve">. </w:t>
      </w:r>
    </w:p>
    <w:p w14:paraId="3F0EA848" w14:textId="305A98D1" w:rsidR="00A64F03" w:rsidRPr="00655BBA" w:rsidRDefault="00A64F03" w:rsidP="00655BBA">
      <w:pPr>
        <w:pStyle w:val="Textoindependiente"/>
        <w:rPr>
          <w:szCs w:val="24"/>
        </w:rPr>
      </w:pPr>
    </w:p>
    <w:p w14:paraId="41F16C85" w14:textId="2AADB13F" w:rsidR="001175DA" w:rsidRDefault="00A64F03" w:rsidP="00655BBA">
      <w:pPr>
        <w:pStyle w:val="Textoindependiente"/>
        <w:rPr>
          <w:szCs w:val="24"/>
        </w:rPr>
      </w:pPr>
      <w:r w:rsidRPr="00655BBA">
        <w:rPr>
          <w:szCs w:val="24"/>
        </w:rPr>
        <w:lastRenderedPageBreak/>
        <w:t xml:space="preserve">Asimismo, se tomó nota de la próxima reunión </w:t>
      </w:r>
      <w:r w:rsidR="001175DA" w:rsidRPr="00655BBA">
        <w:rPr>
          <w:szCs w:val="24"/>
        </w:rPr>
        <w:t xml:space="preserve">conjunta entre el RME/CAET y la CETFP para el próximo 26 de mayo, a fin de acordar comenzar las negociaciones </w:t>
      </w:r>
      <w:r w:rsidR="00FE0D2E">
        <w:rPr>
          <w:szCs w:val="24"/>
        </w:rPr>
        <w:t xml:space="preserve">para la </w:t>
      </w:r>
      <w:r w:rsidR="001175DA" w:rsidRPr="00655BBA">
        <w:rPr>
          <w:szCs w:val="24"/>
        </w:rPr>
        <w:t>definici</w:t>
      </w:r>
      <w:r w:rsidR="00FE0D2E">
        <w:rPr>
          <w:szCs w:val="24"/>
        </w:rPr>
        <w:t xml:space="preserve">ón del sector que </w:t>
      </w:r>
      <w:proofErr w:type="gramStart"/>
      <w:r w:rsidR="00FE0D2E">
        <w:rPr>
          <w:szCs w:val="24"/>
        </w:rPr>
        <w:t>dará inicio a</w:t>
      </w:r>
      <w:proofErr w:type="gramEnd"/>
      <w:r w:rsidR="00FE0D2E">
        <w:rPr>
          <w:szCs w:val="24"/>
        </w:rPr>
        <w:t xml:space="preserve"> una experiencia piloto para la creación de un futuro</w:t>
      </w:r>
      <w:r w:rsidR="001175DA" w:rsidRPr="00655BBA">
        <w:rPr>
          <w:szCs w:val="24"/>
        </w:rPr>
        <w:t xml:space="preserve"> Marco </w:t>
      </w:r>
      <w:r w:rsidR="009A244E">
        <w:rPr>
          <w:szCs w:val="24"/>
        </w:rPr>
        <w:t>Regional de Cualificaciones</w:t>
      </w:r>
      <w:r w:rsidR="001175DA" w:rsidRPr="00655BBA">
        <w:rPr>
          <w:szCs w:val="24"/>
        </w:rPr>
        <w:t>.</w:t>
      </w:r>
    </w:p>
    <w:p w14:paraId="68F87B17" w14:textId="1F9721A3" w:rsidR="001175DA" w:rsidRPr="00655BBA" w:rsidRDefault="001175DA" w:rsidP="00655BBA">
      <w:pPr>
        <w:pStyle w:val="Textoindependiente"/>
        <w:rPr>
          <w:szCs w:val="24"/>
        </w:rPr>
      </w:pPr>
    </w:p>
    <w:p w14:paraId="561FF8CD" w14:textId="091402DB" w:rsidR="00A74B6B" w:rsidRPr="00655BBA" w:rsidRDefault="00A74B6B" w:rsidP="00655BBA">
      <w:pPr>
        <w:pStyle w:val="Ttulo2"/>
        <w:numPr>
          <w:ilvl w:val="1"/>
          <w:numId w:val="43"/>
        </w:numPr>
        <w:rPr>
          <w:szCs w:val="24"/>
        </w:rPr>
      </w:pPr>
      <w:r w:rsidRPr="00655BBA">
        <w:rPr>
          <w:szCs w:val="24"/>
        </w:rPr>
        <w:t>Servicios públicos de empleo, presentación y aprobación del acta de la Comisión</w:t>
      </w:r>
    </w:p>
    <w:p w14:paraId="25DDD2CB" w14:textId="77777777" w:rsidR="00804340" w:rsidRPr="00655BBA" w:rsidRDefault="00804340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ES"/>
        </w:rPr>
      </w:pPr>
    </w:p>
    <w:p w14:paraId="0244D8A7" w14:textId="77C5E665" w:rsidR="00804340" w:rsidRPr="00655BBA" w:rsidRDefault="00804340" w:rsidP="00655BBA">
      <w:pPr>
        <w:pStyle w:val="Textoindependiente"/>
        <w:rPr>
          <w:szCs w:val="24"/>
        </w:rPr>
      </w:pPr>
      <w:r w:rsidRPr="00655BBA">
        <w:rPr>
          <w:szCs w:val="24"/>
        </w:rPr>
        <w:t>El SGT N° 10 recibió el Informe de los resultados de la reunión</w:t>
      </w:r>
      <w:r w:rsidR="00AB0D9B" w:rsidRPr="00655BBA">
        <w:rPr>
          <w:szCs w:val="24"/>
        </w:rPr>
        <w:t xml:space="preserve"> de la Comisión del Equipo Técnico de Servicios Públicos de Empleo (CETSP)</w:t>
      </w:r>
      <w:r w:rsidRPr="00655BBA">
        <w:rPr>
          <w:szCs w:val="24"/>
        </w:rPr>
        <w:t>, y aprobó el Acta N° 0</w:t>
      </w:r>
      <w:r w:rsidR="006E1CC7" w:rsidRPr="00655BBA">
        <w:rPr>
          <w:szCs w:val="24"/>
        </w:rPr>
        <w:t>1</w:t>
      </w:r>
      <w:r w:rsidRPr="00655BBA">
        <w:rPr>
          <w:szCs w:val="24"/>
        </w:rPr>
        <w:t>/2</w:t>
      </w:r>
      <w:r w:rsidR="006E1CC7" w:rsidRPr="00655BBA">
        <w:rPr>
          <w:szCs w:val="24"/>
        </w:rPr>
        <w:t>1</w:t>
      </w:r>
      <w:r w:rsidRPr="00655BBA">
        <w:rPr>
          <w:szCs w:val="24"/>
        </w:rPr>
        <w:t xml:space="preserve"> de la reunión realizada por medio del sistema de videoconferencia, conforme se establece en la Resolución GMC N° 19/12 “Reuniones por el sistema de videoconferencia”, el día </w:t>
      </w:r>
      <w:r w:rsidR="006E1CC7" w:rsidRPr="00655BBA">
        <w:rPr>
          <w:szCs w:val="24"/>
        </w:rPr>
        <w:t>4</w:t>
      </w:r>
      <w:r w:rsidR="00541457" w:rsidRPr="00655BBA">
        <w:rPr>
          <w:szCs w:val="24"/>
        </w:rPr>
        <w:t xml:space="preserve"> de </w:t>
      </w:r>
      <w:r w:rsidR="006E1CC7" w:rsidRPr="00655BBA">
        <w:rPr>
          <w:szCs w:val="24"/>
        </w:rPr>
        <w:t>mayo</w:t>
      </w:r>
      <w:r w:rsidRPr="00655BBA">
        <w:rPr>
          <w:szCs w:val="24"/>
        </w:rPr>
        <w:t xml:space="preserve"> de 202</w:t>
      </w:r>
      <w:r w:rsidR="006E1CC7" w:rsidRPr="00655BBA">
        <w:rPr>
          <w:szCs w:val="24"/>
        </w:rPr>
        <w:t>1</w:t>
      </w:r>
      <w:r w:rsidRPr="00655BBA">
        <w:rPr>
          <w:szCs w:val="24"/>
        </w:rPr>
        <w:t xml:space="preserve"> </w:t>
      </w:r>
      <w:r w:rsidRPr="00655BBA">
        <w:rPr>
          <w:b/>
          <w:bCs/>
          <w:szCs w:val="24"/>
        </w:rPr>
        <w:t xml:space="preserve">(Anexo </w:t>
      </w:r>
      <w:r w:rsidR="002F45B4" w:rsidRPr="00655BBA">
        <w:rPr>
          <w:b/>
          <w:bCs/>
          <w:szCs w:val="24"/>
        </w:rPr>
        <w:t>VIII</w:t>
      </w:r>
      <w:r w:rsidRPr="00655BBA">
        <w:rPr>
          <w:b/>
          <w:bCs/>
          <w:szCs w:val="24"/>
        </w:rPr>
        <w:t>)</w:t>
      </w:r>
      <w:r w:rsidRPr="00655BBA">
        <w:rPr>
          <w:szCs w:val="24"/>
        </w:rPr>
        <w:t>.</w:t>
      </w:r>
    </w:p>
    <w:p w14:paraId="5D8CEA1E" w14:textId="01FE57D2" w:rsidR="00585380" w:rsidRPr="00655BBA" w:rsidRDefault="00585380" w:rsidP="00655BBA">
      <w:pPr>
        <w:pStyle w:val="Textoindependiente"/>
        <w:rPr>
          <w:szCs w:val="24"/>
        </w:rPr>
      </w:pPr>
    </w:p>
    <w:p w14:paraId="70BFB63F" w14:textId="1F2AB26D" w:rsidR="00F66ADD" w:rsidRPr="00655BBA" w:rsidRDefault="00F66ADD" w:rsidP="00655BBA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PY" w:eastAsia="es-PY"/>
        </w:rPr>
      </w:pPr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 xml:space="preserve">En ese sentido, </w:t>
      </w:r>
      <w:bookmarkStart w:id="1" w:name="_Hlk72333426"/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>el SGT N° 10 solicit</w:t>
      </w:r>
      <w:r w:rsidR="007F2157"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>ó</w:t>
      </w:r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 xml:space="preserve"> al GMC la aprobación del </w:t>
      </w:r>
      <w:proofErr w:type="spellStart"/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>Flyer</w:t>
      </w:r>
      <w:proofErr w:type="spellEnd"/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 xml:space="preserve"> /GIF digital comunicativo con datos generales sobre Servicios Públicos de Empleo del MERCOSUR </w:t>
      </w:r>
      <w:r w:rsidR="009A244E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>y</w:t>
      </w:r>
      <w:r w:rsidR="009A244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9C49A9"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que </w:t>
      </w:r>
      <w:r w:rsidR="009A244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se </w:t>
      </w:r>
      <w:r w:rsidR="009C49A9" w:rsidRPr="00655BBA">
        <w:rPr>
          <w:rFonts w:ascii="Arial" w:eastAsia="Times New Roman" w:hAnsi="Arial" w:cs="Arial"/>
          <w:sz w:val="24"/>
          <w:szCs w:val="24"/>
          <w:lang w:val="es-UY" w:eastAsia="es-ES"/>
        </w:rPr>
        <w:t>arbitre</w:t>
      </w:r>
      <w:r w:rsidR="009A244E">
        <w:rPr>
          <w:rFonts w:ascii="Arial" w:eastAsia="Times New Roman" w:hAnsi="Arial" w:cs="Arial"/>
          <w:sz w:val="24"/>
          <w:szCs w:val="24"/>
          <w:lang w:val="es-UY" w:eastAsia="es-ES"/>
        </w:rPr>
        <w:t>n</w:t>
      </w:r>
      <w:r w:rsidR="009C49A9" w:rsidRPr="00655BB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los medios necesarios para su </w:t>
      </w:r>
      <w:r w:rsidR="0044787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corrección y su </w:t>
      </w:r>
      <w:r w:rsidR="009C49A9" w:rsidRPr="00655BBA">
        <w:rPr>
          <w:rFonts w:ascii="Arial" w:eastAsia="Times New Roman" w:hAnsi="Arial" w:cs="Arial"/>
          <w:sz w:val="24"/>
          <w:szCs w:val="24"/>
          <w:lang w:val="es-UY" w:eastAsia="es-ES"/>
        </w:rPr>
        <w:t>publicación en la página web del MERCOSUR y también su difusión en las redes sociales del MERCOSUR</w:t>
      </w:r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>.</w:t>
      </w:r>
      <w:r w:rsidR="0044787F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 xml:space="preserve"> El GIF consta como </w:t>
      </w:r>
      <w:r w:rsidR="0044787F" w:rsidRPr="0044787F">
        <w:rPr>
          <w:rFonts w:ascii="Arial" w:eastAsia="Calibri" w:hAnsi="Arial" w:cs="Arial"/>
          <w:b/>
          <w:bCs/>
          <w:color w:val="000000"/>
          <w:sz w:val="24"/>
          <w:szCs w:val="24"/>
          <w:lang w:val="es-PY" w:eastAsia="es-PY"/>
        </w:rPr>
        <w:t>Anexo IX</w:t>
      </w:r>
      <w:r w:rsidR="0044787F" w:rsidRPr="0044787F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>.</w:t>
      </w:r>
      <w:bookmarkEnd w:id="1"/>
    </w:p>
    <w:p w14:paraId="10D84116" w14:textId="078C3294" w:rsidR="007A0255" w:rsidRDefault="00F66ADD" w:rsidP="00655BBA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PY" w:eastAsia="es-PY"/>
        </w:rPr>
      </w:pPr>
      <w:r w:rsidRPr="00655BBA">
        <w:rPr>
          <w:rFonts w:ascii="Arial" w:eastAsia="Calibri" w:hAnsi="Arial" w:cs="Arial"/>
          <w:color w:val="000000"/>
          <w:sz w:val="24"/>
          <w:szCs w:val="24"/>
          <w:lang w:val="es-PY" w:eastAsia="es-PY"/>
        </w:rPr>
        <w:t xml:space="preserve"> </w:t>
      </w:r>
    </w:p>
    <w:p w14:paraId="33EBF299" w14:textId="0D4A7D7F" w:rsidR="007A0255" w:rsidRPr="007A0255" w:rsidRDefault="007A0255" w:rsidP="007A025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PY" w:eastAsia="es-PY"/>
        </w:rPr>
      </w:pPr>
      <w:r w:rsidRPr="007A0255">
        <w:rPr>
          <w:rFonts w:ascii="Arial" w:eastAsia="Calibri" w:hAnsi="Arial" w:cs="Arial"/>
          <w:b/>
          <w:bCs/>
          <w:color w:val="000000"/>
          <w:sz w:val="24"/>
          <w:szCs w:val="24"/>
          <w:lang w:val="es-PY" w:eastAsia="es-PY"/>
        </w:rPr>
        <w:t>4.1. y 4.2 Solicitud de relevamiento</w:t>
      </w:r>
    </w:p>
    <w:p w14:paraId="758986F1" w14:textId="77777777" w:rsidR="007A0255" w:rsidRDefault="007A0255" w:rsidP="007A0255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03FAB9C0" w14:textId="46904E23" w:rsidR="007A0255" w:rsidRPr="00C52FAA" w:rsidRDefault="000272FA" w:rsidP="007A0255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 xml:space="preserve">En atención a la importancia de que los cursos de formación profesional y los servicios públicos de empleo, </w:t>
      </w:r>
      <w:bookmarkStart w:id="2" w:name="_Hlk72333019"/>
      <w:r>
        <w:rPr>
          <w:rFonts w:ascii="Arial" w:hAnsi="Arial" w:cs="Arial"/>
          <w:sz w:val="24"/>
          <w:szCs w:val="24"/>
          <w:lang w:val="es-UY" w:eastAsia="es-ES"/>
        </w:rPr>
        <w:t>e</w:t>
      </w:r>
      <w:r w:rsidR="007A0255" w:rsidRPr="00655BBA">
        <w:rPr>
          <w:rFonts w:ascii="Arial" w:hAnsi="Arial" w:cs="Arial"/>
          <w:sz w:val="24"/>
          <w:szCs w:val="24"/>
          <w:lang w:val="es-UY" w:eastAsia="es-ES"/>
        </w:rPr>
        <w:t xml:space="preserve">l SGT </w:t>
      </w:r>
      <w:proofErr w:type="spellStart"/>
      <w:r w:rsidR="007A0255" w:rsidRPr="00655BBA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="007A0255" w:rsidRPr="00655BBA">
        <w:rPr>
          <w:rFonts w:ascii="Arial" w:hAnsi="Arial" w:cs="Arial"/>
          <w:sz w:val="24"/>
          <w:szCs w:val="24"/>
          <w:lang w:val="es-UY" w:eastAsia="es-ES"/>
        </w:rPr>
        <w:t xml:space="preserve"> 10 solicitó al GMC el apoyo de la SM en la elaboración de un documento que refleje que órganos y foros de la Estructura Institucional se encuentra trabajando en la temática </w:t>
      </w:r>
      <w:r w:rsidR="007A0255" w:rsidRPr="00C52FAA">
        <w:rPr>
          <w:rFonts w:ascii="Arial" w:hAnsi="Arial" w:cs="Arial"/>
          <w:sz w:val="24"/>
          <w:szCs w:val="24"/>
          <w:lang w:val="es-UY" w:eastAsia="es-ES"/>
        </w:rPr>
        <w:t>de “</w:t>
      </w:r>
      <w:r w:rsidR="007A0255" w:rsidRPr="000272FA">
        <w:rPr>
          <w:rFonts w:ascii="Arial" w:hAnsi="Arial" w:cs="Arial"/>
          <w:sz w:val="24"/>
          <w:szCs w:val="24"/>
          <w:lang w:val="es-UY" w:eastAsia="es-ES"/>
        </w:rPr>
        <w:t>Conectividad y acceso a las nuevas tecnologías de la información y la libre circulación” c</w:t>
      </w:r>
      <w:r w:rsidR="007A0255" w:rsidRPr="00C52FAA">
        <w:rPr>
          <w:rFonts w:ascii="Arial" w:hAnsi="Arial" w:cs="Arial"/>
          <w:sz w:val="24"/>
          <w:szCs w:val="24"/>
          <w:lang w:val="es-UY" w:eastAsia="es-ES"/>
        </w:rPr>
        <w:t xml:space="preserve">on anterioridad de la próxima reunión, que se realizará bajo la próxima Presidencia </w:t>
      </w:r>
      <w:r w:rsidR="007A0255" w:rsidRPr="00C52FAA">
        <w:rPr>
          <w:rFonts w:ascii="Arial" w:hAnsi="Arial" w:cs="Arial"/>
          <w:i/>
          <w:iCs/>
          <w:sz w:val="24"/>
          <w:szCs w:val="24"/>
          <w:lang w:val="es-UY" w:eastAsia="es-ES"/>
        </w:rPr>
        <w:t>Pro Tempore</w:t>
      </w:r>
      <w:r w:rsidR="007A0255" w:rsidRPr="00C52FAA">
        <w:rPr>
          <w:rFonts w:ascii="Arial" w:hAnsi="Arial" w:cs="Arial"/>
          <w:sz w:val="24"/>
          <w:szCs w:val="24"/>
          <w:lang w:val="es-UY" w:eastAsia="es-ES"/>
        </w:rPr>
        <w:t>.</w:t>
      </w:r>
      <w:bookmarkEnd w:id="2"/>
    </w:p>
    <w:p w14:paraId="74B8F4FE" w14:textId="77777777" w:rsidR="007A0255" w:rsidRPr="00655BBA" w:rsidRDefault="007A0255" w:rsidP="00655B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14:paraId="2398B481" w14:textId="4E0F00B4" w:rsidR="00A74B6B" w:rsidRPr="00655BBA" w:rsidRDefault="001E01E5" w:rsidP="00655BBA">
      <w:pPr>
        <w:pStyle w:val="Ttulo2"/>
        <w:numPr>
          <w:ilvl w:val="1"/>
          <w:numId w:val="43"/>
        </w:numPr>
        <w:rPr>
          <w:szCs w:val="24"/>
        </w:rPr>
      </w:pPr>
      <w:r w:rsidRPr="00655BBA">
        <w:rPr>
          <w:szCs w:val="24"/>
        </w:rPr>
        <w:t>Informe sobre Publicación de</w:t>
      </w:r>
      <w:r w:rsidR="00A74B6B" w:rsidRPr="00655BBA">
        <w:rPr>
          <w:szCs w:val="24"/>
        </w:rPr>
        <w:t xml:space="preserve"> cartilla informativa “Cómo Trabajar en </w:t>
      </w:r>
      <w:r w:rsidRPr="00655BBA">
        <w:rPr>
          <w:szCs w:val="24"/>
        </w:rPr>
        <w:t>Argentina”.</w:t>
      </w:r>
      <w:r w:rsidR="00A74B6B" w:rsidRPr="00655BBA">
        <w:rPr>
          <w:szCs w:val="24"/>
        </w:rPr>
        <w:t xml:space="preserve"> </w:t>
      </w:r>
      <w:r w:rsidRPr="00655BBA">
        <w:rPr>
          <w:szCs w:val="24"/>
        </w:rPr>
        <w:t>Estado de Situación</w:t>
      </w:r>
    </w:p>
    <w:p w14:paraId="14865FBC" w14:textId="02135969" w:rsidR="009D3FFA" w:rsidRPr="00655BBA" w:rsidRDefault="009D3FFA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38A42E04" w14:textId="5F88B788" w:rsidR="00F577A0" w:rsidRPr="00D1050A" w:rsidRDefault="00644D7A" w:rsidP="00655BBA">
      <w:pPr>
        <w:pStyle w:val="Textoindependiente"/>
        <w:rPr>
          <w:szCs w:val="24"/>
        </w:rPr>
      </w:pPr>
      <w:r w:rsidRPr="00D1050A">
        <w:rPr>
          <w:szCs w:val="24"/>
        </w:rPr>
        <w:t>L</w:t>
      </w:r>
      <w:r w:rsidR="00A929B0" w:rsidRPr="00D1050A">
        <w:rPr>
          <w:szCs w:val="24"/>
        </w:rPr>
        <w:t xml:space="preserve">a Delegación de Argentina </w:t>
      </w:r>
      <w:r w:rsidR="00D1050A" w:rsidRPr="00D1050A">
        <w:rPr>
          <w:szCs w:val="24"/>
        </w:rPr>
        <w:t xml:space="preserve">informó que la cartilla ya está publicada en la página web de la Secretaría MERCOSUR </w:t>
      </w:r>
      <w:r w:rsidR="003F3F62">
        <w:rPr>
          <w:szCs w:val="24"/>
        </w:rPr>
        <w:t xml:space="preserve">y recordó el compromiso asumido en la pasada Presidencia Pro Témpore </w:t>
      </w:r>
      <w:r w:rsidR="00F577A0" w:rsidRPr="00D1050A">
        <w:rPr>
          <w:szCs w:val="24"/>
        </w:rPr>
        <w:t>de elaborar cartillas similares en los demás Estados Partes</w:t>
      </w:r>
      <w:r w:rsidR="00133BB7" w:rsidRPr="00D1050A">
        <w:rPr>
          <w:szCs w:val="24"/>
        </w:rPr>
        <w:t xml:space="preserve">. El </w:t>
      </w:r>
      <w:r w:rsidR="00FC3A03" w:rsidRPr="00D1050A">
        <w:rPr>
          <w:szCs w:val="24"/>
        </w:rPr>
        <w:t>documento</w:t>
      </w:r>
      <w:r w:rsidR="00133BB7" w:rsidRPr="00D1050A">
        <w:rPr>
          <w:szCs w:val="24"/>
        </w:rPr>
        <w:t xml:space="preserve"> consta como </w:t>
      </w:r>
      <w:r w:rsidR="00133BB7" w:rsidRPr="00D1050A">
        <w:rPr>
          <w:b/>
          <w:bCs/>
          <w:szCs w:val="24"/>
        </w:rPr>
        <w:t xml:space="preserve">Anexo </w:t>
      </w:r>
      <w:r w:rsidR="00FC3A03" w:rsidRPr="00D1050A">
        <w:rPr>
          <w:b/>
          <w:bCs/>
          <w:szCs w:val="24"/>
        </w:rPr>
        <w:t>X</w:t>
      </w:r>
      <w:r w:rsidR="00133BB7" w:rsidRPr="00D1050A">
        <w:rPr>
          <w:szCs w:val="24"/>
        </w:rPr>
        <w:t>.</w:t>
      </w:r>
    </w:p>
    <w:p w14:paraId="070399C8" w14:textId="06DF1E90" w:rsidR="00F577A0" w:rsidRPr="00D1050A" w:rsidRDefault="00F577A0" w:rsidP="00655BBA">
      <w:pPr>
        <w:pStyle w:val="Textoindependiente"/>
        <w:rPr>
          <w:szCs w:val="24"/>
        </w:rPr>
      </w:pPr>
      <w:r w:rsidRPr="00D1050A">
        <w:rPr>
          <w:szCs w:val="24"/>
        </w:rPr>
        <w:t xml:space="preserve"> </w:t>
      </w:r>
    </w:p>
    <w:p w14:paraId="487C428E" w14:textId="4ED888CF" w:rsidR="00293987" w:rsidRPr="00D1050A" w:rsidRDefault="009E6177" w:rsidP="00655BBA">
      <w:pPr>
        <w:pStyle w:val="Textoindependiente"/>
        <w:rPr>
          <w:szCs w:val="24"/>
        </w:rPr>
      </w:pPr>
      <w:r w:rsidRPr="00D1050A">
        <w:rPr>
          <w:szCs w:val="24"/>
        </w:rPr>
        <w:t>Las delegaciones agradecieron el trabajo realizado por la PPTA.</w:t>
      </w:r>
      <w:r w:rsidR="00644D7A" w:rsidRPr="00D1050A">
        <w:rPr>
          <w:szCs w:val="24"/>
        </w:rPr>
        <w:t xml:space="preserve"> </w:t>
      </w:r>
    </w:p>
    <w:p w14:paraId="28524915" w14:textId="77777777" w:rsidR="00655BBA" w:rsidRPr="00D1050A" w:rsidRDefault="00655BBA" w:rsidP="00655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487C108D" w14:textId="1A159B72" w:rsidR="009C49A9" w:rsidRPr="00D1050A" w:rsidRDefault="009C49A9" w:rsidP="00655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D1050A">
        <w:rPr>
          <w:rFonts w:ascii="Arial" w:hAnsi="Arial" w:cs="Arial"/>
          <w:sz w:val="24"/>
          <w:szCs w:val="24"/>
          <w:lang w:val="es-UY" w:eastAsia="es-ES"/>
        </w:rPr>
        <w:t>La Delegación de Brasil compartió su avance</w:t>
      </w:r>
      <w:r w:rsidR="00D1050A" w:rsidRPr="00D1050A">
        <w:rPr>
          <w:rFonts w:ascii="Arial" w:hAnsi="Arial" w:cs="Arial"/>
          <w:sz w:val="24"/>
          <w:szCs w:val="24"/>
          <w:lang w:val="es-UY" w:eastAsia="es-ES"/>
        </w:rPr>
        <w:t xml:space="preserve"> en materia de difusión de los derechos de los trabajadores migrantes</w:t>
      </w:r>
      <w:r w:rsidR="00D54267" w:rsidRPr="00D1050A">
        <w:rPr>
          <w:rFonts w:ascii="Arial" w:hAnsi="Arial" w:cs="Arial"/>
          <w:sz w:val="24"/>
          <w:szCs w:val="24"/>
          <w:lang w:val="es-UY" w:eastAsia="es-ES"/>
        </w:rPr>
        <w:t>.</w:t>
      </w:r>
      <w:r w:rsidR="00D1050A" w:rsidRPr="00D1050A">
        <w:rPr>
          <w:rFonts w:ascii="Arial" w:hAnsi="Arial" w:cs="Arial"/>
          <w:sz w:val="24"/>
          <w:szCs w:val="24"/>
          <w:lang w:val="es-UY" w:eastAsia="es-ES"/>
        </w:rPr>
        <w:t xml:space="preserve"> Los materiales referidos se encuentran en</w:t>
      </w:r>
      <w:r w:rsidR="00D54267" w:rsidRPr="00D1050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="0044787F" w:rsidRPr="0044787F">
        <w:rPr>
          <w:rFonts w:ascii="Arial" w:hAnsi="Arial" w:cs="Arial"/>
          <w:i/>
          <w:iCs/>
          <w:sz w:val="24"/>
          <w:szCs w:val="24"/>
          <w:lang w:val="es-UY" w:eastAsia="es-ES"/>
        </w:rPr>
        <w:t>https://www.gov.br/trabalho/pt-br/acesso-a-informacao/acoes-e-programas/proteja</w:t>
      </w:r>
      <w:r w:rsidRPr="00D1050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5B7BA27E" w14:textId="77777777" w:rsidR="00655BBA" w:rsidRPr="00D1050A" w:rsidRDefault="00655BBA" w:rsidP="00655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0F0E00D5" w14:textId="6B7AA793" w:rsidR="00A929B0" w:rsidRPr="00655BBA" w:rsidRDefault="009C49A9" w:rsidP="00655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D1050A">
        <w:rPr>
          <w:rFonts w:ascii="Arial" w:hAnsi="Arial" w:cs="Arial"/>
          <w:sz w:val="24"/>
          <w:szCs w:val="24"/>
          <w:lang w:val="es-UY" w:eastAsia="es-ES"/>
        </w:rPr>
        <w:t xml:space="preserve">Las delegaciones de Paraguay y Uruguay </w:t>
      </w:r>
      <w:r w:rsidR="0074460F" w:rsidRPr="00D1050A">
        <w:rPr>
          <w:rFonts w:ascii="Arial" w:hAnsi="Arial" w:cs="Arial"/>
          <w:sz w:val="24"/>
          <w:szCs w:val="24"/>
          <w:lang w:val="es-UY" w:eastAsia="es-ES"/>
        </w:rPr>
        <w:t>realizarán sus Cartillas informativas a la brevedad posible.</w:t>
      </w:r>
    </w:p>
    <w:p w14:paraId="64E0DBD5" w14:textId="4713675E" w:rsidR="00133BB7" w:rsidRDefault="00133BB7" w:rsidP="00655BBA">
      <w:pPr>
        <w:spacing w:after="0" w:line="240" w:lineRule="auto"/>
        <w:rPr>
          <w:rFonts w:ascii="Arial" w:hAnsi="Arial" w:cs="Arial"/>
          <w:sz w:val="24"/>
          <w:szCs w:val="24"/>
          <w:lang w:val="es-UY" w:eastAsia="es-ES"/>
        </w:rPr>
      </w:pPr>
    </w:p>
    <w:p w14:paraId="4E714BED" w14:textId="77777777" w:rsidR="00655BBA" w:rsidRPr="00655BBA" w:rsidRDefault="00655BBA" w:rsidP="00655BBA">
      <w:pPr>
        <w:spacing w:after="0" w:line="240" w:lineRule="auto"/>
        <w:rPr>
          <w:rFonts w:ascii="Arial" w:hAnsi="Arial" w:cs="Arial"/>
          <w:sz w:val="24"/>
          <w:szCs w:val="24"/>
          <w:lang w:val="es-UY" w:eastAsia="es-ES"/>
        </w:rPr>
      </w:pPr>
    </w:p>
    <w:p w14:paraId="2ED2CDA6" w14:textId="59E2975A" w:rsidR="00A74B6B" w:rsidRPr="00655BBA" w:rsidRDefault="00A74B6B" w:rsidP="00655BBA">
      <w:pPr>
        <w:pStyle w:val="Lista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lastRenderedPageBreak/>
        <w:t>PLAN REGIONAL PARA LA PREVENCIÓN Y ERRADICACIÓN DEL TRABAJO FORZOSO Y LA TRATA DE PERSONAS CON FINES DE EXPLOTACIÓN LABORAL. PRESENTACIÓN Y APROBACIÓN DEL ACTA DE LA COMISIÓN</w:t>
      </w:r>
    </w:p>
    <w:p w14:paraId="162F743E" w14:textId="77777777" w:rsidR="00801F3F" w:rsidRPr="00655BBA" w:rsidRDefault="00801F3F" w:rsidP="00655B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68283145" w14:textId="103A11FE" w:rsidR="00A74B6B" w:rsidRPr="00655BBA" w:rsidRDefault="00804340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655BBA">
        <w:rPr>
          <w:rFonts w:ascii="Arial" w:hAnsi="Arial" w:cs="Arial"/>
          <w:sz w:val="24"/>
          <w:szCs w:val="24"/>
          <w:lang w:val="es-UY" w:eastAsia="es-ES"/>
        </w:rPr>
        <w:t>El SGT N° 10 recibió el Informe de la Reunión del Equipo Técnico del Plan Regional para la Prevención y Erradicación del Trabajo Forzoso y la Trata de Personas con Fines de Explotación Laboral</w:t>
      </w:r>
      <w:r w:rsidR="00390B01" w:rsidRPr="00655BBA">
        <w:rPr>
          <w:rFonts w:ascii="Arial" w:hAnsi="Arial" w:cs="Arial"/>
          <w:sz w:val="24"/>
          <w:szCs w:val="24"/>
          <w:lang w:val="es-UY" w:eastAsia="es-ES"/>
        </w:rPr>
        <w:t xml:space="preserve"> (RETP),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y aprobó el Acta N° 0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>/2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la reunión realizada por medio del sistema de videoconferencia, conforme se establece en la Resolución GMC N° 19/12 “Reuniones por el sistema de videoconferencia”, el día </w:t>
      </w:r>
      <w:r w:rsidR="00390B01" w:rsidRPr="00655BBA">
        <w:rPr>
          <w:rFonts w:ascii="Arial" w:hAnsi="Arial" w:cs="Arial"/>
          <w:sz w:val="24"/>
          <w:szCs w:val="24"/>
          <w:lang w:val="es-UY" w:eastAsia="es-ES"/>
        </w:rPr>
        <w:t>28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</w:t>
      </w:r>
      <w:r w:rsidR="00390B01" w:rsidRPr="00655BBA">
        <w:rPr>
          <w:rFonts w:ascii="Arial" w:hAnsi="Arial" w:cs="Arial"/>
          <w:sz w:val="24"/>
          <w:szCs w:val="24"/>
          <w:lang w:val="es-UY" w:eastAsia="es-ES"/>
        </w:rPr>
        <w:t>abril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202</w:t>
      </w:r>
      <w:r w:rsidR="00390B01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(Anexo </w:t>
      </w:r>
      <w:r w:rsidR="00FC3A03"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X</w:t>
      </w:r>
      <w:r w:rsidR="0044787F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)</w:t>
      </w:r>
      <w:r w:rsidRPr="00655BB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0DAFFD67" w14:textId="6C063900" w:rsidR="00133BB7" w:rsidRPr="00655BBA" w:rsidRDefault="00133BB7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45C5A95D" w14:textId="525194AB" w:rsidR="007F2157" w:rsidRPr="00C52FAA" w:rsidRDefault="007F2157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En ese sentido, el SGT N° 10 solicitó al GMC el apoyo de la SM en la elaboración de un documento que refleje que órganos y foros de la Estructura Institucional se encuentra trabajando en la temática </w:t>
      </w:r>
      <w:r w:rsidRPr="00C52FAA">
        <w:rPr>
          <w:rFonts w:ascii="Arial" w:hAnsi="Arial" w:cs="Arial"/>
          <w:sz w:val="24"/>
          <w:szCs w:val="24"/>
          <w:lang w:val="es-UY" w:eastAsia="es-ES"/>
        </w:rPr>
        <w:t>de “</w:t>
      </w:r>
      <w:r w:rsidR="00C52FAA" w:rsidRPr="00C52FAA">
        <w:rPr>
          <w:rFonts w:ascii="Arial" w:hAnsi="Arial" w:cs="Arial"/>
          <w:sz w:val="24"/>
          <w:szCs w:val="24"/>
          <w:lang w:val="es-UY" w:eastAsia="es-ES"/>
        </w:rPr>
        <w:t>T</w:t>
      </w:r>
      <w:r w:rsidR="00C52FAA" w:rsidRPr="00C52FAA">
        <w:rPr>
          <w:rFonts w:ascii="Arial" w:hAnsi="Arial" w:cs="Arial"/>
          <w:sz w:val="24"/>
          <w:szCs w:val="24"/>
          <w:lang w:val="es-UY"/>
        </w:rPr>
        <w:t>rabajo forzoso y la trata de Personas con fines de explotación laboral</w:t>
      </w:r>
      <w:r w:rsidRPr="00C52FAA">
        <w:rPr>
          <w:rFonts w:ascii="Arial" w:hAnsi="Arial" w:cs="Arial"/>
          <w:sz w:val="24"/>
          <w:szCs w:val="24"/>
          <w:lang w:val="es-UY" w:eastAsia="es-ES"/>
        </w:rPr>
        <w:t xml:space="preserve">” con anterioridad de la próxima reunión, que se realizará bajo la próxima Presidencia </w:t>
      </w:r>
      <w:r w:rsidRPr="00C52FAA">
        <w:rPr>
          <w:rFonts w:ascii="Arial" w:hAnsi="Arial" w:cs="Arial"/>
          <w:i/>
          <w:iCs/>
          <w:sz w:val="24"/>
          <w:szCs w:val="24"/>
          <w:lang w:val="es-UY" w:eastAsia="es-ES"/>
        </w:rPr>
        <w:t>Pro Tempore</w:t>
      </w:r>
      <w:r w:rsidRPr="00C52FA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4E5639A9" w14:textId="77777777" w:rsidR="007F2157" w:rsidRPr="00C52FAA" w:rsidRDefault="007F2157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1EE434A7" w14:textId="1ED0FB9E" w:rsidR="00FC3A03" w:rsidRPr="00655BBA" w:rsidRDefault="00390B01" w:rsidP="00655BBA">
      <w:pPr>
        <w:pStyle w:val="Textoindependiente"/>
        <w:rPr>
          <w:szCs w:val="24"/>
        </w:rPr>
      </w:pPr>
      <w:r w:rsidRPr="00C52FAA">
        <w:rPr>
          <w:szCs w:val="24"/>
          <w:lang w:val="es-UY"/>
        </w:rPr>
        <w:t>Por otra parte, el SGT Nº 10 recibió de la Comisión de Equipo Técnico el Formulario Perfil Técnico del Proyecto</w:t>
      </w:r>
      <w:r w:rsidR="003A2A8F" w:rsidRPr="00C52FAA">
        <w:rPr>
          <w:szCs w:val="24"/>
        </w:rPr>
        <w:t xml:space="preserve"> “</w:t>
      </w:r>
      <w:r w:rsidR="003A2A8F" w:rsidRPr="00C52FAA">
        <w:rPr>
          <w:szCs w:val="24"/>
          <w:lang w:val="es-UY"/>
        </w:rPr>
        <w:t>Campaña de Prevención del trabajo forzoso y la trata de Personas con fines de explotación laboral” y</w:t>
      </w:r>
      <w:r w:rsidR="00FC3A03" w:rsidRPr="00C52FAA">
        <w:rPr>
          <w:szCs w:val="24"/>
          <w:lang w:val="es-UY"/>
        </w:rPr>
        <w:t xml:space="preserve"> lo remite al </w:t>
      </w:r>
      <w:r w:rsidRPr="00C52FAA">
        <w:rPr>
          <w:szCs w:val="24"/>
          <w:lang w:val="es-UY"/>
        </w:rPr>
        <w:t>Grupo de Cooperación Internacional (GCI)</w:t>
      </w:r>
      <w:r w:rsidR="00655BBA" w:rsidRPr="00C52FAA">
        <w:rPr>
          <w:szCs w:val="24"/>
          <w:lang w:val="es-UY"/>
        </w:rPr>
        <w:t xml:space="preserve"> por intermedio del GMC</w:t>
      </w:r>
      <w:r w:rsidR="00FC3A03" w:rsidRPr="00C52FAA">
        <w:rPr>
          <w:szCs w:val="24"/>
          <w:lang w:val="es-UY"/>
        </w:rPr>
        <w:t xml:space="preserve"> para su</w:t>
      </w:r>
      <w:r w:rsidR="00FC3A03" w:rsidRPr="00655BBA">
        <w:rPr>
          <w:szCs w:val="24"/>
          <w:lang w:val="es-UY"/>
        </w:rPr>
        <w:t xml:space="preserve"> análisis</w:t>
      </w:r>
      <w:r w:rsidRPr="00655BBA">
        <w:rPr>
          <w:szCs w:val="24"/>
          <w:lang w:val="es-UY"/>
        </w:rPr>
        <w:t xml:space="preserve">. </w:t>
      </w:r>
      <w:r w:rsidR="00FC3A03" w:rsidRPr="00655BBA">
        <w:rPr>
          <w:szCs w:val="24"/>
        </w:rPr>
        <w:t xml:space="preserve">El documento consta como </w:t>
      </w:r>
      <w:r w:rsidR="00FC3A03" w:rsidRPr="00655BBA">
        <w:rPr>
          <w:b/>
          <w:bCs/>
          <w:szCs w:val="24"/>
        </w:rPr>
        <w:t>Anexo X</w:t>
      </w:r>
      <w:r w:rsidR="0044787F">
        <w:rPr>
          <w:b/>
          <w:bCs/>
          <w:szCs w:val="24"/>
        </w:rPr>
        <w:t>I</w:t>
      </w:r>
      <w:r w:rsidR="00FC3A03" w:rsidRPr="00655BBA">
        <w:rPr>
          <w:b/>
          <w:bCs/>
          <w:szCs w:val="24"/>
        </w:rPr>
        <w:t>I</w:t>
      </w:r>
      <w:r w:rsidR="00FC3A03" w:rsidRPr="00655BBA">
        <w:rPr>
          <w:szCs w:val="24"/>
        </w:rPr>
        <w:t>.</w:t>
      </w:r>
    </w:p>
    <w:p w14:paraId="7F6A5BB8" w14:textId="4E9C9529" w:rsidR="00390B01" w:rsidRPr="00655BBA" w:rsidRDefault="00390B01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68133336" w14:textId="77777777" w:rsidR="00FC3A03" w:rsidRPr="00655BBA" w:rsidRDefault="00FC3A03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68F70758" w14:textId="5B5BCF18" w:rsidR="00A74B6B" w:rsidRPr="00655BBA" w:rsidRDefault="00A74B6B" w:rsidP="00655BBA">
      <w:pPr>
        <w:pStyle w:val="Lista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PLAN REGIONAL PARA LA PREVENCIÓN Y ERRADICACIÓN DEL TRABAJO INFANTIL EN EL MERCOSUR. PRESENTACIÓN Y APROBACIÓN DEL ACTA </w:t>
      </w:r>
    </w:p>
    <w:p w14:paraId="65597107" w14:textId="77777777" w:rsidR="00801F3F" w:rsidRPr="00655BBA" w:rsidRDefault="00801F3F" w:rsidP="00655B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4ADD1E6B" w14:textId="1EC14DC6" w:rsidR="00804340" w:rsidRDefault="00804340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655BBA">
        <w:rPr>
          <w:rFonts w:ascii="Arial" w:hAnsi="Arial" w:cs="Arial"/>
          <w:sz w:val="24"/>
          <w:szCs w:val="24"/>
          <w:lang w:val="es-UY" w:eastAsia="es-ES"/>
        </w:rPr>
        <w:t>El SGT N° 10 recibió el Informe de la Reunión de la Unidad Ejecutora del Plan Regional de Prevención y Erradicación del Trabajo Infantil (UEPETI), y aprobó el Acta N° 0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>/2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la reunión realizada por medio del sistema de videoconferencia, conforme se establece en la Resolución GMC N° 19/12 “Reuniones por el sistema de videoconferencia”, el día 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29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</w:t>
      </w:r>
      <w:r w:rsidR="00007E4B" w:rsidRPr="00655BB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abril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202</w:t>
      </w:r>
      <w:r w:rsidR="006E1CC7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(Anexo </w:t>
      </w:r>
      <w:r w:rsidR="00F418C9">
        <w:rPr>
          <w:rFonts w:ascii="Arial" w:hAnsi="Arial" w:cs="Arial"/>
          <w:b/>
          <w:bCs/>
          <w:sz w:val="24"/>
          <w:szCs w:val="24"/>
          <w:lang w:val="es-UY" w:eastAsia="es-ES"/>
        </w:rPr>
        <w:t>XI</w:t>
      </w:r>
      <w:r w:rsidR="0044787F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="00F418C9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)</w:t>
      </w:r>
      <w:r w:rsidRPr="00655BB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40D4B35C" w14:textId="77777777" w:rsidR="0044787F" w:rsidRDefault="0044787F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134B3546" w14:textId="77777777" w:rsidR="0044787F" w:rsidRDefault="0044787F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>En ese sentido, s</w:t>
      </w:r>
      <w:r w:rsidR="00350C01">
        <w:rPr>
          <w:rFonts w:ascii="Arial" w:hAnsi="Arial" w:cs="Arial"/>
          <w:sz w:val="24"/>
          <w:szCs w:val="24"/>
          <w:lang w:val="es-UY" w:eastAsia="es-ES"/>
        </w:rPr>
        <w:t xml:space="preserve">e adjunta los textos para las piezas comunicacionales referidas a las recomendaciones sobre trabajo infantil como </w:t>
      </w:r>
      <w:r w:rsidR="00350C01" w:rsidRPr="00350C01">
        <w:rPr>
          <w:rFonts w:ascii="Arial" w:hAnsi="Arial" w:cs="Arial"/>
          <w:b/>
          <w:sz w:val="24"/>
          <w:szCs w:val="24"/>
          <w:lang w:val="es-UY" w:eastAsia="es-ES"/>
        </w:rPr>
        <w:t>Anexo</w:t>
      </w:r>
      <w:r>
        <w:rPr>
          <w:rFonts w:ascii="Arial" w:hAnsi="Arial" w:cs="Arial"/>
          <w:b/>
          <w:sz w:val="24"/>
          <w:szCs w:val="24"/>
          <w:lang w:val="es-UY" w:eastAsia="es-ES"/>
        </w:rPr>
        <w:t xml:space="preserve"> XIV</w:t>
      </w:r>
      <w:r w:rsidRPr="0044787F">
        <w:rPr>
          <w:rFonts w:ascii="Arial" w:hAnsi="Arial" w:cs="Arial"/>
          <w:bCs/>
          <w:sz w:val="24"/>
          <w:szCs w:val="24"/>
          <w:lang w:val="es-UY" w:eastAsia="es-ES"/>
        </w:rPr>
        <w:t>.</w:t>
      </w:r>
      <w:r w:rsidR="00350C01">
        <w:rPr>
          <w:rFonts w:ascii="Arial" w:hAnsi="Arial" w:cs="Arial"/>
          <w:b/>
          <w:sz w:val="24"/>
          <w:szCs w:val="24"/>
          <w:lang w:val="es-UY" w:eastAsia="es-ES"/>
        </w:rPr>
        <w:t xml:space="preserve"> </w:t>
      </w:r>
    </w:p>
    <w:p w14:paraId="1CDDCC74" w14:textId="77777777" w:rsidR="0044787F" w:rsidRDefault="0044787F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 w:eastAsia="es-ES"/>
        </w:rPr>
      </w:pPr>
    </w:p>
    <w:p w14:paraId="4A08A1C8" w14:textId="47477EF1" w:rsidR="00350C01" w:rsidRPr="00350C01" w:rsidRDefault="0044787F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>L</w:t>
      </w:r>
      <w:r w:rsidR="00350C01" w:rsidRPr="00350C01">
        <w:rPr>
          <w:rFonts w:ascii="Arial" w:hAnsi="Arial" w:cs="Arial"/>
          <w:sz w:val="24"/>
          <w:szCs w:val="24"/>
          <w:lang w:val="es-UY" w:eastAsia="es-ES"/>
        </w:rPr>
        <w:t>a PPTA enviará una propuesta de diseño que será analizada con miras a ser aprobada en la próxima PPT.</w:t>
      </w:r>
    </w:p>
    <w:p w14:paraId="159CFF8D" w14:textId="5438BF8B" w:rsidR="002C32DD" w:rsidRDefault="002C32DD" w:rsidP="00350C01">
      <w:pPr>
        <w:pStyle w:val="Continuar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0190D5E" w14:textId="7C2288C4" w:rsidR="000272FA" w:rsidRDefault="000272FA" w:rsidP="00350C01">
      <w:pPr>
        <w:pStyle w:val="Continuar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3E5BB31" w14:textId="2F4B2789" w:rsidR="000272FA" w:rsidRDefault="000272FA" w:rsidP="00350C01">
      <w:pPr>
        <w:pStyle w:val="Continuar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1387959" w14:textId="77777777" w:rsidR="000272FA" w:rsidRPr="00350C01" w:rsidRDefault="000272FA" w:rsidP="00350C01">
      <w:pPr>
        <w:pStyle w:val="Continuar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747CCE9" w14:textId="77777777" w:rsidR="005F1297" w:rsidRPr="00655BBA" w:rsidRDefault="005F1297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7F64E41" w14:textId="39C325A2" w:rsidR="00A74B6B" w:rsidRPr="00655BBA" w:rsidRDefault="00A74B6B" w:rsidP="00655BBA">
      <w:pPr>
        <w:pStyle w:val="Lista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lastRenderedPageBreak/>
        <w:t>PLAN REGIONAL DE SALUD Y SEGURIDAD DE LOS TRABAJADORES EN EL MERCOSUR. PRESENTACIÓN Y APROBACIÓN DEL ACTA</w:t>
      </w:r>
      <w:r w:rsidR="00D01A3B"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PROPUESTA DE ARTICULACIÓN CON EL SGT Nº 6</w:t>
      </w:r>
    </w:p>
    <w:p w14:paraId="1F24EAAF" w14:textId="2F6F59F6" w:rsidR="00A74B6B" w:rsidRPr="00655BBA" w:rsidRDefault="00A74B6B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DDAF61A" w14:textId="5B584281" w:rsidR="00804340" w:rsidRDefault="00804340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655BBA">
        <w:rPr>
          <w:rFonts w:ascii="Arial" w:hAnsi="Arial" w:cs="Arial"/>
          <w:sz w:val="24"/>
          <w:szCs w:val="24"/>
          <w:lang w:val="es-UY" w:eastAsia="es-ES"/>
        </w:rPr>
        <w:t>El SGT N° 10 recibió el Informe de los resultados de la Reunión de la Comisión del Equipo Técnico de Salud y Seguridad en el Trabajo (CETSS), y aprobó el Acta N° 0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>/2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la reunión realizada por medio del sistema de videoconferencia, conforme se establece en la Resolución GMC N° 19/12 “Reuniones por el sistema de videoconferencia”, el día 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7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mayo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202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(Anexo </w:t>
      </w:r>
      <w:r w:rsidR="00E80961">
        <w:rPr>
          <w:rFonts w:ascii="Arial" w:hAnsi="Arial" w:cs="Arial"/>
          <w:b/>
          <w:bCs/>
          <w:sz w:val="24"/>
          <w:szCs w:val="24"/>
          <w:lang w:val="es-UY" w:eastAsia="es-ES"/>
        </w:rPr>
        <w:t>X</w:t>
      </w:r>
      <w:r w:rsidR="0044787F">
        <w:rPr>
          <w:rFonts w:ascii="Arial" w:hAnsi="Arial" w:cs="Arial"/>
          <w:b/>
          <w:bCs/>
          <w:sz w:val="24"/>
          <w:szCs w:val="24"/>
          <w:lang w:val="es-UY" w:eastAsia="es-ES"/>
        </w:rPr>
        <w:t>V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)</w:t>
      </w:r>
      <w:r w:rsidRPr="00655BB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6F613244" w14:textId="7ED24120" w:rsidR="00C509B5" w:rsidRDefault="00C509B5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63197484" w14:textId="67C15154" w:rsidR="00C509B5" w:rsidRDefault="004E0312" w:rsidP="00655BBA">
      <w:pPr>
        <w:pStyle w:val="Continuarlista"/>
        <w:spacing w:after="0" w:line="240" w:lineRule="auto"/>
        <w:ind w:left="0"/>
        <w:jc w:val="both"/>
        <w:rPr>
          <w:rFonts w:ascii="Arial" w:eastAsia="Times New Roman" w:hAnsi="Arial" w:cs="Times New Roman"/>
          <w:sz w:val="24"/>
          <w:szCs w:val="20"/>
          <w:lang w:val="es-AR" w:eastAsia="es-ES"/>
        </w:rPr>
      </w:pPr>
      <w:r>
        <w:rPr>
          <w:rFonts w:ascii="Arial" w:eastAsia="Times New Roman" w:hAnsi="Arial" w:cs="Times New Roman"/>
          <w:sz w:val="24"/>
          <w:szCs w:val="20"/>
          <w:lang w:val="es-UY" w:eastAsia="es-ES"/>
        </w:rPr>
        <w:t xml:space="preserve">Al respecto, agradecieron el </w:t>
      </w:r>
      <w:r w:rsidRPr="004E0312">
        <w:rPr>
          <w:rFonts w:ascii="Arial" w:eastAsia="Times New Roman" w:hAnsi="Arial" w:cs="Times New Roman"/>
          <w:sz w:val="24"/>
          <w:szCs w:val="20"/>
          <w:lang w:val="es-UY" w:eastAsia="es-ES"/>
        </w:rPr>
        <w:t>“</w:t>
      </w:r>
      <w:r w:rsidRPr="004E0312">
        <w:rPr>
          <w:rFonts w:ascii="Arial" w:eastAsia="Times New Roman" w:hAnsi="Arial" w:cs="Times New Roman"/>
          <w:sz w:val="24"/>
          <w:szCs w:val="20"/>
          <w:lang w:val="es-AR" w:eastAsia="es-ES"/>
        </w:rPr>
        <w:t>Informe bianual de los avances del Plan Regional de Salud y Seguridad de los Trabajadores en el MERCOSUR”</w:t>
      </w:r>
      <w:r>
        <w:rPr>
          <w:rFonts w:ascii="Arial" w:eastAsia="Times New Roman" w:hAnsi="Arial" w:cs="Times New Roman"/>
          <w:sz w:val="24"/>
          <w:szCs w:val="20"/>
          <w:lang w:val="es-AR" w:eastAsia="es-ES"/>
        </w:rPr>
        <w:t>. El tema fue tratado en el Punto 2 del Acta.</w:t>
      </w:r>
    </w:p>
    <w:p w14:paraId="7E59FCBF" w14:textId="562CB48E" w:rsidR="004E0312" w:rsidRDefault="004E0312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7751892C" w14:textId="05D9F5E4" w:rsidR="004E0312" w:rsidRDefault="004E0312" w:rsidP="004E031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AR" w:eastAsia="zh-CN"/>
        </w:rPr>
      </w:pPr>
      <w:r>
        <w:rPr>
          <w:rFonts w:ascii="Arial" w:eastAsia="Times New Roman" w:hAnsi="Arial" w:cs="Arial"/>
          <w:sz w:val="24"/>
          <w:szCs w:val="24"/>
          <w:lang w:val="es-UY" w:eastAsia="zh-CN"/>
        </w:rPr>
        <w:t xml:space="preserve">Por otra parte, el SGT Nº 10 aprobó la </w:t>
      </w:r>
      <w:r w:rsidRPr="004E0312">
        <w:rPr>
          <w:rFonts w:ascii="Arial" w:eastAsia="Times New Roman" w:hAnsi="Arial" w:cs="Arial"/>
          <w:bCs/>
          <w:sz w:val="24"/>
          <w:szCs w:val="24"/>
          <w:lang w:val="es-AR" w:eastAsia="zh-CN"/>
        </w:rPr>
        <w:t>participación de esta Comisión en la reunión acordada por la COPRIT el día 10 de junio para tratar la futura capacitación a inspectores.</w:t>
      </w:r>
    </w:p>
    <w:p w14:paraId="6F062D8C" w14:textId="77777777" w:rsidR="004E0312" w:rsidRDefault="004E0312" w:rsidP="004E031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AR" w:eastAsia="zh-CN"/>
        </w:rPr>
      </w:pPr>
    </w:p>
    <w:p w14:paraId="4232328F" w14:textId="4A44D163" w:rsidR="004E0312" w:rsidRPr="00EB4130" w:rsidRDefault="004E0312" w:rsidP="004E03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  <w:r>
        <w:rPr>
          <w:rFonts w:ascii="Arial" w:eastAsia="Times New Roman" w:hAnsi="Arial" w:cs="Arial"/>
          <w:sz w:val="24"/>
          <w:szCs w:val="24"/>
          <w:lang w:val="es-AR" w:eastAsia="zh-CN"/>
        </w:rPr>
        <w:t xml:space="preserve">Con relación </w:t>
      </w:r>
      <w:r w:rsidRPr="0086709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al intercambio de temas </w:t>
      </w:r>
      <w:r w:rsidR="002E3D8A" w:rsidRPr="0086709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y articulación </w:t>
      </w:r>
      <w:r w:rsidRPr="0086709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con el SGT Nº 6 </w:t>
      </w:r>
      <w:r w:rsidR="002E3D8A" w:rsidRPr="0086709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“Medio Ambiente”, </w:t>
      </w:r>
      <w:r w:rsidRPr="0086709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la PPTA comentó sobre la Nota </w:t>
      </w:r>
      <w:r w:rsidR="00867091" w:rsidRPr="0086709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(NO-2021-43062009-APN-DAI#MT), de fecha 14 de mayo de 2021 referente al Plan de Acción MERCOSUR en materia de sustancias y productos químicos peligrosos 2021-2024 </w:t>
      </w:r>
      <w:r w:rsidRPr="00867091">
        <w:rPr>
          <w:rFonts w:ascii="Arial" w:eastAsia="Times New Roman" w:hAnsi="Arial" w:cs="Arial"/>
          <w:sz w:val="24"/>
          <w:szCs w:val="24"/>
          <w:lang w:val="es-AR" w:eastAsia="zh-CN"/>
        </w:rPr>
        <w:t>y se eleva para conocimiento del GMC</w:t>
      </w:r>
      <w:r w:rsidR="0044787F" w:rsidRPr="0044787F">
        <w:rPr>
          <w:rFonts w:ascii="Arial" w:eastAsia="Times New Roman" w:hAnsi="Arial" w:cs="Arial"/>
          <w:b/>
          <w:bCs/>
          <w:sz w:val="24"/>
          <w:szCs w:val="24"/>
          <w:lang w:val="es-AR" w:eastAsia="zh-CN"/>
        </w:rPr>
        <w:t xml:space="preserve"> </w:t>
      </w:r>
      <w:r w:rsidR="0044787F" w:rsidRPr="00867091">
        <w:rPr>
          <w:rFonts w:ascii="Arial" w:eastAsia="Times New Roman" w:hAnsi="Arial" w:cs="Arial"/>
          <w:b/>
          <w:bCs/>
          <w:sz w:val="24"/>
          <w:szCs w:val="24"/>
          <w:lang w:val="es-AR" w:eastAsia="zh-CN"/>
        </w:rPr>
        <w:t>(Anexo XV</w:t>
      </w:r>
      <w:r w:rsidR="0044787F">
        <w:rPr>
          <w:rFonts w:ascii="Arial" w:eastAsia="Times New Roman" w:hAnsi="Arial" w:cs="Arial"/>
          <w:b/>
          <w:bCs/>
          <w:sz w:val="24"/>
          <w:szCs w:val="24"/>
          <w:lang w:val="es-AR" w:eastAsia="zh-CN"/>
        </w:rPr>
        <w:t>I</w:t>
      </w:r>
      <w:r w:rsidR="0044787F" w:rsidRPr="00867091">
        <w:rPr>
          <w:rFonts w:ascii="Arial" w:eastAsia="Times New Roman" w:hAnsi="Arial" w:cs="Arial"/>
          <w:b/>
          <w:bCs/>
          <w:sz w:val="24"/>
          <w:szCs w:val="24"/>
          <w:lang w:val="es-AR" w:eastAsia="zh-CN"/>
        </w:rPr>
        <w:t>)</w:t>
      </w:r>
      <w:r w:rsidR="00EB4130">
        <w:rPr>
          <w:rFonts w:ascii="Arial" w:eastAsia="Times New Roman" w:hAnsi="Arial" w:cs="Arial"/>
          <w:sz w:val="24"/>
          <w:szCs w:val="24"/>
          <w:lang w:val="es-AR" w:eastAsia="zh-CN"/>
        </w:rPr>
        <w:t>.</w:t>
      </w:r>
    </w:p>
    <w:p w14:paraId="64E653C2" w14:textId="77777777" w:rsidR="004E0312" w:rsidRDefault="004E0312" w:rsidP="004E03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</w:p>
    <w:p w14:paraId="2E6E2CEF" w14:textId="77777777" w:rsidR="00A34B93" w:rsidRPr="00655BBA" w:rsidRDefault="00A34B93" w:rsidP="00655B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664BF198" w14:textId="5CCE105E" w:rsidR="00A74B6B" w:rsidRPr="00655BBA" w:rsidRDefault="00A74B6B" w:rsidP="00655BBA">
      <w:pPr>
        <w:pStyle w:val="Lista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PLAN REGIONAL DE INSPECCIÓN LABORAL DEL MERCOSUR. PRESENTACIÓN Y APROBACIÓN DEL ACTA</w:t>
      </w:r>
    </w:p>
    <w:p w14:paraId="039AD199" w14:textId="65677B19" w:rsidR="00804340" w:rsidRPr="00655BBA" w:rsidRDefault="00804340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DEA67D7" w14:textId="1D24C109" w:rsidR="00804340" w:rsidRPr="00655BBA" w:rsidRDefault="00804340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655BBA">
        <w:rPr>
          <w:rFonts w:ascii="Arial" w:hAnsi="Arial" w:cs="Arial"/>
          <w:sz w:val="24"/>
          <w:szCs w:val="24"/>
          <w:lang w:val="es-UY" w:eastAsia="es-ES"/>
        </w:rPr>
        <w:t>El SGT N° 10 recibió el Informe de los resultados de la Reunión de la Comisión Operativa Coordinadora del Plan Regional de Inspección del Trabajo del MERCOSUR (COPRIT) y aprobó el Acta N° 0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>/2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la reunión realizada por medio del sistema de videoconferencia, conforme se establece en la Resolución GMC N° 19/12 “Reuniones por el sistema de videoconferencia”</w:t>
      </w:r>
      <w:r w:rsidR="00E80961">
        <w:rPr>
          <w:rFonts w:ascii="Arial" w:hAnsi="Arial" w:cs="Arial"/>
          <w:sz w:val="24"/>
          <w:szCs w:val="24"/>
          <w:lang w:val="es-UY" w:eastAsia="es-ES"/>
        </w:rPr>
        <w:t>,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el día </w:t>
      </w:r>
      <w:r w:rsidR="00007E4B" w:rsidRPr="00655BBA">
        <w:rPr>
          <w:rFonts w:ascii="Arial" w:hAnsi="Arial" w:cs="Arial"/>
          <w:sz w:val="24"/>
          <w:szCs w:val="24"/>
          <w:lang w:val="es-UY" w:eastAsia="es-ES"/>
        </w:rPr>
        <w:t>6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</w:t>
      </w:r>
      <w:r w:rsidR="00007E4B" w:rsidRPr="00655BB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mayo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 de 202</w:t>
      </w:r>
      <w:r w:rsidR="002500F8" w:rsidRPr="00655BBA">
        <w:rPr>
          <w:rFonts w:ascii="Arial" w:hAnsi="Arial" w:cs="Arial"/>
          <w:sz w:val="24"/>
          <w:szCs w:val="24"/>
          <w:lang w:val="es-UY" w:eastAsia="es-ES"/>
        </w:rPr>
        <w:t>1</w:t>
      </w:r>
      <w:r w:rsidRPr="00655BBA">
        <w:rPr>
          <w:rFonts w:ascii="Arial" w:hAnsi="Arial" w:cs="Arial"/>
          <w:sz w:val="24"/>
          <w:szCs w:val="24"/>
          <w:lang w:val="es-UY" w:eastAsia="es-ES"/>
        </w:rPr>
        <w:t xml:space="preserve">. 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(Anexo </w:t>
      </w:r>
      <w:r w:rsidR="00E80961">
        <w:rPr>
          <w:rFonts w:ascii="Arial" w:hAnsi="Arial" w:cs="Arial"/>
          <w:b/>
          <w:bCs/>
          <w:sz w:val="24"/>
          <w:szCs w:val="24"/>
          <w:lang w:val="es-UY" w:eastAsia="es-ES"/>
        </w:rPr>
        <w:t>XV</w:t>
      </w:r>
      <w:r w:rsidR="00EB4130">
        <w:rPr>
          <w:rFonts w:ascii="Arial" w:hAnsi="Arial" w:cs="Arial"/>
          <w:b/>
          <w:bCs/>
          <w:sz w:val="24"/>
          <w:szCs w:val="24"/>
          <w:lang w:val="es-UY" w:eastAsia="es-ES"/>
        </w:rPr>
        <w:t>II</w:t>
      </w:r>
      <w:r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>)</w:t>
      </w:r>
      <w:r w:rsidRPr="00655BBA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14F8553F" w14:textId="27B914A4" w:rsidR="00D54267" w:rsidRDefault="00D54267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02599433" w14:textId="58BB5B56" w:rsidR="00C33A2B" w:rsidRDefault="000F7540" w:rsidP="00655BBA">
      <w:pPr>
        <w:pStyle w:val="Continuarlista"/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</w:pP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En ese sentido, el SGT Nº 10 tomó </w:t>
      </w:r>
      <w:r w:rsidR="008C6B2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>conocimiento</w:t>
      </w: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 sobre </w:t>
      </w:r>
      <w:r w:rsidR="00ED17BC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el dictamen jurídico presentado por la delegación de Argentina </w:t>
      </w:r>
      <w:r w:rsidR="00EB4130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y sobre la Nota de Uruguay </w:t>
      </w:r>
      <w:r w:rsidR="00EB4130" w:rsidRPr="00EB4130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PY"/>
        </w:rPr>
        <w:t>(Anexo XVIII)</w:t>
      </w:r>
      <w:r w:rsidR="00EB4130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 relativ</w:t>
      </w:r>
      <w:r w:rsidR="005510AD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>os</w:t>
      </w:r>
      <w:r w:rsidR="00EB4130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 al </w:t>
      </w:r>
      <w:r w:rsidRPr="000F7540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>P. Res</w:t>
      </w:r>
      <w:r w:rsidR="005510AD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>.</w:t>
      </w:r>
      <w:r w:rsidRPr="000F7540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 N° 01/17 Rev. 1 “Lineamientos para la inspección de trabajo sobre jornada laboral de choferes de autotransporte internacional en el ámbito del MERCOSUR”</w:t>
      </w:r>
      <w:r w:rsidR="00ED17BC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 e instó a la Comisión a trabajar </w:t>
      </w: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>con la mayor celeridad posible</w:t>
      </w:r>
      <w:r w:rsidR="00ED17BC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 xml:space="preserve"> para poder avanzar en el tema</w:t>
      </w: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PY"/>
        </w:rPr>
        <w:t>.</w:t>
      </w:r>
    </w:p>
    <w:p w14:paraId="2A65C462" w14:textId="77777777" w:rsidR="000F7540" w:rsidRDefault="000F7540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267FB1D0" w14:textId="66A9FA19" w:rsidR="004868E3" w:rsidRDefault="004868E3" w:rsidP="00D507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>Con relación al Plan d</w:t>
      </w:r>
      <w:r w:rsidR="00ED17BC">
        <w:rPr>
          <w:rFonts w:ascii="Arial" w:eastAsia="Times New Roman" w:hAnsi="Arial" w:cs="Times New Roman"/>
          <w:color w:val="000000"/>
          <w:kern w:val="2"/>
          <w:sz w:val="24"/>
          <w:szCs w:val="24"/>
          <w:lang w:val="es-ES" w:eastAsia="ar-SA"/>
        </w:rPr>
        <w:t>e</w:t>
      </w:r>
      <w:r w:rsidRPr="004868E3">
        <w:rPr>
          <w:rFonts w:ascii="Arial" w:eastAsia="Times New Roman" w:hAnsi="Arial" w:cs="Times New Roman"/>
          <w:color w:val="000000"/>
          <w:kern w:val="2"/>
          <w:sz w:val="24"/>
          <w:szCs w:val="24"/>
          <w:lang w:val="es-ES" w:eastAsia="ar-SA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4"/>
          <w:szCs w:val="24"/>
          <w:lang w:val="es-ES" w:eastAsia="ar-SA"/>
        </w:rPr>
        <w:t>F</w:t>
      </w:r>
      <w:r w:rsidRPr="004868E3">
        <w:rPr>
          <w:rFonts w:ascii="Arial" w:eastAsia="Times New Roman" w:hAnsi="Arial" w:cs="Times New Roman"/>
          <w:color w:val="000000"/>
          <w:kern w:val="2"/>
          <w:sz w:val="24"/>
          <w:szCs w:val="24"/>
          <w:lang w:val="es-ES" w:eastAsia="ar-SA"/>
        </w:rPr>
        <w:t xml:space="preserve">ormación de </w:t>
      </w:r>
      <w:r>
        <w:rPr>
          <w:rFonts w:ascii="Arial" w:eastAsia="Times New Roman" w:hAnsi="Arial" w:cs="Times New Roman"/>
          <w:color w:val="000000"/>
          <w:kern w:val="2"/>
          <w:sz w:val="24"/>
          <w:szCs w:val="24"/>
          <w:lang w:val="es-ES" w:eastAsia="ar-SA"/>
        </w:rPr>
        <w:t xml:space="preserve">Inspectores, el SGT Nº 10, tomó nota de la </w:t>
      </w:r>
      <w:r w:rsidRPr="004868E3">
        <w:rPr>
          <w:rFonts w:ascii="Arial" w:eastAsia="Times New Roman" w:hAnsi="Arial" w:cs="Times New Roman"/>
          <w:color w:val="000000"/>
          <w:kern w:val="2"/>
          <w:sz w:val="24"/>
          <w:szCs w:val="24"/>
          <w:lang w:val="es-UY" w:eastAsia="ar-SA"/>
        </w:rPr>
        <w:t xml:space="preserve">propuesta </w:t>
      </w:r>
      <w:r>
        <w:rPr>
          <w:rFonts w:ascii="Arial" w:eastAsia="Times New Roman" w:hAnsi="Arial" w:cs="Times New Roman"/>
          <w:color w:val="000000"/>
          <w:kern w:val="2"/>
          <w:sz w:val="24"/>
          <w:szCs w:val="24"/>
          <w:lang w:val="es-UY" w:eastAsia="ar-SA"/>
        </w:rPr>
        <w:t>de</w:t>
      </w:r>
      <w:r w:rsidRPr="004868E3"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 xml:space="preserve"> </w:t>
      </w:r>
      <w:r w:rsidR="00ED17BC"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 xml:space="preserve">capacitación </w:t>
      </w:r>
      <w:r w:rsidR="00D5076C"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 xml:space="preserve">y la reunión técnica que se realizará el día 10 de junio de 2021 </w:t>
      </w:r>
      <w:r w:rsidR="008209E1"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 xml:space="preserve">con la participación de los actores sociales, </w:t>
      </w:r>
      <w:r w:rsidR="009F1A30"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>con vistas a</w:t>
      </w:r>
      <w:r w:rsidR="00D5076C">
        <w:rPr>
          <w:rFonts w:ascii="Arial" w:eastAsia="Arial" w:hAnsi="Arial" w:cs="Arial"/>
          <w:sz w:val="24"/>
          <w:szCs w:val="24"/>
          <w:u w:color="000000"/>
          <w:bdr w:val="nil"/>
          <w:lang w:val="es-ES_tradnl" w:eastAsia="es-PY"/>
        </w:rPr>
        <w:t xml:space="preserve"> definir su temario y fecha de realización del referido evento.</w:t>
      </w:r>
    </w:p>
    <w:p w14:paraId="0D54BE4E" w14:textId="77777777" w:rsidR="004868E3" w:rsidRPr="00655BBA" w:rsidRDefault="004868E3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745C10E7" w14:textId="77777777" w:rsidR="00D54267" w:rsidRPr="00655BBA" w:rsidRDefault="00D54267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0767C33F" w14:textId="64C7B741" w:rsidR="00C438FF" w:rsidRPr="00655BBA" w:rsidRDefault="00C438FF" w:rsidP="00E80961">
      <w:pPr>
        <w:pStyle w:val="Normal2"/>
        <w:numPr>
          <w:ilvl w:val="0"/>
          <w:numId w:val="43"/>
        </w:num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55BBA">
        <w:rPr>
          <w:rFonts w:ascii="Arial" w:eastAsia="Arial" w:hAnsi="Arial" w:cs="Arial"/>
          <w:b/>
          <w:bCs/>
          <w:sz w:val="24"/>
          <w:szCs w:val="24"/>
        </w:rPr>
        <w:t>PROPUESTA PARA INCLUIR LA PERSPECTIVA DE GÉNERO EN LOS PLANES REGIONALES</w:t>
      </w:r>
    </w:p>
    <w:p w14:paraId="71E93C78" w14:textId="32BA03C1" w:rsidR="003668D9" w:rsidRPr="00655BBA" w:rsidRDefault="003668D9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4C034DD" w14:textId="4BC4A91D" w:rsidR="002A3E6F" w:rsidRDefault="002A3E6F" w:rsidP="00655BBA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Teniendo en cuenta la Decisión CMC N° 13/14 “Directrices de la Política de Igualdad de Género del MERCOSUR” y la Resolución GMC N° 84/00 “Incorporación de la Perspectiva de Género en el ámbito del MERCOSUR”, el SGT N° 10 decidió crear la Comisión de Género </w:t>
      </w:r>
      <w:r w:rsidR="005510AD">
        <w:rPr>
          <w:bCs/>
          <w:szCs w:val="24"/>
        </w:rPr>
        <w:t xml:space="preserve">(CG) </w:t>
      </w:r>
      <w:r w:rsidR="00534A74">
        <w:rPr>
          <w:bCs/>
          <w:szCs w:val="24"/>
        </w:rPr>
        <w:t xml:space="preserve">en el ámbito del SGT </w:t>
      </w:r>
      <w:proofErr w:type="spellStart"/>
      <w:r w:rsidR="002D72D4">
        <w:rPr>
          <w:bCs/>
          <w:szCs w:val="24"/>
        </w:rPr>
        <w:t>N°</w:t>
      </w:r>
      <w:proofErr w:type="spellEnd"/>
      <w:r w:rsidR="002D72D4">
        <w:rPr>
          <w:bCs/>
          <w:szCs w:val="24"/>
        </w:rPr>
        <w:t xml:space="preserve"> </w:t>
      </w:r>
      <w:r w:rsidR="00534A74">
        <w:rPr>
          <w:bCs/>
          <w:szCs w:val="24"/>
        </w:rPr>
        <w:t xml:space="preserve">10 </w:t>
      </w:r>
      <w:r w:rsidR="00ED17BC">
        <w:rPr>
          <w:bCs/>
          <w:szCs w:val="24"/>
        </w:rPr>
        <w:t>para</w:t>
      </w:r>
      <w:r w:rsidR="00534A74">
        <w:rPr>
          <w:bCs/>
          <w:szCs w:val="24"/>
        </w:rPr>
        <w:t xml:space="preserve"> el asesoramiento técnico para la i</w:t>
      </w:r>
      <w:r w:rsidR="00ED17BC">
        <w:rPr>
          <w:bCs/>
          <w:szCs w:val="24"/>
        </w:rPr>
        <w:t>nclusi</w:t>
      </w:r>
      <w:r w:rsidR="00534A74">
        <w:rPr>
          <w:bCs/>
          <w:szCs w:val="24"/>
        </w:rPr>
        <w:t>ón de la perspectiva de género en las acciones que se vienen desarrollando en los</w:t>
      </w:r>
      <w:r w:rsidR="00ED17BC">
        <w:rPr>
          <w:bCs/>
          <w:szCs w:val="24"/>
        </w:rPr>
        <w:t xml:space="preserve"> planes regionales</w:t>
      </w:r>
      <w:r w:rsidR="00534A74">
        <w:rPr>
          <w:bCs/>
          <w:szCs w:val="24"/>
        </w:rPr>
        <w:t xml:space="preserve"> vigentes.</w:t>
      </w:r>
      <w:r w:rsidR="00ED17BC">
        <w:rPr>
          <w:bCs/>
          <w:szCs w:val="24"/>
        </w:rPr>
        <w:t xml:space="preserve"> </w:t>
      </w:r>
    </w:p>
    <w:p w14:paraId="66D76373" w14:textId="700F1501" w:rsidR="00E80961" w:rsidRPr="002A3E6F" w:rsidRDefault="00E80961" w:rsidP="00655BBA">
      <w:pPr>
        <w:pStyle w:val="Textoindependiente"/>
        <w:rPr>
          <w:bCs/>
          <w:szCs w:val="24"/>
          <w:lang w:val="es-ES"/>
        </w:rPr>
      </w:pPr>
    </w:p>
    <w:p w14:paraId="626D24D7" w14:textId="77777777" w:rsidR="00C26279" w:rsidRPr="00655BBA" w:rsidRDefault="00C26279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6D457A65" w14:textId="57FE2558" w:rsidR="00A74B6B" w:rsidRPr="00655BBA" w:rsidRDefault="00E80961" w:rsidP="00655BBA">
      <w:pPr>
        <w:pStyle w:val="Lista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</w:t>
      </w:r>
      <w:r w:rsidR="00C438FF"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AVANCE PARA LA EVALUACIÓN DEL </w:t>
      </w:r>
      <w:r w:rsidR="00A74B6B"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PROGRAMA DE TRABAJO 2021-2022 </w:t>
      </w:r>
    </w:p>
    <w:p w14:paraId="1D755474" w14:textId="77777777" w:rsidR="00A74B6B" w:rsidRPr="00655BBA" w:rsidRDefault="00A74B6B" w:rsidP="00655B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CE99B87" w14:textId="44165470" w:rsidR="00CE7817" w:rsidRPr="00655BBA" w:rsidRDefault="00007E4B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BA5E4D">
        <w:rPr>
          <w:rFonts w:ascii="Arial" w:hAnsi="Arial" w:cs="Arial"/>
          <w:sz w:val="24"/>
          <w:szCs w:val="24"/>
          <w:lang w:val="es-UY" w:eastAsia="es-ES"/>
        </w:rPr>
        <w:t xml:space="preserve">El SGT N° 10 elaboró </w:t>
      </w:r>
      <w:r w:rsidR="002500F8" w:rsidRPr="00BA5E4D">
        <w:rPr>
          <w:rFonts w:ascii="Arial" w:hAnsi="Arial" w:cs="Arial"/>
          <w:sz w:val="24"/>
          <w:szCs w:val="24"/>
          <w:lang w:val="es-UY" w:eastAsia="es-ES"/>
        </w:rPr>
        <w:t xml:space="preserve">un informe </w:t>
      </w:r>
      <w:r w:rsidR="0014571D">
        <w:rPr>
          <w:rFonts w:ascii="Arial" w:hAnsi="Arial" w:cs="Arial"/>
          <w:sz w:val="24"/>
          <w:szCs w:val="24"/>
          <w:lang w:val="es-UY" w:eastAsia="es-ES"/>
        </w:rPr>
        <w:t xml:space="preserve">consolidado </w:t>
      </w:r>
      <w:r w:rsidR="002500F8" w:rsidRPr="00BA5E4D">
        <w:rPr>
          <w:rFonts w:ascii="Arial" w:hAnsi="Arial" w:cs="Arial"/>
          <w:sz w:val="24"/>
          <w:szCs w:val="24"/>
          <w:lang w:val="es-UY" w:eastAsia="es-ES"/>
        </w:rPr>
        <w:t xml:space="preserve">de </w:t>
      </w:r>
      <w:r w:rsidR="005510AD">
        <w:rPr>
          <w:rFonts w:ascii="Arial" w:hAnsi="Arial" w:cs="Arial"/>
          <w:sz w:val="24"/>
          <w:szCs w:val="24"/>
          <w:lang w:val="es-UY" w:eastAsia="es-ES"/>
        </w:rPr>
        <w:t xml:space="preserve">Informe de Avance Semestral </w:t>
      </w:r>
      <w:r w:rsidR="002500F8" w:rsidRPr="00BA5E4D">
        <w:rPr>
          <w:rFonts w:ascii="Arial" w:hAnsi="Arial" w:cs="Arial"/>
          <w:sz w:val="24"/>
          <w:szCs w:val="24"/>
          <w:lang w:val="es-UY" w:eastAsia="es-ES"/>
        </w:rPr>
        <w:t>del</w:t>
      </w:r>
      <w:r w:rsidRPr="00BA5E4D">
        <w:rPr>
          <w:rFonts w:ascii="Arial" w:hAnsi="Arial" w:cs="Arial"/>
          <w:sz w:val="24"/>
          <w:szCs w:val="24"/>
          <w:lang w:val="es-UY" w:eastAsia="es-ES"/>
        </w:rPr>
        <w:t xml:space="preserve"> Programa de Trabajo 2021-2022 </w:t>
      </w:r>
      <w:r w:rsidR="00E80961" w:rsidRPr="00BA5E4D">
        <w:rPr>
          <w:rFonts w:ascii="Arial" w:hAnsi="Arial" w:cs="Arial"/>
          <w:sz w:val="24"/>
          <w:szCs w:val="24"/>
          <w:lang w:val="es-UY" w:eastAsia="es-ES"/>
        </w:rPr>
        <w:t xml:space="preserve">que </w:t>
      </w:r>
      <w:r w:rsidRPr="00BA5E4D">
        <w:rPr>
          <w:rFonts w:ascii="Arial" w:hAnsi="Arial" w:cs="Arial"/>
          <w:sz w:val="24"/>
          <w:szCs w:val="24"/>
          <w:lang w:val="es-UY" w:eastAsia="es-ES"/>
        </w:rPr>
        <w:t xml:space="preserve">constan como </w:t>
      </w:r>
      <w:r w:rsidRPr="00BA5E4D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Anexo </w:t>
      </w:r>
      <w:r w:rsidR="00BA5E4D">
        <w:rPr>
          <w:rFonts w:ascii="Arial" w:hAnsi="Arial" w:cs="Arial"/>
          <w:b/>
          <w:bCs/>
          <w:sz w:val="24"/>
          <w:szCs w:val="24"/>
          <w:lang w:val="es-UY" w:eastAsia="es-ES"/>
        </w:rPr>
        <w:t>XI</w:t>
      </w:r>
      <w:r w:rsidR="005510AD">
        <w:rPr>
          <w:rFonts w:ascii="Arial" w:hAnsi="Arial" w:cs="Arial"/>
          <w:b/>
          <w:bCs/>
          <w:sz w:val="24"/>
          <w:szCs w:val="24"/>
          <w:lang w:val="es-UY" w:eastAsia="es-ES"/>
        </w:rPr>
        <w:t>X</w:t>
      </w:r>
      <w:r w:rsidR="00E80961" w:rsidRPr="00BA5E4D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</w:t>
      </w:r>
      <w:r w:rsidR="00E80961" w:rsidRPr="00BA5E4D">
        <w:rPr>
          <w:rFonts w:ascii="Arial" w:hAnsi="Arial" w:cs="Arial"/>
          <w:sz w:val="24"/>
          <w:szCs w:val="24"/>
          <w:lang w:val="es-UY" w:eastAsia="es-ES"/>
        </w:rPr>
        <w:t>y lo eleva para conocimiento del GMC</w:t>
      </w:r>
      <w:r w:rsidRPr="00BA5E4D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3DDA3700" w14:textId="77777777" w:rsidR="00FC2EED" w:rsidRPr="00655BBA" w:rsidRDefault="00FC2EED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7E7AF32C" w14:textId="77777777" w:rsidR="00447E53" w:rsidRPr="00655BBA" w:rsidRDefault="00447E53" w:rsidP="00655BBA">
      <w:pPr>
        <w:pStyle w:val="Continuar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3D209DE0" w14:textId="5134844B" w:rsidR="0093149E" w:rsidRPr="00655BBA" w:rsidRDefault="0014571D" w:rsidP="00655BBA">
      <w:pPr>
        <w:pStyle w:val="Continuarlista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</w:t>
      </w:r>
      <w:r w:rsidR="00C438FF" w:rsidRPr="00655BBA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OTROS </w:t>
      </w:r>
    </w:p>
    <w:p w14:paraId="5EDDFFFA" w14:textId="5156FA22" w:rsidR="00C438FF" w:rsidRDefault="00C438FF" w:rsidP="003A2942">
      <w:pPr>
        <w:pStyle w:val="Continuarlista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10C6C073" w14:textId="1076EE81" w:rsidR="00E059AE" w:rsidRDefault="00E059AE" w:rsidP="003A2942">
      <w:pPr>
        <w:pStyle w:val="Continuarlista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hAnsi="Arial" w:cs="Arial"/>
          <w:b/>
          <w:bCs/>
          <w:sz w:val="24"/>
          <w:szCs w:val="24"/>
          <w:lang w:val="es-UY" w:eastAsia="es-ES"/>
        </w:rPr>
        <w:t>11.1</w:t>
      </w:r>
      <w:r w:rsidR="00EC0A7C">
        <w:rPr>
          <w:rFonts w:ascii="Arial" w:hAnsi="Arial" w:cs="Arial"/>
          <w:b/>
          <w:bCs/>
          <w:sz w:val="24"/>
          <w:szCs w:val="24"/>
          <w:lang w:val="es-UY" w:eastAsia="es-ES"/>
        </w:rPr>
        <w:t>.</w:t>
      </w:r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Comentarios sobre la Resoluciones GMC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UY" w:eastAsia="es-ES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53/19 y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UY" w:eastAsia="es-ES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03/20</w:t>
      </w:r>
    </w:p>
    <w:p w14:paraId="0C8B15D1" w14:textId="77777777" w:rsidR="00E059AE" w:rsidRPr="00655BBA" w:rsidRDefault="00E059AE" w:rsidP="003A2942">
      <w:pPr>
        <w:pStyle w:val="Continuarlista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578DB2A4" w14:textId="22551C04" w:rsidR="00836E4A" w:rsidRDefault="00836E4A" w:rsidP="00836E4A">
      <w:pPr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EC0A7C">
        <w:rPr>
          <w:rFonts w:ascii="Arial" w:hAnsi="Arial" w:cs="Arial"/>
          <w:sz w:val="24"/>
          <w:szCs w:val="24"/>
          <w:lang w:val="es-ES_tradnl" w:eastAsia="es-ES"/>
        </w:rPr>
        <w:t xml:space="preserve">En cuanto a la participación de los </w:t>
      </w:r>
      <w:r>
        <w:rPr>
          <w:rFonts w:ascii="Arial" w:hAnsi="Arial" w:cs="Arial"/>
          <w:sz w:val="24"/>
          <w:szCs w:val="24"/>
          <w:lang w:val="es-ES_tradnl" w:eastAsia="es-ES"/>
        </w:rPr>
        <w:t>actores</w:t>
      </w:r>
      <w:r w:rsidRPr="00EC0A7C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EC0A7C">
        <w:rPr>
          <w:rFonts w:ascii="Arial" w:hAnsi="Arial" w:cs="Arial"/>
          <w:sz w:val="24"/>
          <w:szCs w:val="24"/>
          <w:lang w:val="es-ES_tradnl" w:eastAsia="es-ES"/>
        </w:rPr>
        <w:t xml:space="preserve">ociales, </w:t>
      </w:r>
      <w:r w:rsidR="00976ADC">
        <w:rPr>
          <w:rFonts w:ascii="Arial" w:hAnsi="Arial" w:cs="Arial"/>
          <w:sz w:val="24"/>
          <w:szCs w:val="24"/>
          <w:lang w:val="es-ES_tradnl" w:eastAsia="es-ES"/>
        </w:rPr>
        <w:t xml:space="preserve">la PPTA presentó un informe que se adjunta como </w:t>
      </w:r>
      <w:r w:rsidR="00976ADC" w:rsidRPr="00976ADC">
        <w:rPr>
          <w:rFonts w:ascii="Arial" w:hAnsi="Arial" w:cs="Arial"/>
          <w:b/>
          <w:bCs/>
          <w:sz w:val="24"/>
          <w:szCs w:val="24"/>
          <w:lang w:val="es-ES_tradnl" w:eastAsia="es-ES"/>
        </w:rPr>
        <w:t>Anexo XX</w:t>
      </w:r>
      <w:r w:rsidR="00976ADC">
        <w:rPr>
          <w:rFonts w:ascii="Arial" w:hAnsi="Arial" w:cs="Arial"/>
          <w:sz w:val="24"/>
          <w:szCs w:val="24"/>
          <w:lang w:val="es-ES_tradnl" w:eastAsia="es-ES"/>
        </w:rPr>
        <w:t xml:space="preserve">, </w:t>
      </w:r>
      <w:r w:rsidR="008C5460">
        <w:rPr>
          <w:rFonts w:ascii="Arial" w:hAnsi="Arial" w:cs="Arial"/>
          <w:sz w:val="24"/>
          <w:szCs w:val="24"/>
          <w:lang w:val="es-ES_tradnl" w:eastAsia="es-ES"/>
        </w:rPr>
        <w:t>al que se</w:t>
      </w:r>
      <w:r w:rsidR="00976ADC">
        <w:rPr>
          <w:rFonts w:ascii="Arial" w:hAnsi="Arial" w:cs="Arial"/>
          <w:sz w:val="24"/>
          <w:szCs w:val="24"/>
          <w:lang w:val="es-ES_tradnl" w:eastAsia="es-ES"/>
        </w:rPr>
        <w:t xml:space="preserve"> adhieren los demás </w:t>
      </w:r>
      <w:r w:rsidR="00976ADC" w:rsidRPr="00357ED9">
        <w:rPr>
          <w:rFonts w:ascii="Arial" w:hAnsi="Arial" w:cs="Arial"/>
          <w:sz w:val="24"/>
          <w:szCs w:val="24"/>
          <w:lang w:val="es-ES_tradnl" w:eastAsia="es-ES"/>
        </w:rPr>
        <w:t>Coordinadores</w:t>
      </w:r>
      <w:r w:rsidR="00976ADC">
        <w:rPr>
          <w:rFonts w:ascii="Arial" w:hAnsi="Arial" w:cs="Arial"/>
          <w:sz w:val="24"/>
          <w:szCs w:val="24"/>
          <w:lang w:val="es-ES_tradnl" w:eastAsia="es-ES"/>
        </w:rPr>
        <w:t xml:space="preserve"> del SGT </w:t>
      </w:r>
      <w:proofErr w:type="spellStart"/>
      <w:r w:rsidR="00976ADC">
        <w:rPr>
          <w:rFonts w:ascii="Arial" w:hAnsi="Arial" w:cs="Arial"/>
          <w:sz w:val="24"/>
          <w:szCs w:val="24"/>
          <w:lang w:val="es-ES_tradnl" w:eastAsia="es-ES"/>
        </w:rPr>
        <w:t>N°</w:t>
      </w:r>
      <w:proofErr w:type="spellEnd"/>
      <w:r w:rsidR="00976ADC">
        <w:rPr>
          <w:rFonts w:ascii="Arial" w:hAnsi="Arial" w:cs="Arial"/>
          <w:sz w:val="24"/>
          <w:szCs w:val="24"/>
          <w:lang w:val="es-ES_tradnl" w:eastAsia="es-ES"/>
        </w:rPr>
        <w:t xml:space="preserve"> 10</w:t>
      </w:r>
      <w:r w:rsidR="008C5460">
        <w:rPr>
          <w:rFonts w:ascii="Arial" w:hAnsi="Arial" w:cs="Arial"/>
          <w:sz w:val="24"/>
          <w:szCs w:val="24"/>
          <w:lang w:val="es-ES_tradnl" w:eastAsia="es-ES"/>
        </w:rPr>
        <w:t>, en orden a lo cual solicitan la habilitación administrativa del registro de firmas para los actores sociales de la misma forma que lo hacen los gobiernos en todo</w:t>
      </w:r>
      <w:r w:rsidR="00357ED9">
        <w:rPr>
          <w:rFonts w:ascii="Arial" w:hAnsi="Arial" w:cs="Arial"/>
          <w:sz w:val="24"/>
          <w:szCs w:val="24"/>
          <w:lang w:val="es-ES_tradnl" w:eastAsia="es-ES"/>
        </w:rPr>
        <w:t>s</w:t>
      </w:r>
      <w:r w:rsidR="008C5460">
        <w:rPr>
          <w:rFonts w:ascii="Arial" w:hAnsi="Arial" w:cs="Arial"/>
          <w:sz w:val="24"/>
          <w:szCs w:val="24"/>
          <w:lang w:val="es-ES_tradnl" w:eastAsia="es-ES"/>
        </w:rPr>
        <w:t xml:space="preserve"> los organismos Sociolaborales del MERCOSUR</w:t>
      </w:r>
      <w:r w:rsidR="00976ADC">
        <w:rPr>
          <w:rFonts w:ascii="Arial" w:hAnsi="Arial" w:cs="Arial"/>
          <w:sz w:val="24"/>
          <w:szCs w:val="24"/>
          <w:lang w:val="es-UY" w:eastAsia="es-ES"/>
        </w:rPr>
        <w:t>.</w:t>
      </w:r>
      <w:r>
        <w:rPr>
          <w:rFonts w:ascii="Arial" w:hAnsi="Arial" w:cs="Arial"/>
          <w:sz w:val="24"/>
          <w:szCs w:val="24"/>
          <w:lang w:val="es-UY" w:eastAsia="es-ES"/>
        </w:rPr>
        <w:t xml:space="preserve"> </w:t>
      </w:r>
    </w:p>
    <w:p w14:paraId="0C5DC643" w14:textId="62885FFA" w:rsidR="00976ADC" w:rsidRDefault="00976ADC" w:rsidP="003A2942">
      <w:pPr>
        <w:pStyle w:val="Ttulo3"/>
        <w:numPr>
          <w:ilvl w:val="0"/>
          <w:numId w:val="0"/>
        </w:numPr>
        <w:tabs>
          <w:tab w:val="clear" w:pos="709"/>
          <w:tab w:val="left" w:pos="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Las observaciones </w:t>
      </w:r>
      <w:r w:rsidR="00871397">
        <w:rPr>
          <w:b w:val="0"/>
          <w:bCs/>
          <w:szCs w:val="24"/>
        </w:rPr>
        <w:t>del sector sindical</w:t>
      </w:r>
      <w:r w:rsidR="008965F6">
        <w:rPr>
          <w:b w:val="0"/>
          <w:bCs/>
          <w:szCs w:val="24"/>
        </w:rPr>
        <w:t xml:space="preserve"> </w:t>
      </w:r>
      <w:r w:rsidR="0055629A">
        <w:rPr>
          <w:b w:val="0"/>
          <w:bCs/>
          <w:szCs w:val="24"/>
        </w:rPr>
        <w:t xml:space="preserve">figuran </w:t>
      </w:r>
      <w:r w:rsidR="003A2942">
        <w:rPr>
          <w:b w:val="0"/>
          <w:bCs/>
          <w:szCs w:val="24"/>
        </w:rPr>
        <w:t xml:space="preserve">como </w:t>
      </w:r>
      <w:r w:rsidR="003A2942" w:rsidRPr="003A2942">
        <w:rPr>
          <w:szCs w:val="24"/>
        </w:rPr>
        <w:t>Anexo X</w:t>
      </w:r>
      <w:r w:rsidR="005510AD">
        <w:rPr>
          <w:szCs w:val="24"/>
        </w:rPr>
        <w:t>X</w:t>
      </w:r>
      <w:r w:rsidR="00836E4A">
        <w:rPr>
          <w:szCs w:val="24"/>
        </w:rPr>
        <w:t>I</w:t>
      </w:r>
      <w:r>
        <w:rPr>
          <w:b w:val="0"/>
          <w:bCs/>
          <w:szCs w:val="24"/>
        </w:rPr>
        <w:t>.</w:t>
      </w:r>
    </w:p>
    <w:p w14:paraId="7FA40791" w14:textId="77777777" w:rsidR="00976ADC" w:rsidRDefault="00976ADC" w:rsidP="003A2942">
      <w:pPr>
        <w:pStyle w:val="Ttulo3"/>
        <w:numPr>
          <w:ilvl w:val="0"/>
          <w:numId w:val="0"/>
        </w:numPr>
        <w:tabs>
          <w:tab w:val="clear" w:pos="709"/>
          <w:tab w:val="left" w:pos="0"/>
        </w:tabs>
        <w:rPr>
          <w:b w:val="0"/>
          <w:bCs/>
          <w:szCs w:val="24"/>
        </w:rPr>
      </w:pPr>
    </w:p>
    <w:p w14:paraId="3529E470" w14:textId="259BCB18" w:rsidR="00E059AE" w:rsidRDefault="00976ADC" w:rsidP="003A2942">
      <w:pPr>
        <w:pStyle w:val="Ttulo3"/>
        <w:numPr>
          <w:ilvl w:val="0"/>
          <w:numId w:val="0"/>
        </w:numPr>
        <w:tabs>
          <w:tab w:val="clear" w:pos="709"/>
          <w:tab w:val="left" w:pos="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Ambos documentos se elevan </w:t>
      </w:r>
      <w:r w:rsidR="003A2942">
        <w:rPr>
          <w:b w:val="0"/>
          <w:bCs/>
          <w:szCs w:val="24"/>
        </w:rPr>
        <w:t>a consideración del GMC.</w:t>
      </w:r>
      <w:r w:rsidR="008965F6">
        <w:rPr>
          <w:b w:val="0"/>
          <w:bCs/>
          <w:szCs w:val="24"/>
        </w:rPr>
        <w:t xml:space="preserve"> </w:t>
      </w:r>
    </w:p>
    <w:p w14:paraId="2037A117" w14:textId="086FCD3A" w:rsidR="00E059AE" w:rsidRDefault="00E059AE" w:rsidP="003A2942">
      <w:pPr>
        <w:pStyle w:val="Ttulo3"/>
        <w:numPr>
          <w:ilvl w:val="0"/>
          <w:numId w:val="0"/>
        </w:numPr>
        <w:tabs>
          <w:tab w:val="clear" w:pos="709"/>
          <w:tab w:val="left" w:pos="0"/>
        </w:tabs>
        <w:rPr>
          <w:b w:val="0"/>
          <w:bCs/>
          <w:szCs w:val="24"/>
        </w:rPr>
      </w:pPr>
    </w:p>
    <w:p w14:paraId="4A07D5D1" w14:textId="77777777" w:rsidR="003A2942" w:rsidRPr="003A2942" w:rsidRDefault="003A2942" w:rsidP="003A2942">
      <w:pPr>
        <w:spacing w:after="0" w:line="240" w:lineRule="auto"/>
        <w:rPr>
          <w:lang w:val="es-ES_tradnl" w:eastAsia="es-ES"/>
        </w:rPr>
      </w:pPr>
    </w:p>
    <w:p w14:paraId="75E777DB" w14:textId="6E118568" w:rsidR="00EE5ED4" w:rsidRPr="00655BBA" w:rsidRDefault="00EE5ED4" w:rsidP="003A2942">
      <w:pPr>
        <w:pStyle w:val="Ttulo3"/>
        <w:numPr>
          <w:ilvl w:val="0"/>
          <w:numId w:val="0"/>
        </w:numPr>
        <w:ind w:left="720" w:hanging="720"/>
        <w:rPr>
          <w:szCs w:val="24"/>
        </w:rPr>
      </w:pPr>
      <w:r w:rsidRPr="00655BBA">
        <w:rPr>
          <w:szCs w:val="24"/>
        </w:rPr>
        <w:t xml:space="preserve">PRÓXIMA REUNIÓN </w:t>
      </w:r>
    </w:p>
    <w:p w14:paraId="5A3F8F7A" w14:textId="77777777" w:rsidR="003B48B7" w:rsidRPr="00655BBA" w:rsidRDefault="003B48B7" w:rsidP="003A2942">
      <w:pPr>
        <w:pStyle w:val="Textoindependiente"/>
        <w:rPr>
          <w:szCs w:val="24"/>
        </w:rPr>
      </w:pPr>
    </w:p>
    <w:p w14:paraId="07805A2D" w14:textId="45F4D577" w:rsidR="00EE5ED4" w:rsidRPr="00655BBA" w:rsidRDefault="00EE5ED4" w:rsidP="003A2942">
      <w:pPr>
        <w:pStyle w:val="Textoindependiente"/>
        <w:rPr>
          <w:szCs w:val="24"/>
        </w:rPr>
      </w:pPr>
      <w:r w:rsidRPr="00655BBA">
        <w:rPr>
          <w:szCs w:val="24"/>
        </w:rPr>
        <w:t xml:space="preserve">La próxima reunión del SGT </w:t>
      </w:r>
      <w:r w:rsidR="00E80961">
        <w:rPr>
          <w:szCs w:val="24"/>
        </w:rPr>
        <w:t xml:space="preserve">Nº </w:t>
      </w:r>
      <w:r w:rsidRPr="00655BBA">
        <w:rPr>
          <w:szCs w:val="24"/>
        </w:rPr>
        <w:t>10 será oportunamente convocada por la</w:t>
      </w:r>
      <w:r w:rsidR="00293987" w:rsidRPr="00655BBA">
        <w:rPr>
          <w:szCs w:val="24"/>
        </w:rPr>
        <w:t xml:space="preserve"> próxima</w:t>
      </w:r>
      <w:r w:rsidRPr="00655BBA">
        <w:rPr>
          <w:szCs w:val="24"/>
        </w:rPr>
        <w:t xml:space="preserve"> PPT </w:t>
      </w:r>
      <w:r w:rsidR="00293987" w:rsidRPr="00655BBA">
        <w:rPr>
          <w:szCs w:val="24"/>
        </w:rPr>
        <w:t>en ejercicio</w:t>
      </w:r>
      <w:r w:rsidR="009747EF" w:rsidRPr="00655BBA">
        <w:rPr>
          <w:szCs w:val="24"/>
        </w:rPr>
        <w:t>.</w:t>
      </w:r>
    </w:p>
    <w:p w14:paraId="11DF49EB" w14:textId="77777777" w:rsidR="003B48B7" w:rsidRPr="00655BBA" w:rsidRDefault="003B48B7" w:rsidP="003A2942">
      <w:pPr>
        <w:pStyle w:val="Caracteresenmarcados"/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14:paraId="21104059" w14:textId="77777777" w:rsidR="00E80961" w:rsidRDefault="00E80961" w:rsidP="003A2942">
      <w:pPr>
        <w:pStyle w:val="Caracteresenmarcados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1F6950C4" w14:textId="2769CDFE" w:rsidR="00EE5ED4" w:rsidRPr="00655BBA" w:rsidRDefault="00EE5ED4" w:rsidP="003A2942">
      <w:pPr>
        <w:pStyle w:val="Caracteresenmarcados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655BBA">
        <w:rPr>
          <w:rFonts w:ascii="Arial" w:hAnsi="Arial" w:cs="Arial"/>
          <w:b/>
          <w:bCs/>
          <w:sz w:val="24"/>
          <w:szCs w:val="24"/>
          <w:lang w:val="es-UY"/>
        </w:rPr>
        <w:t>ANEXOS:</w:t>
      </w:r>
    </w:p>
    <w:p w14:paraId="62E719DF" w14:textId="77777777" w:rsidR="00B46875" w:rsidRPr="00655BBA" w:rsidRDefault="00B46875" w:rsidP="003A2942">
      <w:pPr>
        <w:pStyle w:val="Encabezado"/>
        <w:ind w:hanging="142"/>
        <w:jc w:val="both"/>
        <w:rPr>
          <w:rFonts w:ascii="Arial" w:hAnsi="Arial" w:cs="Arial"/>
          <w:sz w:val="24"/>
          <w:szCs w:val="24"/>
          <w:lang w:val="es-UY"/>
        </w:rPr>
      </w:pPr>
    </w:p>
    <w:p w14:paraId="56A0E7EB" w14:textId="56D86C48" w:rsidR="00EE5ED4" w:rsidRPr="00655BBA" w:rsidRDefault="00EE5ED4" w:rsidP="00E80961">
      <w:pPr>
        <w:pStyle w:val="Encabezado"/>
        <w:jc w:val="both"/>
        <w:rPr>
          <w:rFonts w:ascii="Arial" w:hAnsi="Arial" w:cs="Arial"/>
          <w:sz w:val="24"/>
          <w:szCs w:val="24"/>
          <w:lang w:val="es-UY"/>
        </w:rPr>
      </w:pPr>
      <w:r w:rsidRPr="00655BBA">
        <w:rPr>
          <w:rFonts w:ascii="Arial" w:hAnsi="Arial" w:cs="Arial"/>
          <w:sz w:val="24"/>
          <w:szCs w:val="24"/>
          <w:lang w:val="es-UY"/>
        </w:rPr>
        <w:t xml:space="preserve">Los Anexos que forman parte de la presente Acta son los siguientes: </w:t>
      </w:r>
    </w:p>
    <w:p w14:paraId="47BEF20E" w14:textId="77777777" w:rsidR="00B46875" w:rsidRPr="00655BBA" w:rsidRDefault="00B46875" w:rsidP="00655BBA">
      <w:pPr>
        <w:pStyle w:val="Encabezado"/>
        <w:ind w:hanging="142"/>
        <w:jc w:val="both"/>
        <w:rPr>
          <w:rFonts w:ascii="Arial" w:hAnsi="Arial" w:cs="Arial"/>
          <w:sz w:val="24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7177"/>
      </w:tblGrid>
      <w:tr w:rsidR="00B30B06" w:rsidRPr="00655BBA" w14:paraId="12A1D9CF" w14:textId="77777777" w:rsidTr="004E0312">
        <w:tc>
          <w:tcPr>
            <w:tcW w:w="1651" w:type="dxa"/>
          </w:tcPr>
          <w:p w14:paraId="46598082" w14:textId="75388052" w:rsidR="00B30B06" w:rsidRPr="00655BBA" w:rsidRDefault="00B30B06" w:rsidP="00655BBA">
            <w:pPr>
              <w:tabs>
                <w:tab w:val="left" w:pos="425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7177" w:type="dxa"/>
          </w:tcPr>
          <w:p w14:paraId="72A3D7FC" w14:textId="05B1F8D5" w:rsidR="00262BCB" w:rsidRPr="00655BBA" w:rsidRDefault="00B30B06" w:rsidP="00655BBA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sz w:val="24"/>
                <w:szCs w:val="24"/>
                <w:lang w:val="es-UY"/>
              </w:rPr>
              <w:t>Lista de Participantes</w:t>
            </w:r>
          </w:p>
        </w:tc>
      </w:tr>
      <w:tr w:rsidR="00B30B06" w:rsidRPr="00655BBA" w14:paraId="0783428F" w14:textId="77777777" w:rsidTr="004E0312">
        <w:tc>
          <w:tcPr>
            <w:tcW w:w="1651" w:type="dxa"/>
          </w:tcPr>
          <w:p w14:paraId="7A3C8A5B" w14:textId="5C0733BD" w:rsidR="00B30B06" w:rsidRPr="00655BBA" w:rsidRDefault="00B30B06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7177" w:type="dxa"/>
          </w:tcPr>
          <w:p w14:paraId="7F94B8D2" w14:textId="024C4107" w:rsidR="00262BCB" w:rsidRPr="00655BBA" w:rsidRDefault="00B30B06" w:rsidP="00F418C9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sz w:val="24"/>
                <w:szCs w:val="24"/>
                <w:lang w:val="es-UY"/>
              </w:rPr>
              <w:t>Agenda</w:t>
            </w:r>
          </w:p>
        </w:tc>
      </w:tr>
      <w:tr w:rsidR="00B30B06" w:rsidRPr="00655BBA" w14:paraId="1A55529D" w14:textId="77777777" w:rsidTr="004E0312">
        <w:tc>
          <w:tcPr>
            <w:tcW w:w="1651" w:type="dxa"/>
          </w:tcPr>
          <w:p w14:paraId="2F92A518" w14:textId="07F7FDF2" w:rsidR="00B30B06" w:rsidRPr="00655BBA" w:rsidRDefault="00B30B06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lastRenderedPageBreak/>
              <w:t>Anexo III</w:t>
            </w:r>
          </w:p>
        </w:tc>
        <w:tc>
          <w:tcPr>
            <w:tcW w:w="7177" w:type="dxa"/>
          </w:tcPr>
          <w:p w14:paraId="27D465E2" w14:textId="03522B1A" w:rsidR="00262BCB" w:rsidRPr="00655BBA" w:rsidRDefault="00B30B06" w:rsidP="00F418C9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sz w:val="24"/>
                <w:szCs w:val="24"/>
                <w:lang w:val="es-UY"/>
              </w:rPr>
              <w:t>Resumen del Acta</w:t>
            </w:r>
          </w:p>
        </w:tc>
      </w:tr>
      <w:tr w:rsidR="00655BBA" w:rsidRPr="00655BBA" w14:paraId="3C66E15F" w14:textId="77777777" w:rsidTr="004E0312">
        <w:tc>
          <w:tcPr>
            <w:tcW w:w="1651" w:type="dxa"/>
          </w:tcPr>
          <w:p w14:paraId="0C1F082D" w14:textId="4F1DB85E" w:rsidR="00655BBA" w:rsidRPr="00655BBA" w:rsidRDefault="00655BBA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7177" w:type="dxa"/>
          </w:tcPr>
          <w:p w14:paraId="1D896EA8" w14:textId="261A7021" w:rsidR="00655BBA" w:rsidRPr="00655BBA" w:rsidRDefault="00655BBA" w:rsidP="008870D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Documento presentado por la PPTA </w:t>
            </w:r>
            <w:r w:rsidRPr="00655BBA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“Política Sociolaboral del MERCOSUR 1991 – 2021”</w:t>
            </w:r>
          </w:p>
        </w:tc>
      </w:tr>
      <w:tr w:rsidR="00655BBA" w:rsidRPr="002D72D4" w14:paraId="5591CD2C" w14:textId="77777777" w:rsidTr="0044787F">
        <w:trPr>
          <w:trHeight w:val="349"/>
        </w:trPr>
        <w:tc>
          <w:tcPr>
            <w:tcW w:w="1651" w:type="dxa"/>
          </w:tcPr>
          <w:p w14:paraId="2E1AB19E" w14:textId="24C089C0" w:rsidR="004E0312" w:rsidRPr="002A3E6F" w:rsidRDefault="00F418C9" w:rsidP="0044787F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A3E6F">
              <w:rPr>
                <w:rFonts w:ascii="Arial" w:hAnsi="Arial" w:cs="Arial"/>
                <w:b/>
                <w:sz w:val="24"/>
                <w:szCs w:val="24"/>
                <w:lang w:val="pt-BR"/>
              </w:rPr>
              <w:t>Anexo V</w:t>
            </w:r>
          </w:p>
        </w:tc>
        <w:tc>
          <w:tcPr>
            <w:tcW w:w="7177" w:type="dxa"/>
          </w:tcPr>
          <w:p w14:paraId="511CB67D" w14:textId="5B87930D" w:rsidR="00F418C9" w:rsidRDefault="00F418C9" w:rsidP="0044787F">
            <w:pPr>
              <w:tabs>
                <w:tab w:val="left" w:pos="425"/>
              </w:tabs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655BBA">
              <w:rPr>
                <w:rFonts w:ascii="Arial" w:eastAsia="Arial" w:hAnsi="Arial" w:cs="Arial"/>
                <w:sz w:val="24"/>
                <w:szCs w:val="24"/>
                <w:lang w:val="es-ES"/>
              </w:rPr>
              <w:t>Estatuto de la Ciudadanía</w:t>
            </w:r>
          </w:p>
        </w:tc>
      </w:tr>
      <w:tr w:rsidR="00F418C9" w:rsidRPr="006B0E74" w14:paraId="566945D6" w14:textId="77777777" w:rsidTr="004E0312">
        <w:tc>
          <w:tcPr>
            <w:tcW w:w="1651" w:type="dxa"/>
          </w:tcPr>
          <w:p w14:paraId="72BC33DA" w14:textId="0BD4DF3E" w:rsidR="00F418C9" w:rsidRPr="00655BBA" w:rsidRDefault="00F418C9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7177" w:type="dxa"/>
          </w:tcPr>
          <w:p w14:paraId="391E31CD" w14:textId="31EB3D02" w:rsidR="00F418C9" w:rsidRPr="00655BBA" w:rsidRDefault="00F418C9" w:rsidP="00F418C9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418C9">
              <w:rPr>
                <w:rFonts w:ascii="Arial" w:hAnsi="Arial" w:cs="Arial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Arial" w:hAnsi="Arial" w:cs="Arial"/>
                <w:sz w:val="24"/>
                <w:szCs w:val="24"/>
                <w:lang w:val="es-UY"/>
              </w:rPr>
              <w:t xml:space="preserve">N° </w:t>
            </w:r>
            <w:r w:rsidRPr="00F418C9">
              <w:rPr>
                <w:rFonts w:ascii="Arial" w:hAnsi="Arial" w:cs="Arial"/>
                <w:sz w:val="24"/>
                <w:szCs w:val="24"/>
                <w:lang w:val="es-UY"/>
              </w:rPr>
              <w:t>01/21 de la Reunión de la Comisión Observatorio del Mercado de Trabajo del MERCOSUR (OMTM)</w:t>
            </w:r>
          </w:p>
        </w:tc>
      </w:tr>
      <w:tr w:rsidR="00B536C2" w:rsidRPr="006B0E74" w14:paraId="65B7B64D" w14:textId="77777777" w:rsidTr="004E0312">
        <w:tc>
          <w:tcPr>
            <w:tcW w:w="1651" w:type="dxa"/>
          </w:tcPr>
          <w:p w14:paraId="58921437" w14:textId="184191EB" w:rsidR="00B536C2" w:rsidRPr="00655BBA" w:rsidRDefault="00F418C9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7177" w:type="dxa"/>
          </w:tcPr>
          <w:p w14:paraId="771E6FE6" w14:textId="550BD3CA" w:rsidR="00262BCB" w:rsidRPr="00655BBA" w:rsidRDefault="00F418C9" w:rsidP="008870D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F418C9">
              <w:rPr>
                <w:rFonts w:ascii="Arial" w:hAnsi="Arial" w:cs="Arial"/>
                <w:sz w:val="24"/>
                <w:szCs w:val="24"/>
                <w:lang w:val="es-UY"/>
              </w:rPr>
              <w:t>Acta N° 01/21 de la Comisión del Equipo Técnico de Formación Profesional (CETFP)</w:t>
            </w:r>
          </w:p>
        </w:tc>
      </w:tr>
      <w:tr w:rsidR="00B30B06" w:rsidRPr="006B0E74" w14:paraId="4B0B54A0" w14:textId="77777777" w:rsidTr="004E0312">
        <w:tc>
          <w:tcPr>
            <w:tcW w:w="1651" w:type="dxa"/>
          </w:tcPr>
          <w:p w14:paraId="4F32DE30" w14:textId="1BC22D57" w:rsidR="00B30B06" w:rsidRPr="00655BBA" w:rsidRDefault="00F418C9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VIII</w:t>
            </w:r>
          </w:p>
        </w:tc>
        <w:tc>
          <w:tcPr>
            <w:tcW w:w="7177" w:type="dxa"/>
          </w:tcPr>
          <w:p w14:paraId="6D82B94B" w14:textId="675C6116" w:rsidR="00262BCB" w:rsidRPr="00655BBA" w:rsidRDefault="00F418C9" w:rsidP="00F418C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F418C9">
              <w:rPr>
                <w:rFonts w:ascii="Arial" w:hAnsi="Arial" w:cs="Arial"/>
                <w:sz w:val="24"/>
                <w:szCs w:val="24"/>
                <w:lang w:val="es-UY"/>
              </w:rPr>
              <w:t>Acta N° 01/21 de la Comisión del Equipo Técnico de Servicios Públicos de Empleo (CETSP)</w:t>
            </w:r>
          </w:p>
        </w:tc>
      </w:tr>
      <w:tr w:rsidR="0044787F" w:rsidRPr="006B0E74" w14:paraId="7385CD5E" w14:textId="77777777" w:rsidTr="004E0312">
        <w:tc>
          <w:tcPr>
            <w:tcW w:w="1651" w:type="dxa"/>
          </w:tcPr>
          <w:p w14:paraId="244D0F5B" w14:textId="307B4EB0" w:rsidR="0044787F" w:rsidRPr="00655BBA" w:rsidRDefault="0044787F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655BB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IX</w:t>
            </w:r>
          </w:p>
        </w:tc>
        <w:tc>
          <w:tcPr>
            <w:tcW w:w="7177" w:type="dxa"/>
          </w:tcPr>
          <w:p w14:paraId="3B52D36D" w14:textId="6F248801" w:rsidR="0044787F" w:rsidRPr="00F418C9" w:rsidRDefault="0044787F" w:rsidP="00F418C9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proofErr w:type="spellStart"/>
            <w:r w:rsidRPr="00655BBA">
              <w:rPr>
                <w:rFonts w:ascii="Arial" w:eastAsia="Calibri" w:hAnsi="Arial" w:cs="Arial"/>
                <w:color w:val="000000"/>
                <w:sz w:val="24"/>
                <w:szCs w:val="24"/>
                <w:lang w:val="es-PY" w:eastAsia="es-PY"/>
              </w:rPr>
              <w:t>Flyer</w:t>
            </w:r>
            <w:proofErr w:type="spellEnd"/>
            <w:r w:rsidRPr="00655BBA">
              <w:rPr>
                <w:rFonts w:ascii="Arial" w:eastAsia="Calibri" w:hAnsi="Arial" w:cs="Arial"/>
                <w:color w:val="000000"/>
                <w:sz w:val="24"/>
                <w:szCs w:val="24"/>
                <w:lang w:val="es-PY" w:eastAsia="es-PY"/>
              </w:rPr>
              <w:t xml:space="preserve"> /GIF digital comunicativo con datos generales sobre Servicios Públicos de Empleo del MERCOSUR</w:t>
            </w:r>
          </w:p>
        </w:tc>
      </w:tr>
      <w:tr w:rsidR="001F2BFE" w:rsidRPr="006B0E74" w14:paraId="5749F51A" w14:textId="77777777" w:rsidTr="004E0312">
        <w:tc>
          <w:tcPr>
            <w:tcW w:w="1651" w:type="dxa"/>
          </w:tcPr>
          <w:p w14:paraId="634C6ECA" w14:textId="12A75B28" w:rsidR="001F2BFE" w:rsidRPr="00655BBA" w:rsidRDefault="0044787F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</w:t>
            </w:r>
          </w:p>
        </w:tc>
        <w:tc>
          <w:tcPr>
            <w:tcW w:w="7177" w:type="dxa"/>
          </w:tcPr>
          <w:p w14:paraId="06431A05" w14:textId="256D7F87" w:rsidR="00262BCB" w:rsidRPr="00F418C9" w:rsidRDefault="00F418C9" w:rsidP="00F418C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F418C9">
              <w:rPr>
                <w:rFonts w:ascii="Arial" w:hAnsi="Arial" w:cs="Arial"/>
                <w:sz w:val="24"/>
                <w:szCs w:val="24"/>
                <w:lang w:val="es-UY"/>
              </w:rPr>
              <w:t>Publicación de cartilla informativa “Cómo Trabajar en Argentina”</w:t>
            </w:r>
          </w:p>
        </w:tc>
      </w:tr>
      <w:tr w:rsidR="00133BB7" w:rsidRPr="006B0E74" w14:paraId="05F672CD" w14:textId="77777777" w:rsidTr="004E0312">
        <w:tc>
          <w:tcPr>
            <w:tcW w:w="1651" w:type="dxa"/>
          </w:tcPr>
          <w:p w14:paraId="47E4FFDB" w14:textId="7BCF6CAA" w:rsidR="00133BB7" w:rsidRPr="00655BBA" w:rsidRDefault="0044787F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</w:t>
            </w:r>
          </w:p>
        </w:tc>
        <w:tc>
          <w:tcPr>
            <w:tcW w:w="7177" w:type="dxa"/>
          </w:tcPr>
          <w:p w14:paraId="37384D33" w14:textId="53F7A345" w:rsidR="00AB0D9B" w:rsidRPr="00655BBA" w:rsidRDefault="00F418C9" w:rsidP="00F418C9">
            <w:pPr>
              <w:pStyle w:val="Prrafodelista"/>
              <w:ind w:left="0"/>
              <w:rPr>
                <w:highlight w:val="yellow"/>
                <w:lang w:val="es-UY"/>
              </w:rPr>
            </w:pPr>
            <w:r w:rsidRPr="00F418C9">
              <w:rPr>
                <w:lang w:val="es-ES"/>
              </w:rPr>
              <w:t>Acta Nº 01/21 de la Reunión del Equipo Técnico del Plan Regional para la Prevención y Erradicación del Trabajo Forzoso y la Trata de Personas con Fines de Explotación Laboral</w:t>
            </w:r>
            <w:r w:rsidR="00AF40CD">
              <w:rPr>
                <w:lang w:val="es-ES"/>
              </w:rPr>
              <w:t xml:space="preserve"> (RETP)</w:t>
            </w:r>
          </w:p>
        </w:tc>
      </w:tr>
      <w:tr w:rsidR="001F2BFE" w:rsidRPr="006B0E74" w14:paraId="016B74DA" w14:textId="77777777" w:rsidTr="004E0312">
        <w:tc>
          <w:tcPr>
            <w:tcW w:w="1651" w:type="dxa"/>
          </w:tcPr>
          <w:p w14:paraId="7E7868D8" w14:textId="5D17ACD9" w:rsidR="001F2BFE" w:rsidRPr="00260FF4" w:rsidRDefault="00260FF4" w:rsidP="00655BBA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260FF4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XII</w:t>
            </w:r>
          </w:p>
        </w:tc>
        <w:tc>
          <w:tcPr>
            <w:tcW w:w="7177" w:type="dxa"/>
          </w:tcPr>
          <w:p w14:paraId="6C5B30C9" w14:textId="0CA7A6C2" w:rsidR="00A929B0" w:rsidRPr="00260FF4" w:rsidRDefault="00F418C9" w:rsidP="00F418C9">
            <w:pPr>
              <w:pStyle w:val="Prrafodelista"/>
              <w:ind w:left="0"/>
              <w:rPr>
                <w:lang w:val="es-ES"/>
              </w:rPr>
            </w:pPr>
            <w:r w:rsidRPr="00260FF4">
              <w:rPr>
                <w:lang w:val="es-UY" w:eastAsia="es-ES"/>
              </w:rPr>
              <w:t>Formulario Perfil Técnico del Proyecto al GCI</w:t>
            </w:r>
          </w:p>
        </w:tc>
      </w:tr>
      <w:tr w:rsidR="00F418C9" w:rsidRPr="006B0E74" w14:paraId="565CED07" w14:textId="77777777" w:rsidTr="004E0312">
        <w:tc>
          <w:tcPr>
            <w:tcW w:w="1651" w:type="dxa"/>
          </w:tcPr>
          <w:p w14:paraId="4B72CAD6" w14:textId="440F6595" w:rsidR="00F418C9" w:rsidRPr="00260FF4" w:rsidRDefault="00260FF4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260FF4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XIII</w:t>
            </w:r>
          </w:p>
        </w:tc>
        <w:tc>
          <w:tcPr>
            <w:tcW w:w="7177" w:type="dxa"/>
          </w:tcPr>
          <w:p w14:paraId="0DDC4558" w14:textId="555D9516" w:rsidR="00F418C9" w:rsidRPr="00260FF4" w:rsidRDefault="00E80961" w:rsidP="00E80961">
            <w:pPr>
              <w:pStyle w:val="Prrafodelista"/>
              <w:ind w:left="0"/>
              <w:rPr>
                <w:lang w:val="es-UY" w:eastAsia="es-ES"/>
              </w:rPr>
            </w:pPr>
            <w:r w:rsidRPr="00260FF4">
              <w:rPr>
                <w:bCs/>
                <w:lang w:val="es-UY"/>
              </w:rPr>
              <w:t xml:space="preserve">Acta </w:t>
            </w:r>
            <w:proofErr w:type="spellStart"/>
            <w:r w:rsidR="00AF40CD">
              <w:rPr>
                <w:bCs/>
                <w:lang w:val="es-UY"/>
              </w:rPr>
              <w:t>Nº</w:t>
            </w:r>
            <w:proofErr w:type="spellEnd"/>
            <w:r w:rsidR="00AF40CD">
              <w:rPr>
                <w:bCs/>
                <w:lang w:val="es-UY"/>
              </w:rPr>
              <w:t xml:space="preserve"> 01/21 </w:t>
            </w:r>
            <w:r w:rsidRPr="00260FF4">
              <w:rPr>
                <w:bCs/>
                <w:lang w:val="es-UY"/>
              </w:rPr>
              <w:t>de la Reunión de la Unidad Ejecutora del Plan Regional de Prevención y Erradicación del Trabajo Infantil (UEPETI)</w:t>
            </w:r>
          </w:p>
        </w:tc>
      </w:tr>
      <w:tr w:rsidR="00260FF4" w:rsidRPr="006B0E74" w14:paraId="73F90E78" w14:textId="77777777" w:rsidTr="004E0312">
        <w:tc>
          <w:tcPr>
            <w:tcW w:w="1651" w:type="dxa"/>
          </w:tcPr>
          <w:p w14:paraId="2E8BF7F3" w14:textId="62AEE07E" w:rsidR="00260FF4" w:rsidRPr="00655BBA" w:rsidRDefault="00260FF4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XIV</w:t>
            </w:r>
          </w:p>
        </w:tc>
        <w:tc>
          <w:tcPr>
            <w:tcW w:w="7177" w:type="dxa"/>
          </w:tcPr>
          <w:p w14:paraId="4AB3EF88" w14:textId="3ABDD189" w:rsidR="00260FF4" w:rsidRPr="0044787F" w:rsidRDefault="000272FA" w:rsidP="00E80961">
            <w:pPr>
              <w:pStyle w:val="Prrafodelista"/>
              <w:ind w:left="0"/>
              <w:rPr>
                <w:bCs/>
                <w:highlight w:val="yellow"/>
                <w:lang w:val="es-UY"/>
              </w:rPr>
            </w:pPr>
            <w:r>
              <w:rPr>
                <w:lang w:val="es-UY" w:eastAsia="es-ES"/>
              </w:rPr>
              <w:t>T</w:t>
            </w:r>
            <w:r w:rsidR="00260FF4">
              <w:rPr>
                <w:lang w:val="es-UY" w:eastAsia="es-ES"/>
              </w:rPr>
              <w:t>extos para las piezas comunicacionales referidas a las recomendaciones sobre trabajo infantil</w:t>
            </w:r>
          </w:p>
        </w:tc>
      </w:tr>
      <w:tr w:rsidR="001F2BFE" w:rsidRPr="006B0E74" w14:paraId="7DAC00B2" w14:textId="77777777" w:rsidTr="004E0312">
        <w:trPr>
          <w:trHeight w:val="541"/>
        </w:trPr>
        <w:tc>
          <w:tcPr>
            <w:tcW w:w="1651" w:type="dxa"/>
          </w:tcPr>
          <w:p w14:paraId="24D0F02A" w14:textId="21EE89C5" w:rsidR="001F2BFE" w:rsidRPr="00655BBA" w:rsidRDefault="00260FF4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655BB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XV</w:t>
            </w:r>
          </w:p>
        </w:tc>
        <w:tc>
          <w:tcPr>
            <w:tcW w:w="7177" w:type="dxa"/>
          </w:tcPr>
          <w:p w14:paraId="7E9A39E5" w14:textId="75A6DB93" w:rsidR="00262BCB" w:rsidRPr="00655BBA" w:rsidRDefault="00AF40CD" w:rsidP="00E8096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lang w:val="es-UY"/>
              </w:rPr>
            </w:pPr>
            <w:r w:rsidRPr="00AF40CD">
              <w:rPr>
                <w:rFonts w:ascii="Arial" w:hAnsi="Arial" w:cs="Arial"/>
                <w:sz w:val="24"/>
                <w:szCs w:val="24"/>
                <w:lang w:val="es-UY"/>
              </w:rPr>
              <w:t xml:space="preserve">Acta </w:t>
            </w:r>
            <w:proofErr w:type="spellStart"/>
            <w:r w:rsidRPr="00AF40CD">
              <w:rPr>
                <w:rFonts w:ascii="Arial" w:hAnsi="Arial" w:cs="Arial"/>
                <w:sz w:val="24"/>
                <w:szCs w:val="24"/>
                <w:lang w:val="es-UY"/>
              </w:rPr>
              <w:t>Nº</w:t>
            </w:r>
            <w:proofErr w:type="spellEnd"/>
            <w:r w:rsidRPr="00AF40CD">
              <w:rPr>
                <w:rFonts w:ascii="Arial" w:hAnsi="Arial" w:cs="Arial"/>
                <w:sz w:val="24"/>
                <w:szCs w:val="24"/>
                <w:lang w:val="es-UY"/>
              </w:rPr>
              <w:t xml:space="preserve"> 01/21 </w:t>
            </w:r>
            <w:r w:rsidR="00E80961" w:rsidRPr="00E80961">
              <w:rPr>
                <w:rFonts w:ascii="Arial" w:hAnsi="Arial" w:cs="Arial"/>
                <w:sz w:val="24"/>
                <w:szCs w:val="24"/>
                <w:lang w:val="es-UY"/>
              </w:rPr>
              <w:t>de la Reunión de la Comisión del Equipo Técnico de Salud y Seguridad en el Trabajo (CETSS)</w:t>
            </w:r>
          </w:p>
        </w:tc>
      </w:tr>
      <w:tr w:rsidR="00936B7F" w:rsidRPr="006B0E74" w14:paraId="6BAA2EF8" w14:textId="77777777" w:rsidTr="004E0312">
        <w:trPr>
          <w:trHeight w:val="657"/>
        </w:trPr>
        <w:tc>
          <w:tcPr>
            <w:tcW w:w="1651" w:type="dxa"/>
          </w:tcPr>
          <w:p w14:paraId="1E006B55" w14:textId="114EB714" w:rsidR="00936B7F" w:rsidRPr="00655BBA" w:rsidRDefault="00260FF4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655BB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XV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I</w:t>
            </w:r>
          </w:p>
        </w:tc>
        <w:tc>
          <w:tcPr>
            <w:tcW w:w="7177" w:type="dxa"/>
          </w:tcPr>
          <w:p w14:paraId="11224B29" w14:textId="2B24CD1E" w:rsidR="00936B7F" w:rsidRPr="00655BBA" w:rsidRDefault="00793A86" w:rsidP="00E8096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867091">
              <w:rPr>
                <w:rFonts w:ascii="Arial" w:eastAsia="Times New Roman" w:hAnsi="Arial" w:cs="Arial"/>
                <w:sz w:val="24"/>
                <w:szCs w:val="24"/>
                <w:lang w:val="es-AR" w:eastAsia="zh-CN"/>
              </w:rPr>
              <w:t>Nota (NO-2021-43062009-APN-DAI#MT), de fecha 14 de mayo de 2021 referente al Plan de Acción MERCOSUR en materia de sustancias y productos químicos peligrosos 2021-2024</w:t>
            </w:r>
          </w:p>
        </w:tc>
      </w:tr>
      <w:tr w:rsidR="00C80A95" w:rsidRPr="006B0E74" w14:paraId="7A0BA38A" w14:textId="77777777" w:rsidTr="004E0312">
        <w:trPr>
          <w:trHeight w:val="657"/>
        </w:trPr>
        <w:tc>
          <w:tcPr>
            <w:tcW w:w="1651" w:type="dxa"/>
          </w:tcPr>
          <w:p w14:paraId="05056BC3" w14:textId="2279F460" w:rsidR="00C80A95" w:rsidRPr="00655BBA" w:rsidRDefault="00260FF4" w:rsidP="00260FF4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XVII</w:t>
            </w:r>
          </w:p>
        </w:tc>
        <w:tc>
          <w:tcPr>
            <w:tcW w:w="7177" w:type="dxa"/>
          </w:tcPr>
          <w:p w14:paraId="3C03D4E8" w14:textId="0A6DAB2C" w:rsidR="00B46875" w:rsidRPr="00655BBA" w:rsidRDefault="00793A86" w:rsidP="00E8096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 w:rsidRPr="00E80961">
              <w:rPr>
                <w:rFonts w:ascii="Arial" w:hAnsi="Arial" w:cs="Arial"/>
                <w:sz w:val="24"/>
                <w:szCs w:val="24"/>
                <w:lang w:val="es-UY"/>
              </w:rPr>
              <w:t xml:space="preserve">Acta </w:t>
            </w:r>
            <w:r w:rsidR="00AF40CD">
              <w:rPr>
                <w:rFonts w:ascii="Arial" w:hAnsi="Arial" w:cs="Arial"/>
                <w:sz w:val="24"/>
                <w:szCs w:val="24"/>
                <w:lang w:val="es-UY"/>
              </w:rPr>
              <w:t xml:space="preserve">01/21 </w:t>
            </w:r>
            <w:r w:rsidRPr="00E80961">
              <w:rPr>
                <w:rFonts w:ascii="Arial" w:hAnsi="Arial" w:cs="Arial"/>
                <w:sz w:val="24"/>
                <w:szCs w:val="24"/>
                <w:lang w:val="es-UY"/>
              </w:rPr>
              <w:t>de la Reunión de la Comisión Operativa Coordinadora del Plan Regional de Inspección del Trabajo del MERCOSUR (COPRIT)</w:t>
            </w:r>
          </w:p>
        </w:tc>
      </w:tr>
      <w:tr w:rsidR="008870D1" w:rsidRPr="006B0E74" w14:paraId="7C1928FE" w14:textId="77777777" w:rsidTr="004E0312">
        <w:trPr>
          <w:trHeight w:val="657"/>
        </w:trPr>
        <w:tc>
          <w:tcPr>
            <w:tcW w:w="1651" w:type="dxa"/>
          </w:tcPr>
          <w:p w14:paraId="38FE10DA" w14:textId="47DB9064" w:rsidR="008870D1" w:rsidRDefault="008870D1" w:rsidP="00260FF4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EB413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>Anexo XVIII</w:t>
            </w:r>
          </w:p>
        </w:tc>
        <w:tc>
          <w:tcPr>
            <w:tcW w:w="7177" w:type="dxa"/>
          </w:tcPr>
          <w:p w14:paraId="05D94AD9" w14:textId="008AF807" w:rsidR="008870D1" w:rsidRPr="00E80961" w:rsidRDefault="008870D1" w:rsidP="00E8096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 xml:space="preserve">Dictamen jurídico presentado por la delegación de Argentina y sobre la Nota de Uruguay relativos al </w:t>
            </w:r>
            <w:r w:rsidRPr="000F7540"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>P. Res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>.</w:t>
            </w:r>
            <w:r w:rsidRPr="000F7540"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 xml:space="preserve"> </w:t>
            </w:r>
            <w:proofErr w:type="spellStart"/>
            <w:r w:rsidRPr="000F7540"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>N°</w:t>
            </w:r>
            <w:proofErr w:type="spellEnd"/>
            <w:r w:rsidRPr="000F7540"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PY"/>
              </w:rPr>
              <w:t xml:space="preserve"> 01/17 Rev. 1 “Lineamientos para la inspección de trabajo sobre jornada laboral de choferes de autotransporte internacional en el ámbito del MERCOSUR”</w:t>
            </w:r>
          </w:p>
        </w:tc>
      </w:tr>
      <w:tr w:rsidR="00AB0D9B" w:rsidRPr="006B0E74" w14:paraId="31E8F654" w14:textId="77777777" w:rsidTr="00BA5E4D">
        <w:trPr>
          <w:trHeight w:val="347"/>
        </w:trPr>
        <w:tc>
          <w:tcPr>
            <w:tcW w:w="1651" w:type="dxa"/>
          </w:tcPr>
          <w:p w14:paraId="5207F57C" w14:textId="066DD8C1" w:rsidR="00AB0D9B" w:rsidRPr="00655BBA" w:rsidRDefault="00BA5E4D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2D72D4">
              <w:rPr>
                <w:lang w:val="es-UY"/>
              </w:rPr>
              <w:br w:type="page"/>
            </w:r>
            <w:r w:rsidR="008870D1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XIX</w:t>
            </w:r>
          </w:p>
        </w:tc>
        <w:tc>
          <w:tcPr>
            <w:tcW w:w="7177" w:type="dxa"/>
          </w:tcPr>
          <w:p w14:paraId="1661683F" w14:textId="6BE77949" w:rsidR="00AB0D9B" w:rsidRPr="00655BBA" w:rsidRDefault="00BA5E4D" w:rsidP="00655BBA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  <w:r>
              <w:rPr>
                <w:rFonts w:ascii="Arial" w:hAnsi="Arial" w:cs="Arial"/>
                <w:sz w:val="24"/>
                <w:szCs w:val="24"/>
                <w:lang w:val="es-UY" w:eastAsia="es-ES"/>
              </w:rPr>
              <w:t>I</w:t>
            </w:r>
            <w:r w:rsidRPr="00BA5E4D">
              <w:rPr>
                <w:rFonts w:ascii="Arial" w:hAnsi="Arial" w:cs="Arial"/>
                <w:sz w:val="24"/>
                <w:szCs w:val="24"/>
                <w:lang w:val="es-UY" w:eastAsia="es-ES"/>
              </w:rPr>
              <w:t>nforme de avance del Programa de Trabajo 2021-2022</w:t>
            </w:r>
          </w:p>
        </w:tc>
      </w:tr>
      <w:tr w:rsidR="003A2942" w:rsidRPr="006B0E74" w14:paraId="35AF28AB" w14:textId="77777777" w:rsidTr="00BA5E4D">
        <w:trPr>
          <w:trHeight w:val="347"/>
        </w:trPr>
        <w:tc>
          <w:tcPr>
            <w:tcW w:w="1651" w:type="dxa"/>
          </w:tcPr>
          <w:p w14:paraId="1A10CDCB" w14:textId="5309655F" w:rsidR="003A2942" w:rsidRDefault="008870D1" w:rsidP="00655BBA">
            <w:pPr>
              <w:tabs>
                <w:tab w:val="left" w:pos="425"/>
              </w:tabs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XX</w:t>
            </w:r>
          </w:p>
        </w:tc>
        <w:tc>
          <w:tcPr>
            <w:tcW w:w="7177" w:type="dxa"/>
          </w:tcPr>
          <w:p w14:paraId="11B3B18D" w14:textId="72555904" w:rsidR="003A2942" w:rsidRDefault="00F35B72" w:rsidP="00655BBA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UY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Informe sobre la habilitación administrativa del registro de firmas para los actores sociales</w:t>
            </w:r>
          </w:p>
        </w:tc>
      </w:tr>
      <w:tr w:rsidR="008C5460" w:rsidRPr="008C5460" w14:paraId="27AC34E0" w14:textId="77777777" w:rsidTr="00BA5E4D">
        <w:trPr>
          <w:trHeight w:val="347"/>
        </w:trPr>
        <w:tc>
          <w:tcPr>
            <w:tcW w:w="1651" w:type="dxa"/>
          </w:tcPr>
          <w:p w14:paraId="1A954C2E" w14:textId="25257119" w:rsidR="008C5460" w:rsidRDefault="008C5460" w:rsidP="00655BBA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XXI</w:t>
            </w:r>
          </w:p>
        </w:tc>
        <w:tc>
          <w:tcPr>
            <w:tcW w:w="7177" w:type="dxa"/>
          </w:tcPr>
          <w:p w14:paraId="6C983EC0" w14:textId="5DB3A3A7" w:rsidR="008C5460" w:rsidRDefault="008C5460" w:rsidP="00655BBA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UY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UY" w:eastAsia="es-ES"/>
              </w:rPr>
              <w:t>Documento presentado por el Sector Sindical</w:t>
            </w:r>
          </w:p>
        </w:tc>
      </w:tr>
    </w:tbl>
    <w:p w14:paraId="197565BC" w14:textId="77777777" w:rsidR="00EE5ED4" w:rsidRPr="00655BBA" w:rsidRDefault="00EE5ED4" w:rsidP="00655BBA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p w14:paraId="47CC9651" w14:textId="77777777" w:rsidR="00EE5ED4" w:rsidRPr="00655BBA" w:rsidRDefault="00EE5ED4" w:rsidP="00655BBA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p w14:paraId="0EAF8409" w14:textId="77777777" w:rsidR="00EE5ED4" w:rsidRPr="00655BBA" w:rsidRDefault="00EE5ED4" w:rsidP="00655BBA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6A4A8A" w:rsidRPr="006B0E74" w14:paraId="3C0C0710" w14:textId="77777777" w:rsidTr="006A4A8A">
        <w:tc>
          <w:tcPr>
            <w:tcW w:w="4489" w:type="dxa"/>
          </w:tcPr>
          <w:p w14:paraId="7E69023E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_______________________________</w:t>
            </w:r>
          </w:p>
          <w:p w14:paraId="1D87EE79" w14:textId="77777777" w:rsidR="006A4A8A" w:rsidRPr="00655BBA" w:rsidRDefault="006A4A8A" w:rsidP="00655B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Argentina</w:t>
            </w:r>
          </w:p>
          <w:p w14:paraId="02D46BCE" w14:textId="1710F3F4" w:rsidR="006A4A8A" w:rsidRPr="00655BBA" w:rsidRDefault="00D8039C" w:rsidP="00655BB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656FF">
              <w:rPr>
                <w:rFonts w:ascii="Arial" w:hAnsi="Arial" w:cs="Arial"/>
                <w:bCs/>
                <w:sz w:val="24"/>
                <w:szCs w:val="24"/>
                <w:lang w:val="es-UY"/>
              </w:rPr>
              <w:t>Gerardo Corres</w:t>
            </w:r>
          </w:p>
          <w:p w14:paraId="2A387B21" w14:textId="77777777" w:rsidR="006A4A8A" w:rsidRPr="00655BBA" w:rsidRDefault="006A4A8A" w:rsidP="00655BBA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</w:p>
        </w:tc>
        <w:tc>
          <w:tcPr>
            <w:tcW w:w="4489" w:type="dxa"/>
          </w:tcPr>
          <w:p w14:paraId="53D86ACB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</w:t>
            </w:r>
          </w:p>
          <w:p w14:paraId="3085DB5E" w14:textId="77777777" w:rsidR="006A4A8A" w:rsidRPr="00655BBA" w:rsidRDefault="006A4A8A" w:rsidP="00655B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Brasil</w:t>
            </w:r>
          </w:p>
          <w:p w14:paraId="1A3D7506" w14:textId="62822B8F" w:rsidR="006A4A8A" w:rsidRPr="00655BBA" w:rsidRDefault="00D8039C" w:rsidP="00655BB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E059AE">
              <w:rPr>
                <w:rFonts w:ascii="Arial" w:hAnsi="Arial" w:cs="Arial"/>
                <w:bCs/>
                <w:sz w:val="24"/>
                <w:szCs w:val="24"/>
                <w:lang w:val="es-UY"/>
              </w:rPr>
              <w:t>Pablo</w:t>
            </w:r>
            <w:r w:rsidR="00E64ACA" w:rsidRPr="00E059AE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Pereira</w:t>
            </w:r>
          </w:p>
          <w:p w14:paraId="42BF32C8" w14:textId="77777777" w:rsidR="006A4A8A" w:rsidRPr="00655BBA" w:rsidRDefault="006A4A8A" w:rsidP="00655BBA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</w:p>
        </w:tc>
      </w:tr>
      <w:tr w:rsidR="006A4A8A" w:rsidRPr="006B0E74" w14:paraId="0837BEC3" w14:textId="77777777" w:rsidTr="006A4A8A">
        <w:tc>
          <w:tcPr>
            <w:tcW w:w="4489" w:type="dxa"/>
          </w:tcPr>
          <w:p w14:paraId="41618EAC" w14:textId="73141FD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66165E29" w14:textId="032729D5" w:rsidR="00C04C9D" w:rsidRPr="00655BBA" w:rsidRDefault="00C04C9D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107C892E" w14:textId="77777777" w:rsidR="00C04C9D" w:rsidRPr="00655BBA" w:rsidRDefault="00C04C9D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56AB2A7C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7F89B441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_______________________________</w:t>
            </w:r>
          </w:p>
          <w:p w14:paraId="60D52051" w14:textId="77777777" w:rsidR="006A4A8A" w:rsidRPr="00655BBA" w:rsidRDefault="006A4A8A" w:rsidP="00655B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Paraguay</w:t>
            </w:r>
          </w:p>
          <w:p w14:paraId="6B45A342" w14:textId="32896169" w:rsidR="006A4A8A" w:rsidRPr="006656FF" w:rsidRDefault="006656FF" w:rsidP="00655BB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656FF">
              <w:rPr>
                <w:rFonts w:ascii="Arial" w:hAnsi="Arial" w:cs="Arial"/>
                <w:bCs/>
                <w:sz w:val="24"/>
                <w:szCs w:val="24"/>
                <w:lang w:val="es-UY"/>
              </w:rPr>
              <w:t>Viviana Cano</w:t>
            </w:r>
          </w:p>
        </w:tc>
        <w:tc>
          <w:tcPr>
            <w:tcW w:w="4489" w:type="dxa"/>
          </w:tcPr>
          <w:p w14:paraId="145552AC" w14:textId="29EB6ABC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6A665692" w14:textId="77777777" w:rsidR="00C04C9D" w:rsidRPr="00655BBA" w:rsidRDefault="00C04C9D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28513DE5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4FC03084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1B1205E2" w14:textId="77777777" w:rsidR="006A4A8A" w:rsidRPr="00655BBA" w:rsidRDefault="006A4A8A" w:rsidP="00655BB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_______________________________</w:t>
            </w:r>
          </w:p>
          <w:p w14:paraId="1D785EFC" w14:textId="77777777" w:rsidR="006A4A8A" w:rsidRPr="00655BBA" w:rsidRDefault="006A4A8A" w:rsidP="00655B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55BB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Uruguay</w:t>
            </w:r>
          </w:p>
          <w:p w14:paraId="2DE09FA6" w14:textId="45C20701" w:rsidR="006A4A8A" w:rsidRPr="00655BBA" w:rsidRDefault="00D8039C" w:rsidP="00655BB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656FF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Gerardo </w:t>
            </w:r>
            <w:proofErr w:type="spellStart"/>
            <w:r w:rsidRPr="006656FF">
              <w:rPr>
                <w:rFonts w:ascii="Arial" w:hAnsi="Arial" w:cs="Arial"/>
                <w:bCs/>
                <w:sz w:val="24"/>
                <w:szCs w:val="24"/>
                <w:lang w:val="es-UY"/>
              </w:rPr>
              <w:t>Cedrola</w:t>
            </w:r>
            <w:proofErr w:type="spellEnd"/>
          </w:p>
          <w:p w14:paraId="1D595C54" w14:textId="77777777" w:rsidR="006A4A8A" w:rsidRPr="00655BBA" w:rsidRDefault="006A4A8A" w:rsidP="00655BBA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</w:p>
        </w:tc>
      </w:tr>
    </w:tbl>
    <w:p w14:paraId="5D9DF3D0" w14:textId="77777777" w:rsidR="00EE5ED4" w:rsidRPr="00655BBA" w:rsidRDefault="00EE5ED4" w:rsidP="00655BBA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sectPr w:rsidR="00EE5ED4" w:rsidRPr="00655BBA" w:rsidSect="009747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701" w:bottom="1418" w:left="170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82E9" w14:textId="77777777" w:rsidR="00457245" w:rsidRDefault="00457245" w:rsidP="00BA6337">
      <w:pPr>
        <w:spacing w:after="0" w:line="240" w:lineRule="auto"/>
      </w:pPr>
      <w:r>
        <w:separator/>
      </w:r>
    </w:p>
  </w:endnote>
  <w:endnote w:type="continuationSeparator" w:id="0">
    <w:p w14:paraId="7A9276BF" w14:textId="77777777" w:rsidR="00457245" w:rsidRDefault="00457245" w:rsidP="00B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700483"/>
      <w:docPartObj>
        <w:docPartGallery w:val="Page Numbers (Bottom of Page)"/>
        <w:docPartUnique/>
      </w:docPartObj>
    </w:sdtPr>
    <w:sdtEndPr/>
    <w:sdtContent>
      <w:p w14:paraId="0F7F615C" w14:textId="106B2474" w:rsidR="000B4C92" w:rsidRDefault="000B4C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9A" w:rsidRPr="0055629A">
          <w:rPr>
            <w:noProof/>
            <w:lang w:val="es-ES"/>
          </w:rPr>
          <w:t>6</w:t>
        </w:r>
        <w:r>
          <w:fldChar w:fldCharType="end"/>
        </w:r>
      </w:p>
    </w:sdtContent>
  </w:sdt>
  <w:p w14:paraId="24C6C464" w14:textId="77777777" w:rsidR="000B4C92" w:rsidRDefault="000B4C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CAC8" w14:textId="43446611" w:rsidR="006B0E74" w:rsidRPr="00BA6337" w:rsidRDefault="006B0E74" w:rsidP="006B0E74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217E1B3F" w14:textId="77777777" w:rsidR="006B0E74" w:rsidRPr="00BA6337" w:rsidRDefault="006B0E74" w:rsidP="006B0E74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7DE80963" w14:textId="77777777" w:rsidR="006B0E74" w:rsidRPr="00BA6337" w:rsidRDefault="006B0E74" w:rsidP="006B0E74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BA6337">
      <w:rPr>
        <w:rFonts w:ascii="Arial" w:hAnsi="Arial" w:cs="Arial"/>
        <w:sz w:val="16"/>
        <w:lang w:val="fr-FR"/>
      </w:rPr>
      <w:t xml:space="preserve">  www.mercosur.int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4594" w14:textId="77777777" w:rsidR="00457245" w:rsidRDefault="00457245" w:rsidP="00BA6337">
      <w:pPr>
        <w:spacing w:after="0" w:line="240" w:lineRule="auto"/>
      </w:pPr>
      <w:r>
        <w:separator/>
      </w:r>
    </w:p>
  </w:footnote>
  <w:footnote w:type="continuationSeparator" w:id="0">
    <w:p w14:paraId="7AA8C3DE" w14:textId="77777777" w:rsidR="00457245" w:rsidRDefault="00457245" w:rsidP="00BA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D563" w14:textId="77777777" w:rsidR="004D6935" w:rsidRDefault="004D6935" w:rsidP="00BA6337">
    <w:pPr>
      <w:pStyle w:val="Encabezado"/>
      <w:tabs>
        <w:tab w:val="clear" w:pos="4419"/>
        <w:tab w:val="clear" w:pos="8838"/>
        <w:tab w:val="left" w:pos="77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3926" w14:textId="6AE6F313" w:rsidR="000D3584" w:rsidRDefault="006B0E74" w:rsidP="000D3584">
    <w:pPr>
      <w:pStyle w:val="Encabezado"/>
    </w:pPr>
    <w:r w:rsidRPr="00655BBA">
      <w:rPr>
        <w:rFonts w:ascii="Arial" w:hAnsi="Arial" w:cs="Arial"/>
        <w:b/>
        <w:noProof/>
        <w:sz w:val="24"/>
        <w:szCs w:val="24"/>
        <w:lang w:val="es-AR" w:eastAsia="es-AR"/>
      </w:rPr>
      <w:drawing>
        <wp:inline distT="0" distB="0" distL="0" distR="0" wp14:anchorId="0570FAAD" wp14:editId="5A4D5FD1">
          <wp:extent cx="1207135" cy="77406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399">
      <w:rPr>
        <w:noProof/>
        <w:lang w:val="es-UY" w:eastAsia="es-UY"/>
      </w:rPr>
      <w:pict w14:anchorId="4BCDC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52" type="#_x0000_t75" style="position:absolute;margin-left:0;margin-top:0;width:510.2pt;height:309.3pt;z-index:-251658752;mso-position-horizontal:center;mso-position-horizontal-relative:margin;mso-position-vertical:center;mso-position-vertical-relative:margin" o:allowincell="f">
          <v:imagedata r:id="rId2" o:title="LogoMERCOSUR-Principal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</w:t>
    </w:r>
    <w:r w:rsidRPr="00655BBA">
      <w:rPr>
        <w:rFonts w:ascii="Arial" w:hAnsi="Arial" w:cs="Arial"/>
        <w:b/>
        <w:noProof/>
        <w:sz w:val="24"/>
        <w:szCs w:val="24"/>
        <w:lang w:val="es-AR" w:eastAsia="es-AR"/>
      </w:rPr>
      <w:drawing>
        <wp:inline distT="0" distB="0" distL="0" distR="0" wp14:anchorId="29CB287A" wp14:editId="71DC8D16">
          <wp:extent cx="1200785" cy="762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98698F" w14:textId="77777777" w:rsidR="009747EF" w:rsidRDefault="009747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0109"/>
    <w:multiLevelType w:val="hybridMultilevel"/>
    <w:tmpl w:val="D2520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413C"/>
    <w:multiLevelType w:val="hybridMultilevel"/>
    <w:tmpl w:val="AD54DA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44B"/>
    <w:multiLevelType w:val="singleLevel"/>
    <w:tmpl w:val="745C86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D702E2D"/>
    <w:multiLevelType w:val="multilevel"/>
    <w:tmpl w:val="7FD8F19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DB4093"/>
    <w:multiLevelType w:val="multilevel"/>
    <w:tmpl w:val="5E9E29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78271A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C010104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A72517"/>
    <w:multiLevelType w:val="multilevel"/>
    <w:tmpl w:val="F84282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91C45E3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9E43FF4"/>
    <w:multiLevelType w:val="hybridMultilevel"/>
    <w:tmpl w:val="BA2E2A4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4B57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D7E77D7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2A6103"/>
    <w:multiLevelType w:val="multilevel"/>
    <w:tmpl w:val="F84282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32E41EB8"/>
    <w:multiLevelType w:val="multilevel"/>
    <w:tmpl w:val="068443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3C25D7A"/>
    <w:multiLevelType w:val="multilevel"/>
    <w:tmpl w:val="BEFC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11BF8"/>
    <w:multiLevelType w:val="hybridMultilevel"/>
    <w:tmpl w:val="73A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2CB2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4AF97BCB"/>
    <w:multiLevelType w:val="hybridMultilevel"/>
    <w:tmpl w:val="2E06FDBA"/>
    <w:lvl w:ilvl="0" w:tplc="235CC7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3333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4FEF4084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860458"/>
    <w:multiLevelType w:val="hybridMultilevel"/>
    <w:tmpl w:val="62FCC5A0"/>
    <w:lvl w:ilvl="0" w:tplc="5EE29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7E4"/>
    <w:multiLevelType w:val="hybridMultilevel"/>
    <w:tmpl w:val="146E3436"/>
    <w:lvl w:ilvl="0" w:tplc="380A000F">
      <w:start w:val="1"/>
      <w:numFmt w:val="decimal"/>
      <w:lvlText w:val="%1."/>
      <w:lvlJc w:val="left"/>
      <w:pPr>
        <w:ind w:left="2130" w:hanging="360"/>
      </w:pPr>
    </w:lvl>
    <w:lvl w:ilvl="1" w:tplc="380A0019" w:tentative="1">
      <w:start w:val="1"/>
      <w:numFmt w:val="lowerLetter"/>
      <w:lvlText w:val="%2."/>
      <w:lvlJc w:val="left"/>
      <w:pPr>
        <w:ind w:left="2850" w:hanging="360"/>
      </w:pPr>
    </w:lvl>
    <w:lvl w:ilvl="2" w:tplc="380A001B" w:tentative="1">
      <w:start w:val="1"/>
      <w:numFmt w:val="lowerRoman"/>
      <w:lvlText w:val="%3."/>
      <w:lvlJc w:val="right"/>
      <w:pPr>
        <w:ind w:left="3570" w:hanging="180"/>
      </w:pPr>
    </w:lvl>
    <w:lvl w:ilvl="3" w:tplc="380A000F" w:tentative="1">
      <w:start w:val="1"/>
      <w:numFmt w:val="decimal"/>
      <w:lvlText w:val="%4."/>
      <w:lvlJc w:val="left"/>
      <w:pPr>
        <w:ind w:left="4290" w:hanging="360"/>
      </w:pPr>
    </w:lvl>
    <w:lvl w:ilvl="4" w:tplc="380A0019" w:tentative="1">
      <w:start w:val="1"/>
      <w:numFmt w:val="lowerLetter"/>
      <w:lvlText w:val="%5."/>
      <w:lvlJc w:val="left"/>
      <w:pPr>
        <w:ind w:left="5010" w:hanging="360"/>
      </w:pPr>
    </w:lvl>
    <w:lvl w:ilvl="5" w:tplc="380A001B" w:tentative="1">
      <w:start w:val="1"/>
      <w:numFmt w:val="lowerRoman"/>
      <w:lvlText w:val="%6."/>
      <w:lvlJc w:val="right"/>
      <w:pPr>
        <w:ind w:left="5730" w:hanging="180"/>
      </w:pPr>
    </w:lvl>
    <w:lvl w:ilvl="6" w:tplc="380A000F" w:tentative="1">
      <w:start w:val="1"/>
      <w:numFmt w:val="decimal"/>
      <w:lvlText w:val="%7."/>
      <w:lvlJc w:val="left"/>
      <w:pPr>
        <w:ind w:left="6450" w:hanging="360"/>
      </w:pPr>
    </w:lvl>
    <w:lvl w:ilvl="7" w:tplc="380A0019" w:tentative="1">
      <w:start w:val="1"/>
      <w:numFmt w:val="lowerLetter"/>
      <w:lvlText w:val="%8."/>
      <w:lvlJc w:val="left"/>
      <w:pPr>
        <w:ind w:left="7170" w:hanging="360"/>
      </w:pPr>
    </w:lvl>
    <w:lvl w:ilvl="8" w:tplc="3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4663"/>
    <w:multiLevelType w:val="hybridMultilevel"/>
    <w:tmpl w:val="0A524C8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35A3B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D263FF5"/>
    <w:multiLevelType w:val="hybridMultilevel"/>
    <w:tmpl w:val="13363F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7724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6283"/>
    <w:multiLevelType w:val="multilevel"/>
    <w:tmpl w:val="ABE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 w15:restartNumberingAfterBreak="0">
    <w:nsid w:val="6639609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434DAA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CA96119"/>
    <w:multiLevelType w:val="hybridMultilevel"/>
    <w:tmpl w:val="511ACDFA"/>
    <w:lvl w:ilvl="0" w:tplc="AD8A14D2">
      <w:start w:val="3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bCs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4485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FF31AB"/>
    <w:multiLevelType w:val="hybridMultilevel"/>
    <w:tmpl w:val="4A0641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729C8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6F3177EF"/>
    <w:multiLevelType w:val="multilevel"/>
    <w:tmpl w:val="A5509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3339AF"/>
    <w:multiLevelType w:val="multilevel"/>
    <w:tmpl w:val="752A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B10BD6"/>
    <w:multiLevelType w:val="multilevel"/>
    <w:tmpl w:val="C5AA9FEA"/>
    <w:lvl w:ilvl="0">
      <w:start w:val="1"/>
      <w:numFmt w:val="decimal"/>
      <w:pStyle w:val="Encabezado1"/>
      <w:lvlText w:val="%1)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pStyle w:val="Encabezado2"/>
      <w:lvlText w:val="%2."/>
      <w:lvlJc w:val="left"/>
      <w:pPr>
        <w:ind w:left="1440" w:hanging="360"/>
      </w:pPr>
    </w:lvl>
    <w:lvl w:ilvl="2">
      <w:start w:val="1"/>
      <w:numFmt w:val="lowerRoman"/>
      <w:pStyle w:val="Encabezado3"/>
      <w:lvlText w:val="%3."/>
      <w:lvlJc w:val="right"/>
      <w:pPr>
        <w:ind w:left="2160" w:hanging="180"/>
      </w:pPr>
    </w:lvl>
    <w:lvl w:ilvl="3">
      <w:start w:val="1"/>
      <w:numFmt w:val="decimal"/>
      <w:pStyle w:val="Encabezado4"/>
      <w:lvlText w:val="%4."/>
      <w:lvlJc w:val="left"/>
      <w:pPr>
        <w:ind w:left="2880" w:hanging="360"/>
      </w:pPr>
    </w:lvl>
    <w:lvl w:ilvl="4">
      <w:start w:val="1"/>
      <w:numFmt w:val="lowerLetter"/>
      <w:pStyle w:val="Encabezado5"/>
      <w:lvlText w:val="%5."/>
      <w:lvlJc w:val="left"/>
      <w:pPr>
        <w:ind w:left="3600" w:hanging="360"/>
      </w:pPr>
    </w:lvl>
    <w:lvl w:ilvl="5">
      <w:start w:val="1"/>
      <w:numFmt w:val="lowerRoman"/>
      <w:pStyle w:val="Encabezad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A2D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60F7853"/>
    <w:multiLevelType w:val="hybridMultilevel"/>
    <w:tmpl w:val="8F46D7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710C7"/>
    <w:multiLevelType w:val="multilevel"/>
    <w:tmpl w:val="BF106E92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CA71CF"/>
    <w:multiLevelType w:val="hybridMultilevel"/>
    <w:tmpl w:val="2434355E"/>
    <w:lvl w:ilvl="0" w:tplc="89F8643A">
      <w:numFmt w:val="bullet"/>
      <w:lvlText w:val="-"/>
      <w:lvlJc w:val="left"/>
      <w:pPr>
        <w:ind w:left="927" w:hanging="360"/>
      </w:pPr>
      <w:rPr>
        <w:rFonts w:ascii="Helv" w:eastAsiaTheme="minorHAnsi" w:hAnsi="Helv" w:cs="Helv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9504C8E"/>
    <w:multiLevelType w:val="hybridMultilevel"/>
    <w:tmpl w:val="62FCC5A0"/>
    <w:lvl w:ilvl="0" w:tplc="5EE29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0BE8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8"/>
  </w:num>
  <w:num w:numId="5">
    <w:abstractNumId w:val="39"/>
  </w:num>
  <w:num w:numId="6">
    <w:abstractNumId w:val="13"/>
  </w:num>
  <w:num w:numId="7">
    <w:abstractNumId w:val="9"/>
  </w:num>
  <w:num w:numId="8">
    <w:abstractNumId w:val="24"/>
  </w:num>
  <w:num w:numId="9">
    <w:abstractNumId w:val="7"/>
  </w:num>
  <w:num w:numId="10">
    <w:abstractNumId w:val="44"/>
  </w:num>
  <w:num w:numId="11">
    <w:abstractNumId w:val="12"/>
  </w:num>
  <w:num w:numId="12">
    <w:abstractNumId w:val="31"/>
  </w:num>
  <w:num w:numId="13">
    <w:abstractNumId w:val="11"/>
  </w:num>
  <w:num w:numId="14">
    <w:abstractNumId w:val="27"/>
  </w:num>
  <w:num w:numId="15">
    <w:abstractNumId w:val="33"/>
  </w:num>
  <w:num w:numId="16">
    <w:abstractNumId w:val="6"/>
  </w:num>
  <w:num w:numId="17">
    <w:abstractNumId w:val="21"/>
  </w:num>
  <w:num w:numId="18">
    <w:abstractNumId w:val="4"/>
  </w:num>
  <w:num w:numId="19">
    <w:abstractNumId w:val="43"/>
  </w:num>
  <w:num w:numId="20">
    <w:abstractNumId w:val="40"/>
  </w:num>
  <w:num w:numId="21">
    <w:abstractNumId w:val="1"/>
  </w:num>
  <w:num w:numId="22">
    <w:abstractNumId w:val="36"/>
  </w:num>
  <w:num w:numId="23">
    <w:abstractNumId w:val="35"/>
  </w:num>
  <w:num w:numId="24">
    <w:abstractNumId w:val="25"/>
  </w:num>
  <w:num w:numId="25">
    <w:abstractNumId w:val="17"/>
  </w:num>
  <w:num w:numId="26">
    <w:abstractNumId w:val="19"/>
  </w:num>
  <w:num w:numId="27">
    <w:abstractNumId w:val="22"/>
  </w:num>
  <w:num w:numId="28">
    <w:abstractNumId w:val="30"/>
  </w:num>
  <w:num w:numId="29">
    <w:abstractNumId w:val="29"/>
  </w:num>
  <w:num w:numId="30">
    <w:abstractNumId w:val="3"/>
  </w:num>
  <w:num w:numId="31">
    <w:abstractNumId w:val="41"/>
  </w:num>
  <w:num w:numId="32">
    <w:abstractNumId w:val="2"/>
  </w:num>
  <w:num w:numId="33">
    <w:abstractNumId w:val="26"/>
  </w:num>
  <w:num w:numId="34">
    <w:abstractNumId w:val="34"/>
  </w:num>
  <w:num w:numId="35">
    <w:abstractNumId w:val="23"/>
  </w:num>
  <w:num w:numId="36">
    <w:abstractNumId w:val="2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0"/>
  </w:num>
  <w:num w:numId="40">
    <w:abstractNumId w:val="37"/>
  </w:num>
  <w:num w:numId="41">
    <w:abstractNumId w:val="4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8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37"/>
    <w:rsid w:val="0000768C"/>
    <w:rsid w:val="00007E4B"/>
    <w:rsid w:val="000272FA"/>
    <w:rsid w:val="00064399"/>
    <w:rsid w:val="00071AF3"/>
    <w:rsid w:val="000B4C92"/>
    <w:rsid w:val="000D3584"/>
    <w:rsid w:val="000F7540"/>
    <w:rsid w:val="001175DA"/>
    <w:rsid w:val="0013290F"/>
    <w:rsid w:val="00133485"/>
    <w:rsid w:val="00133BB7"/>
    <w:rsid w:val="0014571D"/>
    <w:rsid w:val="00147AED"/>
    <w:rsid w:val="00157438"/>
    <w:rsid w:val="0018340A"/>
    <w:rsid w:val="0018690E"/>
    <w:rsid w:val="001871B9"/>
    <w:rsid w:val="00187630"/>
    <w:rsid w:val="0019340B"/>
    <w:rsid w:val="001A3B75"/>
    <w:rsid w:val="001E01E5"/>
    <w:rsid w:val="001F2BFE"/>
    <w:rsid w:val="00203063"/>
    <w:rsid w:val="00205DB7"/>
    <w:rsid w:val="00211F09"/>
    <w:rsid w:val="0021618D"/>
    <w:rsid w:val="002166B9"/>
    <w:rsid w:val="002500F8"/>
    <w:rsid w:val="00260FF4"/>
    <w:rsid w:val="00262BCB"/>
    <w:rsid w:val="00291550"/>
    <w:rsid w:val="00293987"/>
    <w:rsid w:val="002A3E6F"/>
    <w:rsid w:val="002C32DD"/>
    <w:rsid w:val="002D72D4"/>
    <w:rsid w:val="002E3D8A"/>
    <w:rsid w:val="002F45B4"/>
    <w:rsid w:val="002F630A"/>
    <w:rsid w:val="00304720"/>
    <w:rsid w:val="003127A9"/>
    <w:rsid w:val="003168B3"/>
    <w:rsid w:val="00350C01"/>
    <w:rsid w:val="00357ED9"/>
    <w:rsid w:val="003668D9"/>
    <w:rsid w:val="00373F2A"/>
    <w:rsid w:val="00390B01"/>
    <w:rsid w:val="00391040"/>
    <w:rsid w:val="0039204D"/>
    <w:rsid w:val="00395424"/>
    <w:rsid w:val="003A2942"/>
    <w:rsid w:val="003A2A8F"/>
    <w:rsid w:val="003B0D9C"/>
    <w:rsid w:val="003B48B7"/>
    <w:rsid w:val="003B7C16"/>
    <w:rsid w:val="003C5B99"/>
    <w:rsid w:val="003C7C36"/>
    <w:rsid w:val="003D2F4C"/>
    <w:rsid w:val="003D3EF4"/>
    <w:rsid w:val="003E4E7F"/>
    <w:rsid w:val="003F3F62"/>
    <w:rsid w:val="0041538F"/>
    <w:rsid w:val="00435C1E"/>
    <w:rsid w:val="0044787F"/>
    <w:rsid w:val="00447E53"/>
    <w:rsid w:val="00450987"/>
    <w:rsid w:val="00457245"/>
    <w:rsid w:val="00461250"/>
    <w:rsid w:val="004868E3"/>
    <w:rsid w:val="004B0194"/>
    <w:rsid w:val="004B1A83"/>
    <w:rsid w:val="004B2D51"/>
    <w:rsid w:val="004B2E73"/>
    <w:rsid w:val="004D6935"/>
    <w:rsid w:val="004E0312"/>
    <w:rsid w:val="00505A23"/>
    <w:rsid w:val="00534A74"/>
    <w:rsid w:val="00541457"/>
    <w:rsid w:val="00543F43"/>
    <w:rsid w:val="005510AD"/>
    <w:rsid w:val="0055629A"/>
    <w:rsid w:val="00576DAD"/>
    <w:rsid w:val="00585380"/>
    <w:rsid w:val="005A0489"/>
    <w:rsid w:val="005A4256"/>
    <w:rsid w:val="005A5E8D"/>
    <w:rsid w:val="005A633A"/>
    <w:rsid w:val="005B4ADF"/>
    <w:rsid w:val="005C65CB"/>
    <w:rsid w:val="005D34AB"/>
    <w:rsid w:val="005E65CC"/>
    <w:rsid w:val="005F1297"/>
    <w:rsid w:val="00644D7A"/>
    <w:rsid w:val="006471CF"/>
    <w:rsid w:val="00655BBA"/>
    <w:rsid w:val="006656FF"/>
    <w:rsid w:val="006A233F"/>
    <w:rsid w:val="006A4A8A"/>
    <w:rsid w:val="006B0E74"/>
    <w:rsid w:val="006E1CC7"/>
    <w:rsid w:val="0070253F"/>
    <w:rsid w:val="0074460F"/>
    <w:rsid w:val="00745B7F"/>
    <w:rsid w:val="00746FC0"/>
    <w:rsid w:val="0079233A"/>
    <w:rsid w:val="00793A86"/>
    <w:rsid w:val="007A0255"/>
    <w:rsid w:val="007C3B99"/>
    <w:rsid w:val="007F2157"/>
    <w:rsid w:val="007F5CE4"/>
    <w:rsid w:val="00801F3F"/>
    <w:rsid w:val="00804340"/>
    <w:rsid w:val="00807470"/>
    <w:rsid w:val="008209E1"/>
    <w:rsid w:val="0083646E"/>
    <w:rsid w:val="00836E4A"/>
    <w:rsid w:val="00853A3A"/>
    <w:rsid w:val="0086337D"/>
    <w:rsid w:val="00867091"/>
    <w:rsid w:val="00870B86"/>
    <w:rsid w:val="00871397"/>
    <w:rsid w:val="0087710E"/>
    <w:rsid w:val="008870D1"/>
    <w:rsid w:val="008965F6"/>
    <w:rsid w:val="008C31E8"/>
    <w:rsid w:val="008C5460"/>
    <w:rsid w:val="008C6B23"/>
    <w:rsid w:val="008E30A6"/>
    <w:rsid w:val="008F3239"/>
    <w:rsid w:val="0090639C"/>
    <w:rsid w:val="00927743"/>
    <w:rsid w:val="0093149E"/>
    <w:rsid w:val="00936B7F"/>
    <w:rsid w:val="009747EF"/>
    <w:rsid w:val="00976ADC"/>
    <w:rsid w:val="009A244E"/>
    <w:rsid w:val="009B0FA5"/>
    <w:rsid w:val="009C49A9"/>
    <w:rsid w:val="009D3FFA"/>
    <w:rsid w:val="009E6177"/>
    <w:rsid w:val="009F1A30"/>
    <w:rsid w:val="00A26892"/>
    <w:rsid w:val="00A34B93"/>
    <w:rsid w:val="00A36CF0"/>
    <w:rsid w:val="00A40227"/>
    <w:rsid w:val="00A64F03"/>
    <w:rsid w:val="00A74B6B"/>
    <w:rsid w:val="00A82C00"/>
    <w:rsid w:val="00A90519"/>
    <w:rsid w:val="00A929B0"/>
    <w:rsid w:val="00AB0D9B"/>
    <w:rsid w:val="00AB36F3"/>
    <w:rsid w:val="00AE66C8"/>
    <w:rsid w:val="00AF40CD"/>
    <w:rsid w:val="00B0512F"/>
    <w:rsid w:val="00B11727"/>
    <w:rsid w:val="00B14745"/>
    <w:rsid w:val="00B16C77"/>
    <w:rsid w:val="00B30047"/>
    <w:rsid w:val="00B30B06"/>
    <w:rsid w:val="00B46875"/>
    <w:rsid w:val="00B536C2"/>
    <w:rsid w:val="00B85AD7"/>
    <w:rsid w:val="00B91691"/>
    <w:rsid w:val="00B93F42"/>
    <w:rsid w:val="00BA3FA7"/>
    <w:rsid w:val="00BA5E4D"/>
    <w:rsid w:val="00BA6337"/>
    <w:rsid w:val="00BC2EE0"/>
    <w:rsid w:val="00BD3D13"/>
    <w:rsid w:val="00BF4D39"/>
    <w:rsid w:val="00C04C9D"/>
    <w:rsid w:val="00C0795E"/>
    <w:rsid w:val="00C26279"/>
    <w:rsid w:val="00C31002"/>
    <w:rsid w:val="00C33A2B"/>
    <w:rsid w:val="00C438FF"/>
    <w:rsid w:val="00C44F1E"/>
    <w:rsid w:val="00C509B5"/>
    <w:rsid w:val="00C52FAA"/>
    <w:rsid w:val="00C53647"/>
    <w:rsid w:val="00C6367D"/>
    <w:rsid w:val="00C80A95"/>
    <w:rsid w:val="00C83551"/>
    <w:rsid w:val="00CB1ED8"/>
    <w:rsid w:val="00CC0EE1"/>
    <w:rsid w:val="00CC7A8F"/>
    <w:rsid w:val="00CD0217"/>
    <w:rsid w:val="00CE5746"/>
    <w:rsid w:val="00CE7817"/>
    <w:rsid w:val="00D01A3B"/>
    <w:rsid w:val="00D04B44"/>
    <w:rsid w:val="00D1050A"/>
    <w:rsid w:val="00D12AA8"/>
    <w:rsid w:val="00D5076C"/>
    <w:rsid w:val="00D54267"/>
    <w:rsid w:val="00D8039C"/>
    <w:rsid w:val="00DD0F9A"/>
    <w:rsid w:val="00DE5159"/>
    <w:rsid w:val="00DF0A6F"/>
    <w:rsid w:val="00E059AE"/>
    <w:rsid w:val="00E254D4"/>
    <w:rsid w:val="00E64ACA"/>
    <w:rsid w:val="00E80961"/>
    <w:rsid w:val="00E8753D"/>
    <w:rsid w:val="00EA44B0"/>
    <w:rsid w:val="00EB4130"/>
    <w:rsid w:val="00EC0A7C"/>
    <w:rsid w:val="00ED17BC"/>
    <w:rsid w:val="00EE5ED4"/>
    <w:rsid w:val="00F17F6F"/>
    <w:rsid w:val="00F35B72"/>
    <w:rsid w:val="00F418C9"/>
    <w:rsid w:val="00F448A8"/>
    <w:rsid w:val="00F56745"/>
    <w:rsid w:val="00F577A0"/>
    <w:rsid w:val="00F66ADD"/>
    <w:rsid w:val="00F86ABA"/>
    <w:rsid w:val="00FC2EED"/>
    <w:rsid w:val="00FC3A03"/>
    <w:rsid w:val="00FC5923"/>
    <w:rsid w:val="00FE0D2E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57A77214"/>
  <w15:docId w15:val="{CD3F08B9-7AA7-4284-AAF2-1CF49C0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4C"/>
  </w:style>
  <w:style w:type="paragraph" w:styleId="Ttulo1">
    <w:name w:val="heading 1"/>
    <w:basedOn w:val="Normal"/>
    <w:next w:val="Normal"/>
    <w:link w:val="Ttulo1Car"/>
    <w:uiPriority w:val="99"/>
    <w:qFormat/>
    <w:rsid w:val="00EE5ED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E5E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E5ED4"/>
    <w:pPr>
      <w:keepNext/>
      <w:numPr>
        <w:ilvl w:val="2"/>
        <w:numId w:val="1"/>
      </w:numPr>
      <w:tabs>
        <w:tab w:val="left" w:pos="709"/>
      </w:tabs>
      <w:spacing w:after="0" w:line="240" w:lineRule="auto"/>
      <w:jc w:val="both"/>
      <w:outlineLvl w:val="2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E5ED4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E5ED4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E5ED4"/>
    <w:pPr>
      <w:keepNext/>
      <w:numPr>
        <w:ilvl w:val="5"/>
        <w:numId w:val="1"/>
      </w:numPr>
      <w:tabs>
        <w:tab w:val="left" w:pos="993"/>
      </w:tabs>
      <w:spacing w:after="0" w:line="240" w:lineRule="auto"/>
      <w:jc w:val="both"/>
      <w:outlineLvl w:val="5"/>
    </w:pPr>
    <w:rPr>
      <w:rFonts w:ascii="Arial" w:eastAsia="Times New Roman" w:hAnsi="Arial" w:cs="Arial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E5ED4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E5ED4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i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E5ED4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paragraph" w:styleId="Textodeglobo">
    <w:name w:val="Balloon Text"/>
    <w:basedOn w:val="Normal"/>
    <w:link w:val="TextodegloboCar"/>
    <w:uiPriority w:val="99"/>
    <w:semiHidden/>
    <w:unhideWhenUsed/>
    <w:rsid w:val="005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A2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EE5ED4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EE5ED4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EE5ED4"/>
    <w:rPr>
      <w:rFonts w:ascii="Arial" w:eastAsia="Times New Roman" w:hAnsi="Arial" w:cs="Arial"/>
      <w:sz w:val="24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semiHidden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EE5ED4"/>
    <w:rPr>
      <w:rFonts w:ascii="Arial" w:eastAsia="Times New Roman" w:hAnsi="Arial" w:cs="Arial"/>
      <w:b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EE5ED4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EE5ED4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ED4"/>
    <w:rPr>
      <w:rFonts w:ascii="Arial" w:eastAsia="Times New Roman" w:hAnsi="Arial" w:cs="Arial"/>
      <w:sz w:val="24"/>
      <w:szCs w:val="20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EE5ED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character" w:customStyle="1" w:styleId="TtuloCar">
    <w:name w:val="Título Car"/>
    <w:basedOn w:val="Fuentedeprrafopredeter"/>
    <w:link w:val="Ttulo"/>
    <w:rsid w:val="00EE5ED4"/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paragraph" w:customStyle="1" w:styleId="PargrafodaLista2">
    <w:name w:val="Parágrafo da Lista2"/>
    <w:basedOn w:val="Normal"/>
    <w:uiPriority w:val="34"/>
    <w:qFormat/>
    <w:rsid w:val="00EE5ED4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Prrafodelista">
    <w:name w:val="List Paragraph"/>
    <w:basedOn w:val="Normal"/>
    <w:link w:val="PrrafodelistaCar"/>
    <w:qFormat/>
    <w:rsid w:val="00EE5ED4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styleId="Refdecomentario">
    <w:name w:val="annotation reference"/>
    <w:basedOn w:val="Fuentedeprrafopredeter"/>
    <w:semiHidden/>
    <w:unhideWhenUsed/>
    <w:rsid w:val="00EE5ED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5ED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5ED4"/>
    <w:rPr>
      <w:rFonts w:ascii="Arial" w:eastAsia="Times New Roman" w:hAnsi="Arial" w:cs="Arial"/>
      <w:sz w:val="20"/>
      <w:szCs w:val="20"/>
      <w:lang w:val="pt-BR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ED4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E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uentedeprrafopredeter"/>
    <w:rsid w:val="00EE5ED4"/>
  </w:style>
  <w:style w:type="character" w:styleId="Hipervnculo">
    <w:name w:val="Hyperlink"/>
    <w:basedOn w:val="Fuentedeprrafopredeter"/>
    <w:uiPriority w:val="99"/>
    <w:unhideWhenUsed/>
    <w:rsid w:val="00EE5ED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5ED4"/>
    <w:pPr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5ED4"/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Default">
    <w:name w:val="Default"/>
    <w:rsid w:val="00EE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customStyle="1" w:styleId="rtejustify">
    <w:name w:val="rtejustify"/>
    <w:basedOn w:val="Normal"/>
    <w:rsid w:val="00EE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EE5ED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5ED4"/>
    <w:pPr>
      <w:spacing w:after="0" w:line="240" w:lineRule="auto"/>
    </w:pPr>
    <w:rPr>
      <w:rFonts w:eastAsiaTheme="minorEastAsia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5ED4"/>
    <w:rPr>
      <w:rFonts w:eastAsiaTheme="minorEastAsia"/>
      <w:szCs w:val="20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EE5ED4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EE5ED4"/>
    <w:rPr>
      <w:rFonts w:ascii="Arial" w:eastAsia="Times New Roman" w:hAnsi="Arial" w:cs="Arial"/>
      <w:sz w:val="24"/>
      <w:szCs w:val="24"/>
      <w:lang w:val="pt-BR" w:eastAsia="pt-BR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ED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6A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3B48B7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3B48B7"/>
    <w:pPr>
      <w:spacing w:after="120"/>
      <w:ind w:left="283"/>
      <w:contextualSpacing/>
    </w:pPr>
  </w:style>
  <w:style w:type="paragraph" w:customStyle="1" w:styleId="Caracteresenmarcados">
    <w:name w:val="Caracteres enmarcados"/>
    <w:basedOn w:val="Normal"/>
    <w:rsid w:val="003B48B7"/>
  </w:style>
  <w:style w:type="paragraph" w:customStyle="1" w:styleId="Normal2">
    <w:name w:val="Normal2"/>
    <w:rsid w:val="001E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Encabezado1">
    <w:name w:val="Encabezado 1"/>
    <w:next w:val="Normal"/>
    <w:rsid w:val="001E01E5"/>
    <w:pPr>
      <w:keepNext/>
      <w:keepLines/>
      <w:widowControl w:val="0"/>
      <w:numPr>
        <w:numId w:val="44"/>
      </w:numPr>
      <w:spacing w:before="480" w:after="12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color w:val="00000A"/>
      <w:position w:val="-1"/>
      <w:sz w:val="48"/>
      <w:szCs w:val="48"/>
      <w:lang w:val="es-AR" w:eastAsia="es-AR"/>
    </w:rPr>
  </w:style>
  <w:style w:type="paragraph" w:customStyle="1" w:styleId="Encabezado2">
    <w:name w:val="Encabezado 2"/>
    <w:next w:val="Normal"/>
    <w:rsid w:val="001E01E5"/>
    <w:pPr>
      <w:keepNext/>
      <w:keepLines/>
      <w:widowControl w:val="0"/>
      <w:numPr>
        <w:ilvl w:val="1"/>
        <w:numId w:val="44"/>
      </w:numPr>
      <w:spacing w:before="360" w:after="80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color w:val="00000A"/>
      <w:position w:val="-1"/>
      <w:sz w:val="36"/>
      <w:szCs w:val="36"/>
      <w:lang w:val="es-AR" w:eastAsia="es-AR"/>
    </w:rPr>
  </w:style>
  <w:style w:type="paragraph" w:customStyle="1" w:styleId="Encabezado3">
    <w:name w:val="Encabezado 3"/>
    <w:next w:val="Normal"/>
    <w:rsid w:val="001E01E5"/>
    <w:pPr>
      <w:keepNext/>
      <w:keepLines/>
      <w:widowControl w:val="0"/>
      <w:numPr>
        <w:ilvl w:val="2"/>
        <w:numId w:val="44"/>
      </w:numPr>
      <w:spacing w:before="280" w:after="80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color w:val="00000A"/>
      <w:position w:val="-1"/>
      <w:sz w:val="28"/>
      <w:szCs w:val="28"/>
      <w:lang w:val="es-AR" w:eastAsia="es-AR"/>
    </w:rPr>
  </w:style>
  <w:style w:type="paragraph" w:customStyle="1" w:styleId="Encabezado4">
    <w:name w:val="Encabezado 4"/>
    <w:next w:val="Normal"/>
    <w:rsid w:val="001E01E5"/>
    <w:pPr>
      <w:keepNext/>
      <w:keepLines/>
      <w:widowControl w:val="0"/>
      <w:numPr>
        <w:ilvl w:val="3"/>
        <w:numId w:val="44"/>
      </w:numPr>
      <w:spacing w:before="240" w:after="40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color w:val="00000A"/>
      <w:position w:val="-1"/>
      <w:sz w:val="24"/>
      <w:szCs w:val="24"/>
      <w:lang w:val="es-AR" w:eastAsia="es-AR"/>
    </w:rPr>
  </w:style>
  <w:style w:type="paragraph" w:customStyle="1" w:styleId="Encabezado5">
    <w:name w:val="Encabezado 5"/>
    <w:next w:val="Normal"/>
    <w:rsid w:val="001E01E5"/>
    <w:pPr>
      <w:keepNext/>
      <w:keepLines/>
      <w:widowControl w:val="0"/>
      <w:numPr>
        <w:ilvl w:val="4"/>
        <w:numId w:val="44"/>
      </w:numPr>
      <w:spacing w:before="220" w:after="40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color w:val="00000A"/>
      <w:position w:val="-1"/>
      <w:lang w:val="es-AR" w:eastAsia="es-AR"/>
    </w:rPr>
  </w:style>
  <w:style w:type="paragraph" w:customStyle="1" w:styleId="Encabezado6">
    <w:name w:val="Encabezado 6"/>
    <w:next w:val="Normal"/>
    <w:rsid w:val="001E01E5"/>
    <w:pPr>
      <w:keepNext/>
      <w:keepLines/>
      <w:widowControl w:val="0"/>
      <w:numPr>
        <w:ilvl w:val="5"/>
        <w:numId w:val="44"/>
      </w:numPr>
      <w:spacing w:before="200" w:after="40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color w:val="00000A"/>
      <w:position w:val="-1"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2B7F-0D3F-499E-AE86-91524ACE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2267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 Melgarejo</cp:lastModifiedBy>
  <cp:revision>4</cp:revision>
  <cp:lastPrinted>2021-05-19T17:37:00Z</cp:lastPrinted>
  <dcterms:created xsi:type="dcterms:W3CDTF">2021-05-19T18:19:00Z</dcterms:created>
  <dcterms:modified xsi:type="dcterms:W3CDTF">2021-05-19T20:36:00Z</dcterms:modified>
</cp:coreProperties>
</file>