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MERCOSUR/GAP/ACTA N</w:t>
      </w:r>
      <w:r>
        <w:rPr>
          <w:rStyle w:val="normaltextrun"/>
          <w:b w:val="1"/>
          <w:bCs w:val="1"/>
          <w:rtl w:val="0"/>
          <w:lang w:val="es-ES_tradnl"/>
        </w:rPr>
        <w:t xml:space="preserve">º </w:t>
      </w:r>
      <w:r>
        <w:rPr>
          <w:rStyle w:val="normaltextrun"/>
          <w:b w:val="1"/>
          <w:bCs w:val="1"/>
          <w:rtl w:val="0"/>
          <w:lang w:val="es-ES_tradnl"/>
        </w:rPr>
        <w:t>01/21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center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LVIII REUNI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ORDINARIA DEL GRUPO DE ASUNTOS PRESUPUESTARIOS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En ejercicio de la Presidencia Pro Tempore de Argentina (PPTA), el d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a 7 de mayo de 2021, se realiz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, conforme la Resoluci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GMC N</w:t>
      </w:r>
      <w:r>
        <w:rPr>
          <w:rStyle w:val="normaltextrun"/>
          <w:rtl w:val="0"/>
          <w:lang w:val="es-ES_tradnl"/>
        </w:rPr>
        <w:t xml:space="preserve">° </w:t>
      </w:r>
      <w:r>
        <w:rPr>
          <w:rStyle w:val="normaltextrun"/>
          <w:rtl w:val="0"/>
          <w:lang w:val="es-ES_tradnl"/>
        </w:rPr>
        <w:t>19/12, la LVIII Reuni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Ordinaria del Grupo de Asuntos Presupuestarios (GAP), con la participaci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de las delegaciones de Argentina, Brasil, Paraguay y Uruguay.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426" w:hanging="426"/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Participaron el Director de la Secretar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a del MERCOSUR (SM), el Secretario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del Tribunal Permanente de Revisi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(TPR), el Director Ejecutivo del Instituto Social del MERCOSUR (ISM) y la Secretaria Ejecutiva del Instituto de Pol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ticas P</w:t>
      </w:r>
      <w:r>
        <w:rPr>
          <w:rStyle w:val="normaltextrun"/>
          <w:rtl w:val="0"/>
          <w:lang w:val="es-ES_tradnl"/>
        </w:rPr>
        <w:t>ú</w:t>
      </w:r>
      <w:r>
        <w:rPr>
          <w:rStyle w:val="normaltextrun"/>
          <w:rtl w:val="0"/>
          <w:lang w:val="es-ES_tradnl"/>
        </w:rPr>
        <w:t xml:space="preserve">blicas de Derechos Humanos (IPPDDHH).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426" w:hanging="426"/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dio la bienvenida al Sr. Director de la SM, Sr. Luiz Gonzaga Coelho J</w:t>
      </w:r>
      <w:r>
        <w:rPr>
          <w:rStyle w:val="normaltextrun"/>
          <w:rtl w:val="0"/>
          <w:lang w:val="es-ES_tradnl"/>
        </w:rPr>
        <w:t>ú</w:t>
      </w:r>
      <w:r>
        <w:rPr>
          <w:rStyle w:val="normaltextrun"/>
          <w:rtl w:val="0"/>
          <w:lang w:val="es-ES_tradnl"/>
        </w:rPr>
        <w:t>nior, qui</w:t>
      </w:r>
      <w:r>
        <w:rPr>
          <w:rStyle w:val="normaltextrun"/>
          <w:rtl w:val="0"/>
          <w:lang w:val="es-ES_tradnl"/>
        </w:rPr>
        <w:t>é</w:t>
      </w:r>
      <w:r>
        <w:rPr>
          <w:rStyle w:val="normaltextrun"/>
          <w:rtl w:val="0"/>
          <w:lang w:val="es-ES_tradnl"/>
        </w:rPr>
        <w:t>n asumi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sus funciones a principios del presente a</w:t>
      </w:r>
      <w:r>
        <w:rPr>
          <w:rStyle w:val="normaltextrun"/>
          <w:rtl w:val="0"/>
          <w:lang w:val="es-ES_tradnl"/>
        </w:rPr>
        <w:t>ñ</w:t>
      </w:r>
      <w:r>
        <w:rPr>
          <w:rStyle w:val="normaltextrun"/>
          <w:rtl w:val="0"/>
          <w:lang w:val="es-ES_tradnl"/>
        </w:rPr>
        <w:t>o.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426" w:hanging="426"/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 xml:space="preserve">La Lista de Participantes consta en el </w:t>
      </w:r>
      <w:r>
        <w:rPr>
          <w:rStyle w:val="normaltextrun"/>
          <w:b w:val="1"/>
          <w:bCs w:val="1"/>
          <w:rtl w:val="0"/>
          <w:lang w:val="es-ES_tradnl"/>
        </w:rPr>
        <w:t>Anexo I</w:t>
      </w:r>
      <w:r>
        <w:rPr>
          <w:rStyle w:val="normaltextrun"/>
          <w:rtl w:val="0"/>
          <w:lang w:val="es-ES_tradnl"/>
        </w:rPr>
        <w:t xml:space="preserve">.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426" w:hanging="426"/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426" w:hanging="426"/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rtl w:val="0"/>
          <w:lang w:val="es-ES_tradnl"/>
        </w:rPr>
        <w:t xml:space="preserve">La Agenda consta en el </w:t>
      </w:r>
      <w:bookmarkStart w:name="_Hlk9347199" w:id="0"/>
      <w:r>
        <w:rPr>
          <w:rStyle w:val="normaltextrun"/>
          <w:b w:val="1"/>
          <w:bCs w:val="1"/>
          <w:rtl w:val="0"/>
          <w:lang w:val="es-ES_tradnl"/>
        </w:rPr>
        <w:t>Anexo II</w:t>
      </w:r>
      <w:bookmarkEnd w:id="0"/>
      <w:r>
        <w:rPr>
          <w:rStyle w:val="normaltextrun"/>
          <w:b w:val="1"/>
          <w:bCs w:val="1"/>
          <w:rtl w:val="0"/>
          <w:lang w:val="es-ES_tradnl"/>
        </w:rPr>
        <w:t>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426" w:hanging="426"/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426" w:hanging="426"/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rtl w:val="0"/>
          <w:lang w:val="es-ES_tradnl"/>
        </w:rPr>
        <w:t xml:space="preserve">El Resumen del Acta consta en el </w:t>
      </w:r>
      <w:r>
        <w:rPr>
          <w:rStyle w:val="normaltextrun"/>
          <w:b w:val="1"/>
          <w:bCs w:val="1"/>
          <w:rtl w:val="0"/>
          <w:lang w:val="es-ES_tradnl"/>
        </w:rPr>
        <w:t>Anexo III.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Fueron tratados los siguientes temas: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widowControl w:val="0"/>
        <w:numPr>
          <w:ilvl w:val="0"/>
          <w:numId w:val="2"/>
        </w:numPr>
        <w:bidi w:val="0"/>
        <w:ind w:right="0"/>
        <w:jc w:val="both"/>
        <w:rPr>
          <w:rStyle w:val="normaltextrun"/>
          <w:b w:val="1"/>
          <w:bCs w:val="1"/>
          <w:rtl w:val="0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SECRETAR</w:t>
      </w:r>
      <w:r>
        <w:rPr>
          <w:rStyle w:val="normaltextrun"/>
          <w:b w:val="1"/>
          <w:bCs w:val="1"/>
          <w:rtl w:val="0"/>
          <w:lang w:val="es-ES_tradnl"/>
        </w:rPr>
        <w:t>Í</w:t>
      </w:r>
      <w:r>
        <w:rPr>
          <w:rStyle w:val="normaltextrun"/>
          <w:b w:val="1"/>
          <w:bCs w:val="1"/>
          <w:rtl w:val="0"/>
          <w:lang w:val="es-ES_tradnl"/>
        </w:rPr>
        <w:t>A DEL MERCOSUR (SM)</w:t>
      </w: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widowControl w:val="0"/>
        <w:numPr>
          <w:ilvl w:val="1"/>
          <w:numId w:val="4"/>
        </w:numPr>
        <w:bidi w:val="0"/>
        <w:ind w:right="0"/>
        <w:jc w:val="both"/>
        <w:rPr>
          <w:rStyle w:val="normaltextrun"/>
          <w:b w:val="1"/>
          <w:bCs w:val="1"/>
          <w:rtl w:val="0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Informe de Auditor</w:t>
      </w:r>
      <w:r>
        <w:rPr>
          <w:rStyle w:val="normaltextrun"/>
          <w:b w:val="1"/>
          <w:bCs w:val="1"/>
          <w:rtl w:val="0"/>
          <w:lang w:val="es-ES_tradnl"/>
        </w:rPr>
        <w:t>í</w:t>
      </w:r>
      <w:r>
        <w:rPr>
          <w:rStyle w:val="normaltextrun"/>
          <w:b w:val="1"/>
          <w:bCs w:val="1"/>
          <w:rtl w:val="0"/>
          <w:lang w:val="es-ES_tradnl"/>
        </w:rPr>
        <w:t>a de la SM al 31/12/2020</w:t>
      </w: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84" w:hanging="84"/>
        <w:jc w:val="both"/>
        <w:rPr>
          <w:b w:val="1"/>
          <w:bCs w:val="1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informe sobre la auditor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a de los estados financieros de la SM al 31 de diciembre de 2020, enviado por Nota SM/178/21 del 22 de abril de 2021.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 xml:space="preserve">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rFonts w:ascii="Helvetica" w:cs="Helvetica" w:hAnsi="Helvetica" w:eastAsia="Helvetica"/>
          <w:sz w:val="22"/>
          <w:szCs w:val="22"/>
          <w:lang w:val="es-ES_tradnl"/>
        </w:rPr>
      </w:pPr>
      <w:r>
        <w:rPr>
          <w:rStyle w:val="normaltextrun"/>
          <w:rtl w:val="0"/>
          <w:lang w:val="es-ES_tradnl"/>
        </w:rPr>
        <w:t>Al respecto, las delegaciones acordaron elevarlo al GMC para su consideraci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 xml:space="preserve">n </w:t>
      </w:r>
      <w:r>
        <w:rPr>
          <w:rStyle w:val="normaltextrun"/>
          <w:b w:val="1"/>
          <w:bCs w:val="1"/>
          <w:rtl w:val="0"/>
          <w:lang w:val="es-ES_tradnl"/>
        </w:rPr>
        <w:t>(Anexo IV).</w:t>
      </w: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widowControl w:val="0"/>
        <w:numPr>
          <w:ilvl w:val="1"/>
          <w:numId w:val="4"/>
        </w:numPr>
        <w:bidi w:val="0"/>
        <w:ind w:right="0"/>
        <w:jc w:val="both"/>
        <w:rPr>
          <w:rStyle w:val="normaltextrun"/>
          <w:b w:val="1"/>
          <w:bCs w:val="1"/>
          <w:rtl w:val="0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Ejecuci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presupuestaria al 31/12/2020</w:t>
      </w: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recibi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el informe de ejecuci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presupuestaria al 31 de diciembre de 2020, enviado mediante nota SM/178/21, el cual</w:t>
      </w:r>
      <w:r>
        <w:rPr>
          <w:rStyle w:val="normaltextrun"/>
          <w:b w:val="1"/>
          <w:bCs w:val="1"/>
          <w:rtl w:val="0"/>
          <w:lang w:val="es-ES_tradnl"/>
        </w:rPr>
        <w:t xml:space="preserve"> </w:t>
      </w:r>
      <w:r>
        <w:rPr>
          <w:rStyle w:val="normaltextrun"/>
          <w:rtl w:val="0"/>
          <w:lang w:val="es-ES_tradnl"/>
        </w:rPr>
        <w:t>alcanz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el 71 % del total aprobado para el a</w:t>
      </w:r>
      <w:r>
        <w:rPr>
          <w:rStyle w:val="normaltextrun"/>
          <w:rtl w:val="0"/>
          <w:lang w:val="es-ES_tradnl"/>
        </w:rPr>
        <w:t>ñ</w:t>
      </w:r>
      <w:r>
        <w:rPr>
          <w:rStyle w:val="normaltextrun"/>
          <w:rtl w:val="0"/>
          <w:lang w:val="es-ES_tradnl"/>
        </w:rPr>
        <w:t xml:space="preserve">o 2020 </w:t>
      </w:r>
      <w:r>
        <w:rPr>
          <w:rStyle w:val="normaltextrun"/>
          <w:b w:val="1"/>
          <w:bCs w:val="1"/>
          <w:rtl w:val="0"/>
          <w:lang w:val="es-ES_tradnl"/>
        </w:rPr>
        <w:t>(Anexo IV).</w:t>
      </w: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widowControl w:val="0"/>
        <w:numPr>
          <w:ilvl w:val="1"/>
          <w:numId w:val="4"/>
        </w:numPr>
        <w:bidi w:val="0"/>
        <w:ind w:right="0"/>
        <w:jc w:val="both"/>
        <w:rPr>
          <w:rStyle w:val="normaltextrun"/>
          <w:b w:val="1"/>
          <w:bCs w:val="1"/>
          <w:rtl w:val="0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Situaci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de las contribuciones de los Estados Partes y ejecuci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presupuestaria al 31/03/2021</w:t>
      </w: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 las Ejecuciones Presupuestarias correspondientes a enero, febrero y marzo de 2021, que fueron notificadas mediante las Notas SM N</w:t>
      </w:r>
      <w:r>
        <w:rPr>
          <w:rStyle w:val="normaltextrun"/>
          <w:rtl w:val="0"/>
          <w:lang w:val="es-ES_tradnl"/>
        </w:rPr>
        <w:t xml:space="preserve">° </w:t>
      </w:r>
      <w:r>
        <w:rPr>
          <w:rStyle w:val="normaltextrun"/>
          <w:rtl w:val="0"/>
          <w:lang w:val="es-ES_tradnl"/>
        </w:rPr>
        <w:t>74/2021, N</w:t>
      </w:r>
      <w:r>
        <w:rPr>
          <w:rStyle w:val="normaltextrun"/>
          <w:rtl w:val="0"/>
          <w:lang w:val="es-ES_tradnl"/>
        </w:rPr>
        <w:t xml:space="preserve">° </w:t>
      </w:r>
      <w:r>
        <w:rPr>
          <w:rStyle w:val="normaltextrun"/>
          <w:rtl w:val="0"/>
          <w:lang w:val="es-ES_tradnl"/>
        </w:rPr>
        <w:t>106/2021 y N</w:t>
      </w:r>
      <w:r>
        <w:rPr>
          <w:rStyle w:val="normaltextrun"/>
          <w:rtl w:val="0"/>
          <w:lang w:val="es-ES_tradnl"/>
        </w:rPr>
        <w:t xml:space="preserve">° </w:t>
      </w:r>
      <w:r>
        <w:rPr>
          <w:rStyle w:val="normaltextrun"/>
          <w:rtl w:val="0"/>
          <w:lang w:val="es-ES_tradnl"/>
        </w:rPr>
        <w:t xml:space="preserve">184/2021, respectivamente </w:t>
      </w:r>
      <w:r>
        <w:rPr>
          <w:rStyle w:val="normaltextrun"/>
          <w:b w:val="1"/>
          <w:bCs w:val="1"/>
          <w:rtl w:val="0"/>
          <w:lang w:val="es-ES_tradnl"/>
        </w:rPr>
        <w:t>(Anexo V)</w:t>
      </w:r>
      <w:r>
        <w:rPr>
          <w:rStyle w:val="normaltextrun"/>
          <w:rtl w:val="0"/>
          <w:lang w:val="es-ES_tradnl"/>
        </w:rPr>
        <w:t>.</w:t>
      </w: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spacing w:line="240" w:lineRule="atLeast"/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La ejecuci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presupuestaria al 31 de marzo de 2021 alcanz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, en t</w:t>
      </w:r>
      <w:r>
        <w:rPr>
          <w:rStyle w:val="normaltextrun"/>
          <w:rtl w:val="0"/>
          <w:lang w:val="es-ES_tradnl"/>
        </w:rPr>
        <w:t>é</w:t>
      </w:r>
      <w:r>
        <w:rPr>
          <w:rStyle w:val="normaltextrun"/>
          <w:rtl w:val="0"/>
          <w:lang w:val="es-ES_tradnl"/>
        </w:rPr>
        <w:t>rminos relativos, al 24% respecto al presupuesto de US$ 2.840.244 aprobados para este a</w:t>
      </w:r>
      <w:r>
        <w:rPr>
          <w:rStyle w:val="normaltextrun"/>
          <w:rtl w:val="0"/>
          <w:lang w:val="es-ES_tradnl"/>
        </w:rPr>
        <w:t>ñ</w:t>
      </w:r>
      <w:r>
        <w:rPr>
          <w:rStyle w:val="normaltextrun"/>
          <w:rtl w:val="0"/>
          <w:lang w:val="es-ES_tradnl"/>
        </w:rPr>
        <w:t>o, lo que representa un monto total ejecutado de US$ 671.198.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spacing w:line="240" w:lineRule="atLeast"/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spacing w:line="240" w:lineRule="atLeast"/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Asimismo, se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 las siguientes contribuciones efectuadas durante el per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odo enero-marzo del presente a</w:t>
      </w:r>
      <w:r>
        <w:rPr>
          <w:rStyle w:val="normaltextrun"/>
          <w:rtl w:val="0"/>
          <w:lang w:val="es-ES_tradnl"/>
        </w:rPr>
        <w:t>ñ</w:t>
      </w:r>
      <w:r>
        <w:rPr>
          <w:rStyle w:val="normaltextrun"/>
          <w:rtl w:val="0"/>
          <w:lang w:val="es-ES_tradnl"/>
        </w:rPr>
        <w:t>o: por parte de Argentina, U$S 160.478, correspondiente a un pago parcial del ejercicio 2020; por Brasil, U$S 406.763, correspondientes a un pago parcial del ejercicio 2020; y por parte de Uruguay, U$S 789.169, correspondientes al pago total del ejercicio 2020.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shd w:val="clear" w:color="auto" w:fill="ffff00"/>
          <w:lang w:val="es-ES_tradnl"/>
        </w:rPr>
      </w:pPr>
    </w:p>
    <w:p>
      <w:pPr>
        <w:pStyle w:val="header"/>
        <w:widowControl w:val="0"/>
        <w:numPr>
          <w:ilvl w:val="1"/>
          <w:numId w:val="4"/>
        </w:numPr>
        <w:bidi w:val="0"/>
        <w:ind w:right="0"/>
        <w:jc w:val="both"/>
        <w:rPr>
          <w:rStyle w:val="normaltextrun"/>
          <w:b w:val="1"/>
          <w:bCs w:val="1"/>
          <w:rtl w:val="0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Detalle de los excedentes anuales contables y su utilizaci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 xml:space="preserve">n al 31/03/2021 </w:t>
      </w: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informe del estado de los recursos excedentes anuales de la SM y su utilizaci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ejecutada al 31 de marzo de 2021, enviado por Nota SM N</w:t>
      </w:r>
      <w:r>
        <w:rPr>
          <w:rStyle w:val="normaltextrun"/>
          <w:rtl w:val="0"/>
          <w:lang w:val="es-ES_tradnl"/>
        </w:rPr>
        <w:t xml:space="preserve">º </w:t>
      </w:r>
      <w:r>
        <w:rPr>
          <w:rStyle w:val="normaltextrun"/>
          <w:rtl w:val="0"/>
          <w:lang w:val="es-ES_tradnl"/>
        </w:rPr>
        <w:t>184/2021 del 23 de abril del corriente a</w:t>
      </w:r>
      <w:r>
        <w:rPr>
          <w:rStyle w:val="normaltextrun"/>
          <w:rtl w:val="0"/>
          <w:lang w:val="es-ES_tradnl"/>
        </w:rPr>
        <w:t>ñ</w:t>
      </w:r>
      <w:r>
        <w:rPr>
          <w:rStyle w:val="normaltextrun"/>
          <w:rtl w:val="0"/>
          <w:lang w:val="es-ES_tradnl"/>
        </w:rPr>
        <w:t>o. (</w:t>
      </w:r>
      <w:r>
        <w:rPr>
          <w:rStyle w:val="normaltextrun"/>
          <w:b w:val="1"/>
          <w:bCs w:val="1"/>
          <w:rtl w:val="0"/>
          <w:lang w:val="es-ES_tradnl"/>
        </w:rPr>
        <w:t>Anexo V)</w:t>
      </w:r>
    </w:p>
    <w:p>
      <w:pPr>
        <w:pStyle w:val="header"/>
        <w:tabs>
          <w:tab w:val="left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numPr>
          <w:ilvl w:val="0"/>
          <w:numId w:val="5"/>
        </w:numPr>
        <w:bidi w:val="0"/>
        <w:ind w:right="0"/>
        <w:jc w:val="both"/>
        <w:rPr>
          <w:rStyle w:val="normaltextrun"/>
          <w:b w:val="1"/>
          <w:bCs w:val="1"/>
          <w:rtl w:val="0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SECRETAR</w:t>
      </w:r>
      <w:r>
        <w:rPr>
          <w:rStyle w:val="normaltextrun"/>
          <w:b w:val="1"/>
          <w:bCs w:val="1"/>
          <w:rtl w:val="0"/>
          <w:lang w:val="es-ES_tradnl"/>
        </w:rPr>
        <w:t>Í</w:t>
      </w:r>
      <w:r>
        <w:rPr>
          <w:rStyle w:val="normaltextrun"/>
          <w:b w:val="1"/>
          <w:bCs w:val="1"/>
          <w:rtl w:val="0"/>
          <w:lang w:val="es-ES_tradnl"/>
        </w:rPr>
        <w:t>A DEL TRIBUNAL PERMANENTE DE REVISI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(ST)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1418" w:hanging="709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2.1.</w:t>
        <w:tab/>
        <w:t>Informe de Auditor</w:t>
      </w:r>
      <w:r>
        <w:rPr>
          <w:rStyle w:val="normaltextrun"/>
          <w:b w:val="1"/>
          <w:bCs w:val="1"/>
          <w:rtl w:val="0"/>
          <w:lang w:val="es-ES_tradnl"/>
        </w:rPr>
        <w:t>í</w:t>
      </w:r>
      <w:r>
        <w:rPr>
          <w:rStyle w:val="normaltextrun"/>
          <w:b w:val="1"/>
          <w:bCs w:val="1"/>
          <w:rtl w:val="0"/>
          <w:lang w:val="es-ES_tradnl"/>
        </w:rPr>
        <w:t>a de los Estados Financieros correspondientes al ejercicio anual finalizado el 31/12/2020.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informe de la ST sobre auditor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a externa contable de 2020 remitido por Nota TPR N</w:t>
      </w:r>
      <w:r>
        <w:rPr>
          <w:rStyle w:val="normaltextrun"/>
          <w:rtl w:val="0"/>
          <w:lang w:val="es-ES_tradnl"/>
        </w:rPr>
        <w:t xml:space="preserve">º </w:t>
      </w:r>
      <w:r>
        <w:rPr>
          <w:rStyle w:val="normaltextrun"/>
          <w:rtl w:val="0"/>
          <w:lang w:val="es-ES_tradnl"/>
        </w:rPr>
        <w:t xml:space="preserve">25/2021 del 3 de marzo de 2021 </w:t>
      </w:r>
      <w:r>
        <w:rPr>
          <w:rStyle w:val="normaltextrun"/>
          <w:b w:val="1"/>
          <w:bCs w:val="1"/>
          <w:rtl w:val="0"/>
          <w:lang w:val="es-ES_tradnl"/>
        </w:rPr>
        <w:t>(Anexo VI).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rFonts w:ascii="Times New Roman" w:cs="Times New Roman" w:hAnsi="Times New Roman" w:eastAsia="Times New Roman"/>
          <w:sz w:val="20"/>
          <w:szCs w:val="20"/>
          <w:lang w:val="es-ES_tradnl"/>
        </w:rPr>
      </w:pPr>
      <w:r>
        <w:rPr>
          <w:rStyle w:val="normaltextrun"/>
          <w:rFonts w:ascii="Helvetica" w:hAnsi="Helvetica"/>
          <w:rtl w:val="0"/>
          <w:lang w:val="es-ES_tradnl"/>
        </w:rPr>
        <w:t>Al respecto</w:t>
      </w:r>
      <w:r>
        <w:rPr>
          <w:rStyle w:val="normaltextrun"/>
          <w:rtl w:val="0"/>
          <w:lang w:val="es-ES_tradnl"/>
        </w:rPr>
        <w:t>, las delegaciones acordaron elevar el informe de auditor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a externa contable al GMC para su consideraci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firstLine="709"/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2.2.</w:t>
        <w:tab/>
        <w:t>Ejecuci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presupuestaria al 31/12/2020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informe de la ST sobre la ejecuci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presupuestaria al 31 de diciembre de 2020, remitido por Nota TPR N</w:t>
      </w:r>
      <w:r>
        <w:rPr>
          <w:rStyle w:val="normaltextrun"/>
          <w:rtl w:val="0"/>
          <w:lang w:val="es-ES_tradnl"/>
        </w:rPr>
        <w:t xml:space="preserve">° </w:t>
      </w:r>
      <w:r>
        <w:rPr>
          <w:rStyle w:val="normaltextrun"/>
          <w:rtl w:val="0"/>
          <w:lang w:val="es-ES_tradnl"/>
        </w:rPr>
        <w:t>24/2021 del 24 de febrero de 2021, el cual alcanz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el 76% del total aprobado para el a</w:t>
      </w:r>
      <w:r>
        <w:rPr>
          <w:rStyle w:val="normaltextrun"/>
          <w:rtl w:val="0"/>
          <w:lang w:val="es-ES_tradnl"/>
        </w:rPr>
        <w:t>ñ</w:t>
      </w:r>
      <w:r>
        <w:rPr>
          <w:rStyle w:val="normaltextrun"/>
          <w:rtl w:val="0"/>
          <w:lang w:val="es-ES_tradnl"/>
        </w:rPr>
        <w:t xml:space="preserve">o 2020 </w:t>
      </w:r>
      <w:r>
        <w:rPr>
          <w:rStyle w:val="normaltextrun"/>
          <w:b w:val="1"/>
          <w:bCs w:val="1"/>
          <w:rtl w:val="0"/>
          <w:lang w:val="es-ES_tradnl"/>
        </w:rPr>
        <w:t>(Anexo VI).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1418" w:hanging="709"/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2.3.</w:t>
        <w:tab/>
        <w:t>Situaci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de las contribuciones de los Estados Partes y ejecuci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presupuestaria al 31/03/2021.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informe de la ST sobre las contribuciones de los Estados Partes y la ejecuci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presupuestaria al 31 de marzo de 2021, remitido por las Notas TPR N</w:t>
      </w:r>
      <w:r>
        <w:rPr>
          <w:rStyle w:val="normaltextrun"/>
          <w:rtl w:val="0"/>
          <w:lang w:val="es-ES_tradnl"/>
        </w:rPr>
        <w:t xml:space="preserve">° </w:t>
      </w:r>
      <w:r>
        <w:rPr>
          <w:rStyle w:val="normaltextrun"/>
          <w:rtl w:val="0"/>
          <w:lang w:val="es-ES_tradnl"/>
        </w:rPr>
        <w:t>29/2021 y 38/2021 (</w:t>
      </w:r>
      <w:r>
        <w:rPr>
          <w:rStyle w:val="normaltextrun"/>
          <w:b w:val="1"/>
          <w:bCs w:val="1"/>
          <w:rtl w:val="0"/>
          <w:lang w:val="es-ES_tradnl"/>
        </w:rPr>
        <w:t>Anexo VII</w:t>
      </w:r>
      <w:r>
        <w:rPr>
          <w:rStyle w:val="normaltextrun"/>
          <w:rtl w:val="0"/>
          <w:lang w:val="es-ES_tradnl"/>
        </w:rPr>
        <w:t xml:space="preserve">).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La ejecuci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presupuestaria al 31 de marzo de 2020 alcanz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, en t</w:t>
      </w:r>
      <w:r>
        <w:rPr>
          <w:rStyle w:val="normaltextrun"/>
          <w:rtl w:val="0"/>
          <w:lang w:val="es-ES_tradnl"/>
        </w:rPr>
        <w:t>é</w:t>
      </w:r>
      <w:r>
        <w:rPr>
          <w:rStyle w:val="normaltextrun"/>
          <w:rtl w:val="0"/>
          <w:lang w:val="es-ES_tradnl"/>
        </w:rPr>
        <w:t>rminos relativos, al 22% respecto al presupuesto de US$ 449.483 aprobados para este a</w:t>
      </w:r>
      <w:r>
        <w:rPr>
          <w:rStyle w:val="normaltextrun"/>
          <w:rtl w:val="0"/>
          <w:lang w:val="es-ES_tradnl"/>
        </w:rPr>
        <w:t>ñ</w:t>
      </w:r>
      <w:r>
        <w:rPr>
          <w:rStyle w:val="normaltextrun"/>
          <w:rtl w:val="0"/>
          <w:lang w:val="es-ES_tradnl"/>
        </w:rPr>
        <w:t>o, lo que representa un monto total ejecutado de US$ 100.370.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Asimismo,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aporte realizado por Paraguay, por un total de US$ 89.325,  correspondiente al pago de 2020 y por Uruguay, por un total de US$ 85.029, correspondiente al pago total de 2020.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1418" w:hanging="709"/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2.4.</w:t>
        <w:tab/>
        <w:t>Detalle de los excedentes anuales contables y su utilizaci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 xml:space="preserve">n al 31/03/2021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informe sobre los excedentes anuales contables y su utilizaci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n, remitido por la Nota TPR N</w:t>
      </w:r>
      <w:r>
        <w:rPr>
          <w:rStyle w:val="normaltextrun"/>
          <w:rtl w:val="0"/>
          <w:lang w:val="es-ES_tradnl"/>
        </w:rPr>
        <w:t xml:space="preserve">° </w:t>
      </w:r>
      <w:r>
        <w:rPr>
          <w:rStyle w:val="normaltextrun"/>
          <w:rtl w:val="0"/>
          <w:lang w:val="es-ES_tradnl"/>
        </w:rPr>
        <w:t xml:space="preserve">38/2021 </w:t>
      </w:r>
      <w:r>
        <w:rPr>
          <w:rStyle w:val="normaltextrun"/>
          <w:b w:val="1"/>
          <w:bCs w:val="1"/>
          <w:rtl w:val="0"/>
          <w:lang w:val="es-ES_tradnl"/>
        </w:rPr>
        <w:t>(Anexo VII)</w:t>
      </w:r>
      <w:r>
        <w:rPr>
          <w:rStyle w:val="normaltextrun"/>
          <w:rtl w:val="0"/>
          <w:lang w:val="es-ES_tradnl"/>
        </w:rPr>
        <w:t xml:space="preserve">. </w:t>
      </w: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widowControl w:val="0"/>
        <w:numPr>
          <w:ilvl w:val="0"/>
          <w:numId w:val="5"/>
        </w:numPr>
        <w:bidi w:val="0"/>
        <w:ind w:right="0"/>
        <w:jc w:val="both"/>
        <w:rPr>
          <w:rStyle w:val="normaltextrun"/>
          <w:b w:val="1"/>
          <w:bCs w:val="1"/>
          <w:rtl w:val="0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INSTITUTO SOCIAL DEL MERCOSUR (ISM)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1418" w:hanging="709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3.1.</w:t>
        <w:tab/>
        <w:t>Informe de Auditor</w:t>
      </w:r>
      <w:r>
        <w:rPr>
          <w:rStyle w:val="normaltextrun"/>
          <w:b w:val="1"/>
          <w:bCs w:val="1"/>
          <w:rtl w:val="0"/>
          <w:lang w:val="es-ES_tradnl"/>
        </w:rPr>
        <w:t>í</w:t>
      </w:r>
      <w:r>
        <w:rPr>
          <w:rStyle w:val="normaltextrun"/>
          <w:b w:val="1"/>
          <w:bCs w:val="1"/>
          <w:rtl w:val="0"/>
          <w:lang w:val="es-ES_tradnl"/>
        </w:rPr>
        <w:t>a de los Estados Financieros correspondientes al ejercicio anual finalizado el 31/12/2020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informe sobre la auditor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a externa contable del ISM al 31 de diciembre de 2020, enviado por Nota ISM-DAF 02/2021 del 23 de marzo de 2021.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 xml:space="preserve">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rtl w:val="0"/>
          <w:lang w:val="es-ES_tradnl"/>
        </w:rPr>
        <w:t>Al respecto, las delegaciones acordaron elevarlo al GMC para su consideraci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 xml:space="preserve">n </w:t>
      </w:r>
      <w:r>
        <w:rPr>
          <w:rStyle w:val="normaltextrun"/>
          <w:b w:val="1"/>
          <w:bCs w:val="1"/>
          <w:rtl w:val="0"/>
          <w:lang w:val="es-ES_tradnl"/>
        </w:rPr>
        <w:t>(Anexo VIII).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firstLine="709"/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firstLine="709"/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3.2.</w:t>
        <w:tab/>
        <w:t>Ejecuci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presupuestaria al 31/12/2020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informe del ISM sobre la ejecuci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presupuestaria al 31 de diciembre de 2020, remitido por la nota ISM-DAF N</w:t>
      </w:r>
      <w:r>
        <w:rPr>
          <w:rStyle w:val="normaltextrun"/>
          <w:rtl w:val="0"/>
          <w:lang w:val="es-ES_tradnl"/>
        </w:rPr>
        <w:t xml:space="preserve">° </w:t>
      </w:r>
      <w:r>
        <w:rPr>
          <w:rStyle w:val="normaltextrun"/>
          <w:rtl w:val="0"/>
          <w:lang w:val="es-ES_tradnl"/>
        </w:rPr>
        <w:t>01/2021, de fecha 5 de marzo de 2021, el cual alcanz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el 82,71% del total aprobado para el a</w:t>
      </w:r>
      <w:r>
        <w:rPr>
          <w:rStyle w:val="normaltextrun"/>
          <w:rtl w:val="0"/>
          <w:lang w:val="es-ES_tradnl"/>
        </w:rPr>
        <w:t>ñ</w:t>
      </w:r>
      <w:r>
        <w:rPr>
          <w:rStyle w:val="normaltextrun"/>
          <w:rtl w:val="0"/>
          <w:lang w:val="es-ES_tradnl"/>
        </w:rPr>
        <w:t xml:space="preserve">o 2020 </w:t>
      </w:r>
      <w:r>
        <w:rPr>
          <w:rStyle w:val="normaltextrun"/>
          <w:b w:val="1"/>
          <w:bCs w:val="1"/>
          <w:rtl w:val="0"/>
          <w:lang w:val="es-ES_tradnl"/>
        </w:rPr>
        <w:t>(Anexo VIII)</w:t>
      </w:r>
      <w:r>
        <w:rPr>
          <w:rStyle w:val="normaltextrun"/>
          <w:rtl w:val="0"/>
          <w:lang w:val="es-ES_tradnl"/>
        </w:rPr>
        <w:t>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 xml:space="preserve">     </w:t>
        <w:tab/>
        <w:t>3.3. Situaci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de las contribuciones de los Estados Partes y ejecuci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presupuestaria al 31/03/2021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 xml:space="preserve">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recibi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el informe de las contribuciones de los Estados Partes al ISM al 31 de marzo de 2021, remitido por las Notas ISM-DAF N</w:t>
      </w:r>
      <w:r>
        <w:rPr>
          <w:rStyle w:val="normaltextrun"/>
          <w:rtl w:val="0"/>
          <w:lang w:val="es-ES_tradnl"/>
        </w:rPr>
        <w:t>°</w:t>
      </w:r>
      <w:r>
        <w:rPr>
          <w:rStyle w:val="normaltextrun"/>
          <w:rtl w:val="0"/>
          <w:lang w:val="es-ES_tradnl"/>
        </w:rPr>
        <w:t>01/2021, de fecha 5 de marzo de 2021 e ISM-DAF N</w:t>
      </w:r>
      <w:r>
        <w:rPr>
          <w:rStyle w:val="normaltextrun"/>
          <w:rtl w:val="0"/>
          <w:lang w:val="es-ES_tradnl"/>
        </w:rPr>
        <w:t xml:space="preserve">° </w:t>
      </w:r>
      <w:r>
        <w:rPr>
          <w:rStyle w:val="normaltextrun"/>
          <w:rtl w:val="0"/>
          <w:lang w:val="es-ES_tradnl"/>
        </w:rPr>
        <w:t xml:space="preserve">03/2021, de fecha 15 de abril de 2021 </w:t>
      </w:r>
      <w:r>
        <w:rPr>
          <w:rStyle w:val="normaltextrun"/>
          <w:b w:val="1"/>
          <w:bCs w:val="1"/>
          <w:rtl w:val="0"/>
          <w:lang w:val="es-ES_tradnl"/>
        </w:rPr>
        <w:t>(Anexo IX)</w:t>
      </w:r>
      <w:r>
        <w:rPr>
          <w:rStyle w:val="normaltextrun"/>
          <w:rtl w:val="0"/>
          <w:lang w:val="es-ES_tradnl"/>
        </w:rPr>
        <w:t>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spacing w:line="240" w:lineRule="atLeast"/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La ejecuci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presupuestaria al 31 de marzo de 2021 alcanz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, en t</w:t>
      </w:r>
      <w:r>
        <w:rPr>
          <w:rStyle w:val="normaltextrun"/>
          <w:rtl w:val="0"/>
          <w:lang w:val="es-ES_tradnl"/>
        </w:rPr>
        <w:t>é</w:t>
      </w:r>
      <w:r>
        <w:rPr>
          <w:rStyle w:val="normaltextrun"/>
          <w:rtl w:val="0"/>
          <w:lang w:val="es-ES_tradnl"/>
        </w:rPr>
        <w:t>rminos relativos, el 22,34% respecto del presupuesto aprobado para este a</w:t>
      </w:r>
      <w:r>
        <w:rPr>
          <w:rStyle w:val="normaltextrun"/>
          <w:rtl w:val="0"/>
          <w:lang w:val="es-ES_tradnl"/>
        </w:rPr>
        <w:t>ñ</w:t>
      </w:r>
      <w:r>
        <w:rPr>
          <w:rStyle w:val="normaltextrun"/>
          <w:rtl w:val="0"/>
          <w:lang w:val="es-ES_tradnl"/>
        </w:rPr>
        <w:t xml:space="preserve">o.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spacing w:line="240" w:lineRule="atLeast"/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Asimismo,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aporte realizado por Paraguay por U$S 117.216, correspondiente al saldo de 2017 y pago parcial del 2018.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firstLine="709"/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3.4. Detalle de los excedentes anuales contables y su utilizaci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al 31/03/2021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 xml:space="preserve">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informe del estado de los recursos excedentes anuales contables del ISM y su utilizaci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al 31 de marzo de 2021, de acuerdo a Nota ISM-DAF N</w:t>
      </w:r>
      <w:r>
        <w:rPr>
          <w:rStyle w:val="normaltextrun"/>
          <w:rtl w:val="0"/>
          <w:lang w:val="es-ES_tradnl"/>
        </w:rPr>
        <w:t xml:space="preserve">º </w:t>
      </w:r>
      <w:r>
        <w:rPr>
          <w:rStyle w:val="normaltextrun"/>
          <w:rtl w:val="0"/>
          <w:lang w:val="es-ES_tradnl"/>
        </w:rPr>
        <w:t xml:space="preserve">03/21, de fecha 15 de abril de 2021 </w:t>
      </w:r>
      <w:r>
        <w:rPr>
          <w:rStyle w:val="normaltextrun"/>
          <w:b w:val="1"/>
          <w:bCs w:val="1"/>
          <w:rtl w:val="0"/>
          <w:lang w:val="es-ES_tradnl"/>
        </w:rPr>
        <w:t xml:space="preserve">(Anexo IX). </w:t>
      </w:r>
      <w:r>
        <w:rPr>
          <w:rStyle w:val="normaltextrun"/>
          <w:rtl w:val="0"/>
          <w:lang w:val="es-ES_tradnl"/>
        </w:rPr>
        <w:t>Asimismo, al 31 de marzo de 2021, el ISM no cuenta con excedentes l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quidos disponibles.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widowControl w:val="0"/>
        <w:numPr>
          <w:ilvl w:val="0"/>
          <w:numId w:val="5"/>
        </w:numPr>
        <w:bidi w:val="0"/>
        <w:ind w:right="0"/>
        <w:jc w:val="both"/>
        <w:rPr>
          <w:rStyle w:val="normaltextrun"/>
          <w:b w:val="1"/>
          <w:bCs w:val="1"/>
          <w:rtl w:val="0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INSTITUTO DE POL</w:t>
      </w:r>
      <w:r>
        <w:rPr>
          <w:rStyle w:val="normaltextrun"/>
          <w:b w:val="1"/>
          <w:bCs w:val="1"/>
          <w:rtl w:val="0"/>
          <w:lang w:val="es-ES_tradnl"/>
        </w:rPr>
        <w:t>Í</w:t>
      </w:r>
      <w:r>
        <w:rPr>
          <w:rStyle w:val="normaltextrun"/>
          <w:b w:val="1"/>
          <w:bCs w:val="1"/>
          <w:rtl w:val="0"/>
          <w:lang w:val="es-ES_tradnl"/>
        </w:rPr>
        <w:t>TICAS P</w:t>
      </w:r>
      <w:r>
        <w:rPr>
          <w:rStyle w:val="normaltextrun"/>
          <w:b w:val="1"/>
          <w:bCs w:val="1"/>
          <w:rtl w:val="0"/>
          <w:lang w:val="es-ES_tradnl"/>
        </w:rPr>
        <w:t>Ú</w:t>
      </w:r>
      <w:r>
        <w:rPr>
          <w:rStyle w:val="normaltextrun"/>
          <w:b w:val="1"/>
          <w:bCs w:val="1"/>
          <w:rtl w:val="0"/>
          <w:lang w:val="es-ES_tradnl"/>
        </w:rPr>
        <w:t>BLICAS DE DERECHOS HUMANOS (IPPDDHH)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360" w:firstLine="0"/>
        <w:jc w:val="both"/>
        <w:rPr>
          <w:b w:val="1"/>
          <w:bCs w:val="1"/>
          <w:lang w:val="es-ES_tradnl"/>
        </w:rPr>
      </w:pPr>
    </w:p>
    <w:p>
      <w:pPr>
        <w:pStyle w:val="header"/>
        <w:numPr>
          <w:ilvl w:val="1"/>
          <w:numId w:val="5"/>
        </w:numPr>
        <w:bidi w:val="0"/>
        <w:ind w:right="0"/>
        <w:jc w:val="both"/>
        <w:rPr>
          <w:rStyle w:val="normaltextrun"/>
          <w:b w:val="1"/>
          <w:bCs w:val="1"/>
          <w:rtl w:val="0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Informe de Auditor</w:t>
      </w:r>
      <w:r>
        <w:rPr>
          <w:rStyle w:val="normaltextrun"/>
          <w:b w:val="1"/>
          <w:bCs w:val="1"/>
          <w:rtl w:val="0"/>
          <w:lang w:val="es-ES_tradnl"/>
        </w:rPr>
        <w:t>í</w:t>
      </w:r>
      <w:r>
        <w:rPr>
          <w:rStyle w:val="normaltextrun"/>
          <w:b w:val="1"/>
          <w:bCs w:val="1"/>
          <w:rtl w:val="0"/>
          <w:lang w:val="es-ES_tradnl"/>
        </w:rPr>
        <w:t>a de los Estados Financieros correspondientes a los ejercicios anuales finalizados al 31/12/2019 y al 31/12/2020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84" w:hanging="84"/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 los informes sobre la auditor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a externa contable del IPPDDHH al 31 de diciembre de 2019, enviado por Nota IPPDDHH N</w:t>
      </w:r>
      <w:r>
        <w:rPr>
          <w:rStyle w:val="normaltextrun"/>
          <w:rtl w:val="0"/>
          <w:lang w:val="es-ES_tradnl"/>
        </w:rPr>
        <w:t xml:space="preserve">º </w:t>
      </w:r>
      <w:r>
        <w:rPr>
          <w:rStyle w:val="normaltextrun"/>
          <w:rtl w:val="0"/>
          <w:lang w:val="es-ES_tradnl"/>
        </w:rPr>
        <w:t>301/2020, del 30 de diciembre de 2020, y para el ejercicio concluido el 31 de diciembre de 2020, que fuera remitido por medio de nota IPPDDHH N</w:t>
      </w:r>
      <w:r>
        <w:rPr>
          <w:rStyle w:val="normaltextrun"/>
          <w:rtl w:val="0"/>
          <w:lang w:val="es-ES_tradnl"/>
        </w:rPr>
        <w:t xml:space="preserve">º </w:t>
      </w:r>
      <w:r>
        <w:rPr>
          <w:rStyle w:val="normaltextrun"/>
          <w:rtl w:val="0"/>
          <w:lang w:val="es-ES_tradnl"/>
        </w:rPr>
        <w:t>46/2021, de fecha 22 de abril de 2021.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 xml:space="preserve">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Al respecto, las delegaciones acordaron elevarlos al GMC para su consideraci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 xml:space="preserve">n </w:t>
      </w:r>
      <w:r>
        <w:rPr>
          <w:rStyle w:val="normaltextrun"/>
          <w:b w:val="1"/>
          <w:bCs w:val="1"/>
          <w:rtl w:val="0"/>
          <w:lang w:val="es-ES_tradnl"/>
        </w:rPr>
        <w:t>(Anexo X)</w:t>
      </w:r>
      <w:r>
        <w:rPr>
          <w:rStyle w:val="normaltextrun"/>
          <w:rtl w:val="0"/>
          <w:lang w:val="es-ES_tradnl"/>
        </w:rPr>
        <w:t>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widowControl w:val="0"/>
        <w:numPr>
          <w:ilvl w:val="1"/>
          <w:numId w:val="5"/>
        </w:numPr>
        <w:bidi w:val="0"/>
        <w:ind w:right="0"/>
        <w:jc w:val="both"/>
        <w:rPr>
          <w:rStyle w:val="normaltextrun"/>
          <w:b w:val="1"/>
          <w:bCs w:val="1"/>
          <w:rtl w:val="0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Ejecuci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presupuestaria al 31/12/2020</w:t>
      </w: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84" w:hanging="84"/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informe del IPPDDHH sobre la ejecuci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presupuestaria al 31 de diciembre de 2020, remitido por la nota IPPDDHH N</w:t>
      </w:r>
      <w:r>
        <w:rPr>
          <w:rStyle w:val="normaltextrun"/>
          <w:rtl w:val="0"/>
          <w:lang w:val="es-ES_tradnl"/>
        </w:rPr>
        <w:t xml:space="preserve">º </w:t>
      </w:r>
      <w:r>
        <w:rPr>
          <w:rStyle w:val="normaltextrun"/>
          <w:rtl w:val="0"/>
          <w:lang w:val="es-ES_tradnl"/>
        </w:rPr>
        <w:t>5/2021, de fecha 25 de enero de 2021, el cual alcanz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a US$ 443.383,77, representando el 62 % del total aprobado para el a</w:t>
      </w:r>
      <w:r>
        <w:rPr>
          <w:rStyle w:val="normaltextrun"/>
          <w:rtl w:val="0"/>
          <w:lang w:val="es-ES_tradnl"/>
        </w:rPr>
        <w:t>ñ</w:t>
      </w:r>
      <w:r>
        <w:rPr>
          <w:rStyle w:val="normaltextrun"/>
          <w:rtl w:val="0"/>
          <w:lang w:val="es-ES_tradnl"/>
        </w:rPr>
        <w:t xml:space="preserve">o 2020 </w:t>
      </w:r>
      <w:r>
        <w:rPr>
          <w:rStyle w:val="normaltextrun"/>
          <w:b w:val="1"/>
          <w:bCs w:val="1"/>
          <w:rtl w:val="0"/>
          <w:lang w:val="es-ES_tradnl"/>
        </w:rPr>
        <w:t>(Anexo X)</w:t>
      </w:r>
      <w:r>
        <w:rPr>
          <w:rStyle w:val="normaltextrun"/>
          <w:rtl w:val="0"/>
          <w:lang w:val="es-ES_tradnl"/>
        </w:rPr>
        <w:t>.</w:t>
      </w: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widowControl w:val="0"/>
        <w:numPr>
          <w:ilvl w:val="1"/>
          <w:numId w:val="5"/>
        </w:numPr>
        <w:bidi w:val="0"/>
        <w:ind w:right="0"/>
        <w:jc w:val="both"/>
        <w:rPr>
          <w:rStyle w:val="normaltextrun"/>
          <w:b w:val="1"/>
          <w:bCs w:val="1"/>
          <w:rtl w:val="0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Situaci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de las contribuciones de los Estados Partes y ejecuci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presupuestaria al 31/03/2021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informe del IPPDDHH sobre las contribuciones de los Estados Partes y la ejecuci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presupuestaria al 31 de marzo de 2021, remitido por medio de las Notas IPPDDHH N</w:t>
      </w:r>
      <w:r>
        <w:rPr>
          <w:rStyle w:val="normaltextrun"/>
          <w:rtl w:val="0"/>
          <w:lang w:val="es-ES_tradnl"/>
        </w:rPr>
        <w:t xml:space="preserve">° </w:t>
      </w:r>
      <w:r>
        <w:rPr>
          <w:rStyle w:val="normaltextrun"/>
          <w:rtl w:val="0"/>
          <w:lang w:val="es-ES_tradnl"/>
        </w:rPr>
        <w:t>12/2021, de fecha 17 de febrero de 2021, N</w:t>
      </w:r>
      <w:r>
        <w:rPr>
          <w:rStyle w:val="normaltextrun"/>
          <w:rtl w:val="0"/>
          <w:lang w:val="es-ES_tradnl"/>
        </w:rPr>
        <w:t xml:space="preserve">º </w:t>
      </w:r>
      <w:r>
        <w:rPr>
          <w:rStyle w:val="normaltextrun"/>
          <w:rtl w:val="0"/>
          <w:lang w:val="es-ES_tradnl"/>
        </w:rPr>
        <w:t>31/2021 de fecha 11 de marzo de 2021 y N</w:t>
      </w:r>
      <w:r>
        <w:rPr>
          <w:rStyle w:val="normaltextrun"/>
          <w:rtl w:val="0"/>
          <w:lang w:val="es-ES_tradnl"/>
        </w:rPr>
        <w:t xml:space="preserve">º </w:t>
      </w:r>
      <w:r>
        <w:rPr>
          <w:rStyle w:val="normaltextrun"/>
          <w:rtl w:val="0"/>
          <w:lang w:val="es-ES_tradnl"/>
        </w:rPr>
        <w:t xml:space="preserve">42/2021 de fecha 15 de abril de 2021 </w:t>
      </w:r>
      <w:r>
        <w:rPr>
          <w:rStyle w:val="normaltextrun"/>
          <w:b w:val="1"/>
          <w:bCs w:val="1"/>
          <w:rtl w:val="0"/>
          <w:lang w:val="es-ES_tradnl"/>
        </w:rPr>
        <w:t>(Anexo XI)</w:t>
      </w:r>
      <w:r>
        <w:rPr>
          <w:rStyle w:val="normaltextrun"/>
          <w:rtl w:val="0"/>
          <w:lang w:val="es-ES_tradnl"/>
        </w:rPr>
        <w:t>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La ejecuci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presupuestaria al 31 de marzo de 2021 alcanz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, en t</w:t>
      </w:r>
      <w:r>
        <w:rPr>
          <w:rStyle w:val="normaltextrun"/>
          <w:rtl w:val="0"/>
          <w:lang w:val="es-ES_tradnl"/>
        </w:rPr>
        <w:t>é</w:t>
      </w:r>
      <w:r>
        <w:rPr>
          <w:rStyle w:val="normaltextrun"/>
          <w:rtl w:val="0"/>
          <w:lang w:val="es-ES_tradnl"/>
        </w:rPr>
        <w:t>rminos relativos, al 19% respecto al presupuesto de US$ 498.122 aprobados para este a</w:t>
      </w:r>
      <w:r>
        <w:rPr>
          <w:rStyle w:val="normaltextrun"/>
          <w:rtl w:val="0"/>
          <w:lang w:val="es-ES_tradnl"/>
        </w:rPr>
        <w:t>ñ</w:t>
      </w:r>
      <w:r>
        <w:rPr>
          <w:rStyle w:val="normaltextrun"/>
          <w:rtl w:val="0"/>
          <w:lang w:val="es-ES_tradnl"/>
        </w:rPr>
        <w:t>o, lo que representa un monto total ejecutado de US$ 93.636,04.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Asimismo,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aporte realizado por Paraguay por U$S 14.926, correspondiente al pago parcial de 2021.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widowControl w:val="0"/>
        <w:numPr>
          <w:ilvl w:val="1"/>
          <w:numId w:val="5"/>
        </w:numPr>
        <w:bidi w:val="0"/>
        <w:ind w:right="0"/>
        <w:jc w:val="both"/>
        <w:rPr>
          <w:rStyle w:val="normaltextrun"/>
          <w:b w:val="1"/>
          <w:bCs w:val="1"/>
          <w:rtl w:val="0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Detalle de los excedentes anuales contables y su utilizaci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al 31/03/2021</w:t>
      </w: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84" w:hanging="84"/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del informe del estado de los recursos excedentes anuales contables del IPPDDHH y su utilizaci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al 31 de marzo de 2021, de acuerdo a la Nota N</w:t>
      </w:r>
      <w:r>
        <w:rPr>
          <w:rStyle w:val="normaltextrun"/>
          <w:rtl w:val="0"/>
          <w:lang w:val="es-ES_tradnl"/>
        </w:rPr>
        <w:t xml:space="preserve">º </w:t>
      </w:r>
      <w:r>
        <w:rPr>
          <w:rStyle w:val="normaltextrun"/>
          <w:rtl w:val="0"/>
          <w:lang w:val="es-ES_tradnl"/>
        </w:rPr>
        <w:t xml:space="preserve">42/2021 de fecha 15 de abril de 2021 </w:t>
      </w:r>
      <w:r>
        <w:rPr>
          <w:rStyle w:val="normaltextrun"/>
          <w:b w:val="1"/>
          <w:bCs w:val="1"/>
          <w:rtl w:val="0"/>
          <w:lang w:val="es-ES_tradnl"/>
        </w:rPr>
        <w:t xml:space="preserve">(Anexo XI). </w:t>
      </w:r>
      <w:r>
        <w:rPr>
          <w:rStyle w:val="normaltextrun"/>
          <w:rtl w:val="0"/>
          <w:lang w:val="es-ES_tradnl"/>
        </w:rPr>
        <w:t>Asimismo, al 31 de marzo de 2021, el IPPDDHH cuenta con excedentes l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quidos disponibles por un total de US$ 208.712,75.</w:t>
      </w:r>
    </w:p>
    <w:p>
      <w:pPr>
        <w:pStyle w:val="header"/>
        <w:tabs>
          <w:tab w:val="left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Los excedentes contables alcanzar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an para cubrir los gastos del Instituto hasta el mes de setiembre del corriente a</w:t>
      </w:r>
      <w:r>
        <w:rPr>
          <w:rStyle w:val="normaltextrun"/>
          <w:rtl w:val="0"/>
          <w:lang w:val="es-ES_tradnl"/>
        </w:rPr>
        <w:t>ñ</w:t>
      </w:r>
      <w:r>
        <w:rPr>
          <w:rStyle w:val="normaltextrun"/>
          <w:rtl w:val="0"/>
          <w:lang w:val="es-ES_tradnl"/>
        </w:rPr>
        <w:t>o, en tanto no se realicen nuevos aportes de los Estados Partes.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5. Otros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5.1. Destino del saldo remanente del proyecto de Cooperaci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 xml:space="preserve">n </w:t>
      </w:r>
      <w:r>
        <w:rPr>
          <w:rStyle w:val="normaltextrun"/>
          <w:b w:val="1"/>
          <w:bCs w:val="1"/>
          <w:rtl w:val="0"/>
          <w:lang w:val="es-ES_tradnl"/>
        </w:rPr>
        <w:t>“</w:t>
      </w:r>
      <w:r>
        <w:rPr>
          <w:rStyle w:val="normaltextrun"/>
          <w:b w:val="1"/>
          <w:bCs w:val="1"/>
          <w:rtl w:val="0"/>
          <w:lang w:val="es-ES_tradnl"/>
        </w:rPr>
        <w:t>Derecho a la libre Movilidad en el MERCOSUR</w:t>
      </w:r>
      <w:r>
        <w:rPr>
          <w:rStyle w:val="normaltextrun"/>
          <w:b w:val="1"/>
          <w:bCs w:val="1"/>
          <w:rtl w:val="0"/>
          <w:lang w:val="es-ES_tradnl"/>
        </w:rPr>
        <w:t xml:space="preserve">” </w:t>
      </w:r>
      <w:r>
        <w:rPr>
          <w:rStyle w:val="normaltextrun"/>
          <w:b w:val="1"/>
          <w:bCs w:val="1"/>
          <w:rtl w:val="0"/>
          <w:lang w:val="es-ES_tradnl"/>
        </w:rPr>
        <w:t>(Cooperaci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MERCOSUR-OIM).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El GAP tom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nota de lo manifestado por el GMC en su CXV Reuni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Ordinaria, que tuvo lugar el 01 de junio de 2020, instruyendo al GAP a analizar el posible destino de los fondos en cuesti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n, teniendo en cuenta lo sugerido por el Grupo de Cooperaci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Internacional (GCI).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Se trata de recursos correspondientes al saldo resultante de la ejecuci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 xml:space="preserve">n del Proyecto </w:t>
      </w:r>
      <w:r>
        <w:rPr>
          <w:rStyle w:val="normaltextrun"/>
          <w:rtl w:val="0"/>
          <w:lang w:val="es-ES_tradnl"/>
        </w:rPr>
        <w:t>“</w:t>
      </w:r>
      <w:r>
        <w:rPr>
          <w:rStyle w:val="normaltextrun"/>
          <w:rtl w:val="0"/>
          <w:lang w:val="es-ES_tradnl"/>
        </w:rPr>
        <w:t>Derecho a la Libre Movilidad en el MERCOSUR</w:t>
      </w:r>
      <w:r>
        <w:rPr>
          <w:rStyle w:val="normaltextrun"/>
          <w:rtl w:val="0"/>
          <w:lang w:val="es-ES_tradnl"/>
        </w:rPr>
        <w:t xml:space="preserve">” </w:t>
      </w:r>
      <w:r>
        <w:rPr>
          <w:rStyle w:val="normaltextrun"/>
          <w:rtl w:val="0"/>
          <w:lang w:val="es-ES_tradnl"/>
        </w:rPr>
        <w:t>por un monto de US$ 7.795 correspondiente a los aportes del Alto Representante General del MERCOSUR (ARGM), el cual fue devuelto por la Organizaci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Internacional para las Migraciones (OIM) al MERCOSUR el 10 de marzo de 2020 y se encuentra en la cuenta MERCOSUR Secretaria-E.ARGM.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Al respecto, el GAP, a la luz del art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culo 5 de la Resoluci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GMC N</w:t>
      </w:r>
      <w:r>
        <w:rPr>
          <w:rStyle w:val="normaltextrun"/>
          <w:rtl w:val="0"/>
          <w:lang w:val="es-ES_tradnl"/>
        </w:rPr>
        <w:t xml:space="preserve">º </w:t>
      </w:r>
      <w:r>
        <w:rPr>
          <w:rStyle w:val="normaltextrun"/>
          <w:rtl w:val="0"/>
          <w:lang w:val="es-ES_tradnl"/>
        </w:rPr>
        <w:t>48/17, consider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que corresponde distribuir dicho excedente de acuerdo a las proporciones oportunamente consensuadas en el GAP, en su XLVIII reuni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ordinaria, de marzo de 2018 y aprobadas por el GMC en su L Reuni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 xml:space="preserve">n Extraordinaria. 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En tal sentido, corresponder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an las siguientes proporciones del citado monto: Argentina, 30,29% (U$S 2.361,10); Brasil, 39,42% (U$S 3.072,79); Paraguay, 12,11% (U$S 943,98) y Uruguay, 18,18% (U$S 1.417,13), para la distribuci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de los excedentes del Alto Representante General del MERCOSUR (ARGM).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Adicionalmente, el GAP se</w:t>
      </w:r>
      <w:r>
        <w:rPr>
          <w:rStyle w:val="normaltextrun"/>
          <w:rtl w:val="0"/>
          <w:lang w:val="es-ES_tradnl"/>
        </w:rPr>
        <w:t>ñ</w:t>
      </w:r>
      <w:r>
        <w:rPr>
          <w:rStyle w:val="normaltextrun"/>
          <w:rtl w:val="0"/>
          <w:lang w:val="es-ES_tradnl"/>
        </w:rPr>
        <w:t>al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que los Estados Partes deber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an informar a cu</w:t>
      </w:r>
      <w:r>
        <w:rPr>
          <w:rStyle w:val="normaltextrun"/>
          <w:rtl w:val="0"/>
          <w:lang w:val="es-ES_tradnl"/>
        </w:rPr>
        <w:t>á</w:t>
      </w:r>
      <w:r>
        <w:rPr>
          <w:rStyle w:val="normaltextrun"/>
          <w:rtl w:val="0"/>
          <w:lang w:val="es-ES_tradnl"/>
        </w:rPr>
        <w:t>l o cu</w:t>
      </w:r>
      <w:r>
        <w:rPr>
          <w:rStyle w:val="normaltextrun"/>
          <w:rtl w:val="0"/>
          <w:lang w:val="es-ES_tradnl"/>
        </w:rPr>
        <w:t>á</w:t>
      </w:r>
      <w:r>
        <w:rPr>
          <w:rStyle w:val="normaltextrun"/>
          <w:rtl w:val="0"/>
          <w:lang w:val="es-ES_tradnl"/>
        </w:rPr>
        <w:t xml:space="preserve">les 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rganos del MERCOSUR se destinar</w:t>
      </w:r>
      <w:r>
        <w:rPr>
          <w:rStyle w:val="normaltextrun"/>
          <w:rtl w:val="0"/>
          <w:lang w:val="es-ES_tradnl"/>
        </w:rPr>
        <w:t>á</w:t>
      </w:r>
      <w:r>
        <w:rPr>
          <w:rStyle w:val="normaltextrun"/>
          <w:rtl w:val="0"/>
          <w:lang w:val="es-ES_tradnl"/>
        </w:rPr>
        <w:t>n los recursos disponibles en caja que le correspondan.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5.2 Posibilidades de cooperaci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 en materia contable con el IPPDDHH.</w:t>
      </w: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En consideraci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 xml:space="preserve">n a la sugerencia indicada en el punto III del 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 xml:space="preserve">tem G) </w:t>
      </w:r>
      <w:r>
        <w:rPr>
          <w:rStyle w:val="normaltextrun"/>
          <w:rtl w:val="0"/>
          <w:lang w:val="es-ES_tradnl"/>
        </w:rPr>
        <w:t>“</w:t>
      </w:r>
      <w:r>
        <w:rPr>
          <w:rStyle w:val="normaltextrun"/>
          <w:rtl w:val="0"/>
          <w:lang w:val="es-ES_tradnl"/>
        </w:rPr>
        <w:t>Recomendaciones</w:t>
      </w:r>
      <w:r>
        <w:rPr>
          <w:rStyle w:val="normaltextrun"/>
          <w:rtl w:val="0"/>
          <w:lang w:val="es-ES_tradnl"/>
        </w:rPr>
        <w:t xml:space="preserve">” </w:t>
      </w:r>
      <w:r>
        <w:rPr>
          <w:rStyle w:val="normaltextrun"/>
          <w:rtl w:val="0"/>
          <w:lang w:val="es-ES_tradnl"/>
        </w:rPr>
        <w:t>de la auditor</w:t>
      </w:r>
      <w:r>
        <w:rPr>
          <w:rStyle w:val="normaltextrun"/>
          <w:rtl w:val="0"/>
          <w:lang w:val="es-ES_tradnl"/>
        </w:rPr>
        <w:t>í</w:t>
      </w:r>
      <w:r>
        <w:rPr>
          <w:rStyle w:val="normaltextrun"/>
          <w:rtl w:val="0"/>
          <w:lang w:val="es-ES_tradnl"/>
        </w:rPr>
        <w:t>a de los estados contables correspondientes al ejercicio 2020 del IPPDDHH, relativo a la implementaci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de un sistema contable inform</w:t>
      </w:r>
      <w:r>
        <w:rPr>
          <w:rStyle w:val="normaltextrun"/>
          <w:rtl w:val="0"/>
          <w:lang w:val="es-ES_tradnl"/>
        </w:rPr>
        <w:t>á</w:t>
      </w:r>
      <w:r>
        <w:rPr>
          <w:rStyle w:val="normaltextrun"/>
          <w:rtl w:val="0"/>
          <w:lang w:val="es-ES_tradnl"/>
        </w:rPr>
        <w:t>tico, que reduzca los m</w:t>
      </w:r>
      <w:r>
        <w:rPr>
          <w:rStyle w:val="normaltextrun"/>
          <w:rtl w:val="0"/>
          <w:lang w:val="es-ES_tradnl"/>
        </w:rPr>
        <w:t>á</w:t>
      </w:r>
      <w:r>
        <w:rPr>
          <w:rStyle w:val="normaltextrun"/>
          <w:rtl w:val="0"/>
          <w:lang w:val="es-ES_tradnl"/>
        </w:rPr>
        <w:t>rgenes de error, el GAP sugiri</w:t>
      </w:r>
      <w:r>
        <w:rPr>
          <w:rStyle w:val="normaltextrun"/>
          <w:rtl w:val="0"/>
          <w:lang w:val="es-ES_tradnl"/>
        </w:rPr>
        <w:t xml:space="preserve">ó </w:t>
      </w:r>
      <w:r>
        <w:rPr>
          <w:rStyle w:val="normaltextrun"/>
          <w:rtl w:val="0"/>
          <w:lang w:val="es-ES_tradnl"/>
        </w:rPr>
        <w:t>al GMC que solicite a la SM explorar alternativas de cooperaci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en esa materia con el IPPDDHH.</w:t>
      </w:r>
    </w:p>
    <w:p>
      <w:pPr>
        <w:pStyle w:val="Normal (Web)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0" w:after="0"/>
        <w:jc w:val="both"/>
        <w:rPr>
          <w:rStyle w:val="normaltextrun"/>
          <w:shd w:val="clear" w:color="auto" w:fill="ffff00"/>
        </w:rPr>
      </w:pP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PR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XIMA REUNI</w:t>
      </w:r>
      <w:r>
        <w:rPr>
          <w:rStyle w:val="normaltextrun"/>
          <w:b w:val="1"/>
          <w:bCs w:val="1"/>
          <w:rtl w:val="0"/>
          <w:lang w:val="es-ES_tradnl"/>
        </w:rPr>
        <w:t>Ó</w:t>
      </w:r>
      <w:r>
        <w:rPr>
          <w:rStyle w:val="normaltextrun"/>
          <w:b w:val="1"/>
          <w:bCs w:val="1"/>
          <w:rtl w:val="0"/>
          <w:lang w:val="es-ES_tradnl"/>
        </w:rPr>
        <w:t>N</w:t>
      </w:r>
    </w:p>
    <w:p>
      <w:pPr>
        <w:pStyle w:val="header"/>
        <w:tabs>
          <w:tab w:val="right" w:pos="8478"/>
          <w:tab w:val="left" w:pos="8496"/>
          <w:tab w:val="left" w:pos="8520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right" w:pos="8478"/>
          <w:tab w:val="left" w:pos="8496"/>
          <w:tab w:val="left" w:pos="8520"/>
          <w:tab w:val="clear" w:pos="8504"/>
        </w:tabs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rtl w:val="0"/>
          <w:lang w:val="es-ES_tradnl"/>
        </w:rPr>
        <w:t>La pr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xima Reuni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Ordinaria del GAP ser</w:t>
      </w:r>
      <w:r>
        <w:rPr>
          <w:rStyle w:val="normaltextrun"/>
          <w:rtl w:val="0"/>
          <w:lang w:val="es-ES_tradnl"/>
        </w:rPr>
        <w:t xml:space="preserve">á </w:t>
      </w:r>
      <w:r>
        <w:rPr>
          <w:rStyle w:val="normaltextrun"/>
          <w:rtl w:val="0"/>
          <w:lang w:val="es-ES_tradnl"/>
        </w:rPr>
        <w:t>convocada oportunamente por la PPT.</w:t>
      </w:r>
    </w:p>
    <w:p>
      <w:pPr>
        <w:pStyle w:val="header"/>
        <w:tabs>
          <w:tab w:val="right" w:pos="8478"/>
          <w:tab w:val="left" w:pos="8496"/>
          <w:tab w:val="left" w:pos="8520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right" w:pos="8478"/>
          <w:tab w:val="left" w:pos="8496"/>
          <w:tab w:val="left" w:pos="8520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right" w:pos="8478"/>
          <w:tab w:val="left" w:pos="8496"/>
          <w:tab w:val="left" w:pos="8520"/>
          <w:tab w:val="clear" w:pos="8504"/>
        </w:tabs>
        <w:jc w:val="both"/>
        <w:rPr>
          <w:rStyle w:val="normaltextrun"/>
          <w:b w:val="1"/>
          <w:bCs w:val="1"/>
          <w:lang w:val="es-ES_tradnl"/>
        </w:rPr>
      </w:pPr>
      <w:r>
        <w:rPr>
          <w:rStyle w:val="normaltextrun"/>
          <w:b w:val="1"/>
          <w:bCs w:val="1"/>
          <w:rtl w:val="0"/>
          <w:lang w:val="es-ES_tradnl"/>
        </w:rPr>
        <w:t>ANEXOS:</w:t>
      </w:r>
    </w:p>
    <w:p>
      <w:pPr>
        <w:pStyle w:val="header"/>
        <w:tabs>
          <w:tab w:val="right" w:pos="8478"/>
          <w:tab w:val="left" w:pos="8496"/>
          <w:tab w:val="left" w:pos="8520"/>
          <w:tab w:val="clear" w:pos="8504"/>
        </w:tabs>
        <w:jc w:val="both"/>
        <w:rPr>
          <w:b w:val="1"/>
          <w:bCs w:val="1"/>
          <w:lang w:val="es-ES_tradnl"/>
        </w:rPr>
      </w:pPr>
    </w:p>
    <w:p>
      <w:pPr>
        <w:pStyle w:val="header"/>
        <w:tabs>
          <w:tab w:val="right" w:pos="8478"/>
          <w:tab w:val="left" w:pos="8496"/>
          <w:tab w:val="left" w:pos="8520"/>
          <w:tab w:val="clear" w:pos="8504"/>
        </w:tabs>
        <w:jc w:val="both"/>
        <w:rPr>
          <w:rStyle w:val="normaltextrun"/>
          <w:lang w:val="es-ES_tradnl"/>
        </w:rPr>
      </w:pPr>
      <w:r>
        <w:rPr>
          <w:rStyle w:val="normaltextrun"/>
          <w:rtl w:val="0"/>
          <w:lang w:val="es-ES_tradnl"/>
        </w:rPr>
        <w:t>Los Anexos que forman parte de la presente Acta son los siguientes:</w:t>
      </w:r>
    </w:p>
    <w:p>
      <w:pPr>
        <w:pStyle w:val="header"/>
        <w:tabs>
          <w:tab w:val="center" w:pos="4819"/>
          <w:tab w:val="right" w:pos="8478"/>
          <w:tab w:val="left" w:pos="8496"/>
          <w:tab w:val="left" w:pos="8520"/>
          <w:tab w:val="clear" w:pos="4252"/>
          <w:tab w:val="clear" w:pos="8504"/>
        </w:tabs>
        <w:jc w:val="both"/>
        <w:rPr>
          <w:rStyle w:val="normaltextrun"/>
          <w:color w:val="ff0000"/>
          <w:u w:color="ff0000"/>
          <w:lang w:val="es-ES_tradnl"/>
        </w:rPr>
      </w:pPr>
    </w:p>
    <w:tbl>
      <w:tblPr>
        <w:tblW w:w="8820" w:type="dxa"/>
        <w:jc w:val="left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0"/>
        <w:gridCol w:w="7210"/>
      </w:tblGrid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144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b w:val="1"/>
                <w:bCs w:val="1"/>
                <w:rtl w:val="0"/>
                <w:lang w:val="pt-PT"/>
              </w:rPr>
              <w:t>Anexo I</w:t>
            </w:r>
          </w:p>
        </w:tc>
        <w:tc>
          <w:tcPr>
            <w:tcW w:type="dxa" w:w="7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rtl w:val="0"/>
                <w:lang w:val="es-ES_tradnl"/>
              </w:rPr>
              <w:t>Lista de Participantes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144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Anexo II</w:t>
            </w:r>
          </w:p>
        </w:tc>
        <w:tc>
          <w:tcPr>
            <w:tcW w:type="dxa" w:w="7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rtl w:val="0"/>
                <w:lang w:val="es-ES_tradnl"/>
              </w:rPr>
              <w:t>Agenda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144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Anexo III</w:t>
            </w:r>
          </w:p>
        </w:tc>
        <w:tc>
          <w:tcPr>
            <w:tcW w:type="dxa" w:w="7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rtl w:val="0"/>
                <w:lang w:val="es-ES_tradnl"/>
              </w:rPr>
              <w:t>Resumen del Acta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708"/>
                <w:tab w:val="left" w:pos="1416"/>
                <w:tab w:val="left" w:pos="1440"/>
              </w:tabs>
              <w:spacing w:line="276" w:lineRule="auto"/>
              <w:jc w:val="both"/>
            </w:pPr>
            <w:r>
              <w:rPr>
                <w:rStyle w:val="normaltextrun"/>
                <w:rFonts w:ascii="Arial" w:hAnsi="Arial"/>
                <w:b w:val="1"/>
                <w:bCs w:val="1"/>
                <w:rtl w:val="0"/>
                <w:lang w:val="en-US"/>
              </w:rPr>
              <w:t>Anexo IV</w:t>
            </w:r>
          </w:p>
        </w:tc>
        <w:tc>
          <w:tcPr>
            <w:tcW w:type="dxa" w:w="7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</w:tabs>
              <w:spacing w:line="276" w:lineRule="auto"/>
              <w:jc w:val="both"/>
            </w:pPr>
            <w:r>
              <w:rPr>
                <w:rStyle w:val="normaltextrun"/>
                <w:rFonts w:ascii="Arial" w:hAnsi="Arial"/>
                <w:rtl w:val="0"/>
                <w:lang w:val="es-ES_tradnl"/>
              </w:rPr>
              <w:t>Informe de Auditor</w:t>
            </w:r>
            <w:r>
              <w:rPr>
                <w:rStyle w:val="normaltextrun"/>
                <w:rFonts w:ascii="Arial" w:hAnsi="Arial" w:hint="default"/>
                <w:rtl w:val="0"/>
                <w:lang w:val="es-ES_tradnl"/>
              </w:rPr>
              <w:t>í</w:t>
            </w:r>
            <w:r>
              <w:rPr>
                <w:rStyle w:val="normaltextrun"/>
                <w:rFonts w:ascii="Arial" w:hAnsi="Arial"/>
                <w:rtl w:val="0"/>
                <w:lang w:val="es-ES_tradnl"/>
              </w:rPr>
              <w:t>a de la SM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144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Anexo V</w:t>
            </w:r>
          </w:p>
        </w:tc>
        <w:tc>
          <w:tcPr>
            <w:tcW w:type="dxa" w:w="7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rtl w:val="0"/>
                <w:lang w:val="es-ES_tradnl"/>
              </w:rPr>
              <w:t xml:space="preserve">Informe y ejecuciones presupuestarias de la SM 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144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Anexo VI</w:t>
            </w:r>
          </w:p>
        </w:tc>
        <w:tc>
          <w:tcPr>
            <w:tcW w:type="dxa" w:w="7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rtl w:val="0"/>
                <w:lang w:val="es-ES_tradnl"/>
              </w:rPr>
              <w:t>Informe de Auditor</w:t>
            </w:r>
            <w:r>
              <w:rPr>
                <w:rStyle w:val="normaltextrun"/>
                <w:rtl w:val="0"/>
                <w:lang w:val="es-ES_tradnl"/>
              </w:rPr>
              <w:t>í</w:t>
            </w:r>
            <w:r>
              <w:rPr>
                <w:rStyle w:val="normaltextrun"/>
                <w:rtl w:val="0"/>
                <w:lang w:val="es-ES_tradnl"/>
              </w:rPr>
              <w:t>a de la ST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144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Anexo VII</w:t>
            </w:r>
          </w:p>
        </w:tc>
        <w:tc>
          <w:tcPr>
            <w:tcW w:type="dxa" w:w="7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rtl w:val="0"/>
                <w:lang w:val="es-ES_tradnl"/>
              </w:rPr>
              <w:t>Ejecuciones presupuestarias de la ST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144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Anexo VIII</w:t>
            </w:r>
          </w:p>
        </w:tc>
        <w:tc>
          <w:tcPr>
            <w:tcW w:type="dxa" w:w="7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rtl w:val="0"/>
                <w:lang w:val="es-ES_tradnl"/>
              </w:rPr>
              <w:t>Informe de Auditor</w:t>
            </w:r>
            <w:r>
              <w:rPr>
                <w:rStyle w:val="normaltextrun"/>
                <w:rtl w:val="0"/>
                <w:lang w:val="es-ES_tradnl"/>
              </w:rPr>
              <w:t>í</w:t>
            </w:r>
            <w:r>
              <w:rPr>
                <w:rStyle w:val="normaltextrun"/>
                <w:rtl w:val="0"/>
                <w:lang w:val="es-ES_tradnl"/>
              </w:rPr>
              <w:t>a del ISM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144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Anexo IX</w:t>
            </w:r>
          </w:p>
        </w:tc>
        <w:tc>
          <w:tcPr>
            <w:tcW w:type="dxa" w:w="7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rtl w:val="0"/>
                <w:lang w:val="es-ES_tradnl"/>
              </w:rPr>
              <w:t>Ejecuciones presupuestarias del ISM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708"/>
                <w:tab w:val="left" w:pos="1416"/>
                <w:tab w:val="left" w:pos="1440"/>
              </w:tabs>
              <w:spacing w:line="276" w:lineRule="auto"/>
              <w:jc w:val="both"/>
            </w:pPr>
            <w:r>
              <w:rPr>
                <w:rStyle w:val="normaltextrun"/>
                <w:rFonts w:ascii="Arial" w:hAnsi="Arial"/>
                <w:b w:val="1"/>
                <w:bCs w:val="1"/>
                <w:rtl w:val="0"/>
                <w:lang w:val="en-US"/>
              </w:rPr>
              <w:t>Anexo X</w:t>
            </w:r>
          </w:p>
        </w:tc>
        <w:tc>
          <w:tcPr>
            <w:tcW w:type="dxa" w:w="7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</w:tabs>
              <w:spacing w:line="276" w:lineRule="auto"/>
              <w:jc w:val="both"/>
            </w:pPr>
            <w:r>
              <w:rPr>
                <w:rStyle w:val="normaltextrun"/>
                <w:rFonts w:ascii="Arial" w:hAnsi="Arial"/>
                <w:rtl w:val="0"/>
                <w:lang w:val="es-ES_tradnl"/>
              </w:rPr>
              <w:t>Informes de Auditor</w:t>
            </w:r>
            <w:r>
              <w:rPr>
                <w:rStyle w:val="normaltextrun"/>
                <w:rFonts w:ascii="Arial" w:hAnsi="Arial" w:hint="default"/>
                <w:rtl w:val="0"/>
                <w:lang w:val="es-ES_tradnl"/>
              </w:rPr>
              <w:t>í</w:t>
            </w:r>
            <w:r>
              <w:rPr>
                <w:rStyle w:val="normaltextrun"/>
                <w:rFonts w:ascii="Arial" w:hAnsi="Arial"/>
                <w:rtl w:val="0"/>
                <w:lang w:val="es-ES_tradnl"/>
              </w:rPr>
              <w:t>a del IPPDDHH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144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Anexo XI</w:t>
            </w:r>
          </w:p>
        </w:tc>
        <w:tc>
          <w:tcPr>
            <w:tcW w:type="dxa" w:w="7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Style w:val="normaltextrun"/>
                <w:rtl w:val="0"/>
                <w:lang w:val="es-ES_tradnl"/>
              </w:rPr>
              <w:t xml:space="preserve">Informe y ejecuciones presupuestarias del IPPDDHH </w:t>
            </w:r>
          </w:p>
        </w:tc>
      </w:tr>
    </w:tbl>
    <w:p>
      <w:pPr>
        <w:pStyle w:val="header"/>
        <w:widowControl w:val="0"/>
        <w:tabs>
          <w:tab w:val="center" w:pos="4819"/>
          <w:tab w:val="right" w:pos="8478"/>
          <w:tab w:val="left" w:pos="8496"/>
          <w:tab w:val="left" w:pos="8520"/>
          <w:tab w:val="clear" w:pos="4252"/>
          <w:tab w:val="clear" w:pos="8504"/>
        </w:tabs>
        <w:ind w:left="972" w:hanging="972"/>
        <w:rPr>
          <w:rStyle w:val="normaltextrun"/>
          <w:color w:val="ff0000"/>
          <w:u w:color="ff0000"/>
          <w:lang w:val="es-ES_tradnl"/>
        </w:rPr>
      </w:pPr>
    </w:p>
    <w:p>
      <w:pPr>
        <w:pStyle w:val="header"/>
        <w:widowControl w:val="0"/>
        <w:tabs>
          <w:tab w:val="center" w:pos="4819"/>
          <w:tab w:val="right" w:pos="8478"/>
          <w:tab w:val="left" w:pos="8496"/>
          <w:tab w:val="left" w:pos="8520"/>
          <w:tab w:val="clear" w:pos="4252"/>
          <w:tab w:val="clear" w:pos="8504"/>
        </w:tabs>
        <w:ind w:left="864" w:hanging="864"/>
        <w:rPr>
          <w:rStyle w:val="normaltextrun"/>
          <w:color w:val="ff0000"/>
          <w:u w:color="ff0000"/>
          <w:lang w:val="es-ES_tradnl"/>
        </w:rPr>
      </w:pPr>
    </w:p>
    <w:p>
      <w:pPr>
        <w:pStyle w:val="header"/>
        <w:widowControl w:val="0"/>
        <w:tabs>
          <w:tab w:val="center" w:pos="4819"/>
          <w:tab w:val="right" w:pos="8478"/>
          <w:tab w:val="left" w:pos="8496"/>
          <w:tab w:val="left" w:pos="8520"/>
          <w:tab w:val="clear" w:pos="4252"/>
          <w:tab w:val="clear" w:pos="8504"/>
        </w:tabs>
        <w:ind w:left="756" w:hanging="756"/>
        <w:jc w:val="both"/>
        <w:rPr>
          <w:rStyle w:val="normaltextrun"/>
          <w:color w:val="ff0000"/>
          <w:u w:color="ff0000"/>
          <w:lang w:val="es-ES_tradnl"/>
        </w:rPr>
      </w:pPr>
    </w:p>
    <w:p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jc w:val="both"/>
        <w:rPr>
          <w:lang w:val="es-ES_tradnl"/>
        </w:rPr>
      </w:pPr>
    </w:p>
    <w:tbl>
      <w:tblPr>
        <w:tblW w:w="9092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0"/>
        <w:gridCol w:w="4412"/>
      </w:tblGrid>
      <w:tr>
        <w:tblPrEx>
          <w:shd w:val="clear" w:color="auto" w:fill="ced7e7"/>
        </w:tblPrEx>
        <w:trPr>
          <w:trHeight w:val="30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bidi w:val="0"/>
              <w:ind w:left="0" w:right="0" w:firstLine="0"/>
              <w:jc w:val="center"/>
              <w:rPr>
                <w:rStyle w:val="normaltextrun"/>
                <w:b w:val="1"/>
                <w:bCs w:val="1"/>
                <w:rtl w:val="0"/>
              </w:rPr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______________________________</w:t>
            </w:r>
          </w:p>
          <w:p>
            <w:pPr>
              <w:pStyle w:val="header"/>
              <w:keepNext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  <w:tab w:val="clear" w:pos="4252"/>
                <w:tab w:val="clear" w:pos="8504"/>
              </w:tabs>
              <w:jc w:val="center"/>
              <w:outlineLvl w:val="0"/>
              <w:rPr>
                <w:rStyle w:val="normaltextrun"/>
              </w:rPr>
            </w:pPr>
            <w:r>
              <w:rPr>
                <w:rStyle w:val="normaltextrun"/>
                <w:rtl w:val="0"/>
                <w:lang w:val="es-ES_tradnl"/>
              </w:rPr>
              <w:t>Por la Delegaci</w:t>
            </w:r>
            <w:r>
              <w:rPr>
                <w:rStyle w:val="normaltextrun"/>
                <w:rtl w:val="0"/>
                <w:lang w:val="es-ES_tradnl"/>
              </w:rPr>
              <w:t>ó</w:t>
            </w:r>
            <w:r>
              <w:rPr>
                <w:rStyle w:val="normaltextrun"/>
                <w:rtl w:val="0"/>
                <w:lang w:val="es-ES_tradnl"/>
              </w:rPr>
              <w:t>n de Argentina</w:t>
            </w:r>
          </w:p>
          <w:p>
            <w:pPr>
              <w:pStyle w:val="header"/>
              <w:tabs>
                <w:tab w:val="left" w:pos="3015"/>
                <w:tab w:val="left" w:pos="3540"/>
                <w:tab w:val="left" w:pos="4248"/>
                <w:tab w:val="left" w:pos="4320"/>
                <w:tab w:val="clear" w:pos="4252"/>
                <w:tab w:val="clear" w:pos="8504"/>
              </w:tabs>
              <w:jc w:val="center"/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Sergio Iaciuk</w:t>
            </w:r>
          </w:p>
        </w:tc>
        <w:tc>
          <w:tcPr>
            <w:tcW w:type="dxa" w:w="4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bidi w:val="0"/>
              <w:ind w:left="0" w:right="0" w:firstLine="0"/>
              <w:jc w:val="center"/>
              <w:rPr>
                <w:rStyle w:val="normaltextrun"/>
                <w:b w:val="1"/>
                <w:bCs w:val="1"/>
                <w:rtl w:val="0"/>
              </w:rPr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____________________________</w:t>
            </w:r>
          </w:p>
          <w:p>
            <w:pPr>
              <w:pStyle w:val="head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  <w:tab w:val="clear" w:pos="4252"/>
                <w:tab w:val="clear" w:pos="8504"/>
              </w:tabs>
              <w:jc w:val="center"/>
              <w:rPr>
                <w:rStyle w:val="normaltextrun"/>
              </w:rPr>
            </w:pPr>
            <w:r>
              <w:rPr>
                <w:rStyle w:val="normaltextrun"/>
                <w:rtl w:val="0"/>
                <w:lang w:val="es-ES_tradnl"/>
              </w:rPr>
              <w:t>Por la Delegaci</w:t>
            </w:r>
            <w:r>
              <w:rPr>
                <w:rStyle w:val="normaltextrun"/>
                <w:rtl w:val="0"/>
                <w:lang w:val="es-ES_tradnl"/>
              </w:rPr>
              <w:t>ó</w:t>
            </w:r>
            <w:r>
              <w:rPr>
                <w:rStyle w:val="normaltextrun"/>
                <w:rtl w:val="0"/>
                <w:lang w:val="es-ES_tradnl"/>
              </w:rPr>
              <w:t>n de Brasil</w:t>
            </w: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Riane La</w:t>
            </w: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 xml:space="preserve">s Tarnovski </w:t>
            </w:r>
          </w:p>
        </w:tc>
      </w:tr>
      <w:tr>
        <w:tblPrEx>
          <w:shd w:val="clear" w:color="auto" w:fill="ced7e7"/>
        </w:tblPrEx>
        <w:trPr>
          <w:trHeight w:val="251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bidi w:val="0"/>
              <w:ind w:left="0" w:right="0" w:firstLine="0"/>
              <w:jc w:val="center"/>
              <w:rPr>
                <w:rStyle w:val="normaltextrun"/>
                <w:b w:val="1"/>
                <w:bCs w:val="1"/>
                <w:rtl w:val="0"/>
              </w:rPr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______________________________</w:t>
            </w:r>
          </w:p>
          <w:p>
            <w:pPr>
              <w:pStyle w:val="head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  <w:tab w:val="clear" w:pos="4252"/>
                <w:tab w:val="clear" w:pos="8504"/>
              </w:tabs>
              <w:jc w:val="center"/>
              <w:rPr>
                <w:rStyle w:val="normaltextrun"/>
              </w:rPr>
            </w:pPr>
            <w:r>
              <w:rPr>
                <w:rStyle w:val="normaltextrun"/>
                <w:rtl w:val="0"/>
                <w:lang w:val="es-ES_tradnl"/>
              </w:rPr>
              <w:t>Por la Delegaci</w:t>
            </w:r>
            <w:r>
              <w:rPr>
                <w:rStyle w:val="normaltextrun"/>
                <w:rtl w:val="0"/>
                <w:lang w:val="es-ES_tradnl"/>
              </w:rPr>
              <w:t>ó</w:t>
            </w:r>
            <w:r>
              <w:rPr>
                <w:rStyle w:val="normaltextrun"/>
                <w:rtl w:val="0"/>
                <w:lang w:val="es-ES_tradnl"/>
              </w:rPr>
              <w:t>n de Paraguay</w:t>
            </w: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Jos</w:t>
            </w: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 xml:space="preserve">é </w:t>
            </w: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Giret</w:t>
            </w:r>
          </w:p>
        </w:tc>
        <w:tc>
          <w:tcPr>
            <w:tcW w:type="dxa" w:w="4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jc w:val="center"/>
              <w:rPr>
                <w:rStyle w:val="normaltextrun"/>
                <w:b w:val="1"/>
                <w:bCs w:val="1"/>
                <w:lang w:val="es-ES_tradnl"/>
              </w:rPr>
            </w:pPr>
          </w:p>
          <w:p>
            <w:pPr>
              <w:pStyle w:val="header"/>
              <w:tabs>
                <w:tab w:val="left" w:pos="1418"/>
                <w:tab w:val="right" w:pos="8478"/>
                <w:tab w:val="clear" w:pos="8504"/>
              </w:tabs>
              <w:bidi w:val="0"/>
              <w:ind w:left="0" w:right="0" w:firstLine="0"/>
              <w:jc w:val="center"/>
              <w:rPr>
                <w:rStyle w:val="normaltextrun"/>
                <w:b w:val="1"/>
                <w:bCs w:val="1"/>
                <w:rtl w:val="0"/>
              </w:rPr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____________________________</w:t>
            </w:r>
          </w:p>
          <w:p>
            <w:pPr>
              <w:pStyle w:val="head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  <w:tab w:val="clear" w:pos="4252"/>
                <w:tab w:val="clear" w:pos="8504"/>
              </w:tabs>
              <w:jc w:val="center"/>
              <w:rPr>
                <w:rStyle w:val="normaltextrun"/>
              </w:rPr>
            </w:pPr>
            <w:r>
              <w:rPr>
                <w:rStyle w:val="normaltextrun"/>
                <w:rtl w:val="0"/>
                <w:lang w:val="es-ES_tradnl"/>
              </w:rPr>
              <w:t>Por la Delegaci</w:t>
            </w:r>
            <w:r>
              <w:rPr>
                <w:rStyle w:val="normaltextrun"/>
                <w:rtl w:val="0"/>
                <w:lang w:val="es-ES_tradnl"/>
              </w:rPr>
              <w:t>ó</w:t>
            </w:r>
            <w:r>
              <w:rPr>
                <w:rStyle w:val="normaltextrun"/>
                <w:rtl w:val="0"/>
                <w:lang w:val="es-ES_tradnl"/>
              </w:rPr>
              <w:t>n de Uruguay</w:t>
            </w:r>
          </w:p>
          <w:p>
            <w:pPr>
              <w:pStyle w:val="head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  <w:tab w:val="clear" w:pos="4252"/>
                <w:tab w:val="clear" w:pos="8504"/>
              </w:tabs>
              <w:jc w:val="center"/>
            </w:pPr>
            <w:r>
              <w:rPr>
                <w:rStyle w:val="normaltextrun"/>
                <w:b w:val="1"/>
                <w:bCs w:val="1"/>
                <w:rtl w:val="0"/>
                <w:lang w:val="es-ES_tradnl"/>
              </w:rPr>
              <w:t>Ernesto Messano</w:t>
            </w:r>
          </w:p>
        </w:tc>
      </w:tr>
    </w:tbl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864" w:hanging="864"/>
        <w:rPr>
          <w:lang w:val="es-ES_tradnl"/>
        </w:rPr>
      </w:pP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756" w:hanging="756"/>
        <w:rPr>
          <w:lang w:val="es-ES_tradnl"/>
        </w:rPr>
      </w:pP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648" w:hanging="648"/>
        <w:jc w:val="both"/>
        <w:rPr>
          <w:lang w:val="es-ES_tradnl"/>
        </w:rPr>
      </w:pP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540" w:hanging="540"/>
        <w:jc w:val="both"/>
        <w:rPr>
          <w:lang w:val="es-ES_tradnl"/>
        </w:rPr>
      </w:pP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432" w:hanging="432"/>
        <w:rPr>
          <w:lang w:val="es-ES_tradnl"/>
        </w:rPr>
      </w:pP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324" w:hanging="324"/>
        <w:rPr>
          <w:lang w:val="es-ES_tradnl"/>
        </w:rPr>
      </w:pPr>
    </w:p>
    <w:p>
      <w:pPr>
        <w:pStyle w:val="header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  <w:tab w:val="clear" w:pos="4252"/>
          <w:tab w:val="clear" w:pos="8504"/>
        </w:tabs>
        <w:ind w:left="216" w:hanging="216"/>
        <w:rPr>
          <w:lang w:val="es-ES_tradnl"/>
        </w:rPr>
      </w:pPr>
    </w:p>
    <w:p>
      <w:pPr>
        <w:pStyle w:val="Body A"/>
        <w:widowControl w:val="0"/>
        <w:rPr>
          <w:lang w:val="es-ES_tradnl"/>
        </w:rPr>
      </w:pPr>
    </w:p>
    <w:p>
      <w:pPr>
        <w:pStyle w:val="Body A"/>
        <w:widowControl w:val="0"/>
        <w:rPr>
          <w:lang w:val="es-ES_tradnl"/>
        </w:rPr>
      </w:pPr>
    </w:p>
    <w:tbl>
      <w:tblPr>
        <w:tblW w:w="872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0"/>
        <w:gridCol w:w="436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648" w:hanging="648"/>
      </w:pPr>
      <w:r>
        <w:rPr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1417" w:right="1440" w:bottom="1417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widowControl w:val="0"/>
      <w:tabs>
        <w:tab w:val="center" w:pos="4252"/>
        <w:tab w:val="right" w:pos="847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1081086</wp:posOffset>
          </wp:positionH>
          <wp:positionV relativeFrom="page">
            <wp:posOffset>3367087</wp:posOffset>
          </wp:positionV>
          <wp:extent cx="5398135" cy="395795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135" cy="39579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ormaltextrun"/>
        <w:lang w:val="en-US"/>
      </w:rPr>
      <w:drawing>
        <wp:inline distT="0" distB="0" distL="0" distR="0">
          <wp:extent cx="1250950" cy="819150"/>
          <wp:effectExtent l="0" t="0" r="0" b="0"/>
          <wp:docPr id="1073741825" name="officeArt object" descr="C:\Users\anabe_000.ANABELLA\Downloads\Logos MERCOSUR_ES\CMYK\Estandar_MERCOSUR 2019_JPEG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C:\Users\anabe_000.ANABELLA\Downloads\Logos MERCOSUR_ES\CMYK\Estandar_MERCOSUR 2019_JPEG_CMYK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ormaltextrun"/>
        <w:rtl w:val="0"/>
        <w:lang w:val="es-ES_tradnl"/>
      </w:rPr>
      <w:tab/>
      <w:t xml:space="preserve">                    </w:t>
    </w:r>
    <w:r>
      <w:rPr>
        <w:rStyle w:val="normaltextrun"/>
        <w:rtl w:val="0"/>
        <w:lang w:val="de-DE"/>
      </w:rPr>
      <w:t xml:space="preserve">                            </w:t>
    </w:r>
    <w:r>
      <w:rPr>
        <w:rStyle w:val="normaltextrun"/>
        <w:rtl w:val="0"/>
        <w:lang w:val="es-ES_tradnl"/>
      </w:rPr>
      <w:t xml:space="preserve">                    </w:t>
    </w:r>
    <w:r>
      <w:rPr>
        <w:rStyle w:val="normaltextrun"/>
        <w:lang w:val="en-US"/>
      </w:rPr>
      <w:drawing>
        <wp:inline distT="0" distB="0" distL="0" distR="0">
          <wp:extent cx="1282700" cy="838200"/>
          <wp:effectExtent l="0" t="0" r="0" b="0"/>
          <wp:docPr id="1073741826" name="officeArt object" descr="C:\Users\anabe_000.ANABELLA\Downloads\Logos MERCOSUL_PT\CMYK\Padrao-MERCOSUL 2019_JPEG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jpeg" descr="C:\Users\anabe_000.ANABELLA\Downloads\Logos MERCOSUL_PT\CMYK\Padrao-MERCOSUL 2019_JPEG_CMYK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50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708" w:hanging="2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1366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1416" w:hanging="1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2124" w:hanging="5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2124" w:hanging="1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2832" w:hanging="5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2832" w:hanging="1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3540" w:hanging="5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444" w:hanging="4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708"/>
          <w:tab w:val="num" w:pos="1224"/>
          <w:tab w:val="left" w:pos="1416"/>
          <w:tab w:val="left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1308" w:hanging="5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15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2208" w:hanging="7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2208" w:hanging="4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2916" w:hanging="7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291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3624" w:hanging="7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center" w:pos="425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right" w:pos="8504"/>
            <w:tab w:val="left" w:pos="8520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center" w:pos="425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right" w:pos="8504"/>
            <w:tab w:val="left" w:pos="8520"/>
          </w:tabs>
          <w:ind w:left="792" w:hanging="4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708"/>
            <w:tab w:val="num" w:pos="1224"/>
            <w:tab w:val="left" w:pos="1416"/>
            <w:tab w:val="left" w:pos="2124"/>
            <w:tab w:val="left" w:pos="2832"/>
            <w:tab w:val="left" w:pos="3540"/>
            <w:tab w:val="left" w:pos="4248"/>
            <w:tab w:val="center" w:pos="425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right" w:pos="8504"/>
            <w:tab w:val="left" w:pos="8520"/>
          </w:tabs>
          <w:ind w:left="1308" w:hanging="5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center" w:pos="425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right" w:pos="8504"/>
            <w:tab w:val="left" w:pos="8520"/>
          </w:tabs>
          <w:ind w:left="1500" w:hanging="4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center" w:pos="425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right" w:pos="8504"/>
            <w:tab w:val="left" w:pos="8520"/>
          </w:tabs>
          <w:ind w:left="2208" w:hanging="7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center" w:pos="425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right" w:pos="8504"/>
            <w:tab w:val="left" w:pos="8520"/>
          </w:tabs>
          <w:ind w:left="2208" w:hanging="4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center" w:pos="425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right" w:pos="8504"/>
            <w:tab w:val="left" w:pos="8520"/>
          </w:tabs>
          <w:ind w:left="2916" w:hanging="75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center" w:pos="425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right" w:pos="8504"/>
            <w:tab w:val="left" w:pos="8520"/>
          </w:tabs>
          <w:ind w:left="291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center" w:pos="425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right" w:pos="8504"/>
            <w:tab w:val="left" w:pos="8520"/>
          </w:tabs>
          <w:ind w:left="3624" w:hanging="7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rmaltextrun">
    <w:name w:val="normaltextrun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