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9C5D" w14:textId="77777777" w:rsidR="00150A2B" w:rsidRDefault="004B77E4">
      <w:pPr>
        <w:pBdr>
          <w:top w:val="nil"/>
          <w:left w:val="nil"/>
          <w:bottom w:val="nil"/>
          <w:right w:val="nil"/>
          <w:between w:val="nil"/>
        </w:pBdr>
        <w:spacing w:after="0" w:line="240" w:lineRule="auto"/>
        <w:rPr>
          <w:rFonts w:ascii="Arial" w:eastAsia="Arial" w:hAnsi="Arial" w:cs="Arial"/>
          <w:color w:val="000000"/>
          <w:sz w:val="24"/>
          <w:szCs w:val="24"/>
        </w:rPr>
      </w:pPr>
      <w:bookmarkStart w:id="0" w:name="_heading=h.gjdgxs" w:colFirst="0" w:colLast="0"/>
      <w:bookmarkEnd w:id="0"/>
      <w:r>
        <w:rPr>
          <w:rFonts w:ascii="Arial" w:eastAsia="Arial" w:hAnsi="Arial" w:cs="Arial"/>
          <w:noProof/>
          <w:color w:val="000000"/>
          <w:sz w:val="24"/>
          <w:szCs w:val="24"/>
          <w:lang w:val="es-UY"/>
        </w:rPr>
        <w:drawing>
          <wp:inline distT="0" distB="0" distL="0" distR="0" wp14:anchorId="33A26C7A" wp14:editId="79286354">
            <wp:extent cx="1231265" cy="9144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31265" cy="914400"/>
                    </a:xfrm>
                    <a:prstGeom prst="rect">
                      <a:avLst/>
                    </a:prstGeom>
                    <a:ln/>
                  </pic:spPr>
                </pic:pic>
              </a:graphicData>
            </a:graphic>
          </wp:inline>
        </w:drawing>
      </w:r>
      <w:r>
        <w:rPr>
          <w:rFonts w:ascii="Arial" w:eastAsia="Arial" w:hAnsi="Arial" w:cs="Arial"/>
          <w:color w:val="000000"/>
          <w:sz w:val="24"/>
          <w:szCs w:val="24"/>
        </w:rPr>
        <w:t xml:space="preserve">                                                                        </w:t>
      </w:r>
      <w:r>
        <w:rPr>
          <w:rFonts w:ascii="Arial" w:eastAsia="Arial" w:hAnsi="Arial" w:cs="Arial"/>
          <w:noProof/>
          <w:color w:val="000000"/>
          <w:sz w:val="24"/>
          <w:szCs w:val="24"/>
          <w:lang w:val="es-UY"/>
        </w:rPr>
        <w:drawing>
          <wp:inline distT="0" distB="0" distL="0" distR="0" wp14:anchorId="1D7773A5" wp14:editId="0A9C4A99">
            <wp:extent cx="1256030" cy="9144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56030" cy="914400"/>
                    </a:xfrm>
                    <a:prstGeom prst="rect">
                      <a:avLst/>
                    </a:prstGeom>
                    <a:ln/>
                  </pic:spPr>
                </pic:pic>
              </a:graphicData>
            </a:graphic>
          </wp:inline>
        </w:drawing>
      </w:r>
    </w:p>
    <w:p w14:paraId="644B7A45" w14:textId="77777777" w:rsidR="00150A2B" w:rsidRDefault="00150A2B">
      <w:pPr>
        <w:spacing w:after="0" w:line="240" w:lineRule="auto"/>
        <w:jc w:val="both"/>
        <w:rPr>
          <w:rFonts w:ascii="Arial" w:eastAsia="Arial" w:hAnsi="Arial" w:cs="Arial"/>
          <w:b/>
          <w:sz w:val="24"/>
          <w:szCs w:val="24"/>
        </w:rPr>
      </w:pPr>
    </w:p>
    <w:p w14:paraId="3E9E84C7" w14:textId="77777777" w:rsidR="00150A2B" w:rsidRDefault="00150A2B">
      <w:pPr>
        <w:keepNext/>
        <w:spacing w:after="0" w:line="240" w:lineRule="auto"/>
        <w:jc w:val="both"/>
        <w:rPr>
          <w:rFonts w:ascii="Arial" w:eastAsia="Arial" w:hAnsi="Arial" w:cs="Arial"/>
          <w:b/>
          <w:sz w:val="24"/>
          <w:szCs w:val="24"/>
        </w:rPr>
      </w:pPr>
    </w:p>
    <w:p w14:paraId="6258ACB8" w14:textId="77777777" w:rsidR="00150A2B" w:rsidRDefault="004B77E4">
      <w:pPr>
        <w:keepNext/>
        <w:spacing w:after="0" w:line="240" w:lineRule="auto"/>
        <w:jc w:val="both"/>
        <w:rPr>
          <w:rFonts w:ascii="Arial" w:eastAsia="Arial" w:hAnsi="Arial" w:cs="Arial"/>
          <w:b/>
          <w:sz w:val="24"/>
          <w:szCs w:val="24"/>
        </w:rPr>
      </w:pPr>
      <w:r>
        <w:rPr>
          <w:rFonts w:ascii="Arial" w:eastAsia="Arial" w:hAnsi="Arial" w:cs="Arial"/>
          <w:b/>
          <w:sz w:val="24"/>
          <w:szCs w:val="24"/>
        </w:rPr>
        <w:t xml:space="preserve">MERCOSUR/RMS/ACTA </w:t>
      </w:r>
      <w:proofErr w:type="spellStart"/>
      <w:r>
        <w:rPr>
          <w:rFonts w:ascii="Arial" w:eastAsia="Arial" w:hAnsi="Arial" w:cs="Arial"/>
          <w:b/>
          <w:sz w:val="24"/>
          <w:szCs w:val="24"/>
        </w:rPr>
        <w:t>Nº</w:t>
      </w:r>
      <w:proofErr w:type="spellEnd"/>
      <w:r>
        <w:rPr>
          <w:rFonts w:ascii="Arial" w:eastAsia="Arial" w:hAnsi="Arial" w:cs="Arial"/>
          <w:b/>
          <w:sz w:val="24"/>
          <w:szCs w:val="24"/>
        </w:rPr>
        <w:t xml:space="preserve"> 02/20</w:t>
      </w:r>
    </w:p>
    <w:p w14:paraId="7EE6F44B" w14:textId="77777777" w:rsidR="00150A2B" w:rsidRDefault="00150A2B">
      <w:pPr>
        <w:spacing w:after="0" w:line="240" w:lineRule="auto"/>
        <w:jc w:val="both"/>
        <w:rPr>
          <w:rFonts w:ascii="Arial" w:eastAsia="Arial" w:hAnsi="Arial" w:cs="Arial"/>
          <w:sz w:val="24"/>
          <w:szCs w:val="24"/>
        </w:rPr>
      </w:pPr>
    </w:p>
    <w:p w14:paraId="7D36DF32" w14:textId="77777777" w:rsidR="00150A2B" w:rsidRDefault="004B77E4">
      <w:pPr>
        <w:spacing w:after="0" w:line="240" w:lineRule="auto"/>
        <w:jc w:val="center"/>
        <w:rPr>
          <w:rFonts w:ascii="Arial" w:eastAsia="Arial" w:hAnsi="Arial" w:cs="Arial"/>
          <w:b/>
          <w:sz w:val="24"/>
          <w:szCs w:val="24"/>
        </w:rPr>
      </w:pPr>
      <w:r>
        <w:rPr>
          <w:rFonts w:ascii="Arial" w:eastAsia="Arial" w:hAnsi="Arial" w:cs="Arial"/>
          <w:b/>
          <w:sz w:val="24"/>
          <w:szCs w:val="24"/>
        </w:rPr>
        <w:t>XLVII REUNIÓN ORDINARIA DE MINISTROS DE SALUD</w:t>
      </w:r>
    </w:p>
    <w:p w14:paraId="3D1D8E68" w14:textId="77777777" w:rsidR="00150A2B" w:rsidRDefault="00150A2B">
      <w:pPr>
        <w:spacing w:after="0" w:line="240" w:lineRule="auto"/>
        <w:rPr>
          <w:rFonts w:ascii="Arial" w:eastAsia="Arial" w:hAnsi="Arial" w:cs="Arial"/>
          <w:b/>
          <w:sz w:val="24"/>
          <w:szCs w:val="24"/>
        </w:rPr>
      </w:pPr>
    </w:p>
    <w:p w14:paraId="31ECEE65" w14:textId="77777777" w:rsidR="00150A2B" w:rsidRDefault="004B77E4">
      <w:pPr>
        <w:spacing w:after="0" w:line="240" w:lineRule="auto"/>
        <w:jc w:val="both"/>
        <w:rPr>
          <w:rFonts w:ascii="Arial" w:eastAsia="Arial" w:hAnsi="Arial" w:cs="Arial"/>
          <w:sz w:val="24"/>
          <w:szCs w:val="24"/>
        </w:rPr>
      </w:pPr>
      <w:r>
        <w:rPr>
          <w:rFonts w:ascii="Arial" w:eastAsia="Arial" w:hAnsi="Arial" w:cs="Arial"/>
          <w:sz w:val="24"/>
          <w:szCs w:val="24"/>
        </w:rPr>
        <w:t xml:space="preserve">En ejercicio de la Presidencia </w:t>
      </w:r>
      <w:r>
        <w:rPr>
          <w:rFonts w:ascii="Arial" w:eastAsia="Arial" w:hAnsi="Arial" w:cs="Arial"/>
          <w:i/>
          <w:sz w:val="24"/>
          <w:szCs w:val="24"/>
        </w:rPr>
        <w:t>Pro Tempore</w:t>
      </w:r>
      <w:r>
        <w:rPr>
          <w:rFonts w:ascii="Arial" w:eastAsia="Arial" w:hAnsi="Arial" w:cs="Arial"/>
          <w:sz w:val="24"/>
          <w:szCs w:val="24"/>
        </w:rPr>
        <w:t xml:space="preserve"> de Uruguay (PPTP), el día 3 de diciembre de 2020, se realizó por medio del sistema de videoconferencia, conforme se establece en la Resolución GMC </w:t>
      </w:r>
      <w:proofErr w:type="spellStart"/>
      <w:r>
        <w:rPr>
          <w:rFonts w:ascii="Arial" w:eastAsia="Arial" w:hAnsi="Arial" w:cs="Arial"/>
          <w:sz w:val="24"/>
          <w:szCs w:val="24"/>
        </w:rPr>
        <w:t>N°</w:t>
      </w:r>
      <w:proofErr w:type="spellEnd"/>
      <w:r>
        <w:rPr>
          <w:rFonts w:ascii="Arial" w:eastAsia="Arial" w:hAnsi="Arial" w:cs="Arial"/>
          <w:sz w:val="24"/>
          <w:szCs w:val="24"/>
        </w:rPr>
        <w:t xml:space="preserve"> 19/12 “Reuniones por el sistema de videoconferencia”, la XLVII Reunión Ordinaria de Ministros de Salud (RMS), con la participación de las Delegaciones de la República Argentina, la República Federativa del Brasil, la República del Paraguay y la República Oriental del Uruguay. La Delegación de Bolivia participó conforme a lo establecido en la Decisión CMC </w:t>
      </w:r>
      <w:proofErr w:type="spellStart"/>
      <w:r>
        <w:rPr>
          <w:rFonts w:ascii="Arial" w:eastAsia="Arial" w:hAnsi="Arial" w:cs="Arial"/>
          <w:sz w:val="24"/>
          <w:szCs w:val="24"/>
        </w:rPr>
        <w:t>N°</w:t>
      </w:r>
      <w:proofErr w:type="spellEnd"/>
      <w:r>
        <w:rPr>
          <w:rFonts w:ascii="Arial" w:eastAsia="Arial" w:hAnsi="Arial" w:cs="Arial"/>
          <w:sz w:val="24"/>
          <w:szCs w:val="24"/>
        </w:rPr>
        <w:t xml:space="preserve"> 13/15. </w:t>
      </w:r>
    </w:p>
    <w:p w14:paraId="69825E86" w14:textId="77777777" w:rsidR="00150A2B" w:rsidRDefault="00150A2B">
      <w:pPr>
        <w:spacing w:after="0" w:line="240" w:lineRule="auto"/>
        <w:jc w:val="both"/>
        <w:rPr>
          <w:rFonts w:ascii="Arial" w:eastAsia="Arial" w:hAnsi="Arial" w:cs="Arial"/>
          <w:sz w:val="24"/>
          <w:szCs w:val="24"/>
        </w:rPr>
      </w:pPr>
    </w:p>
    <w:p w14:paraId="49711F9C" w14:textId="77777777" w:rsidR="00150A2B" w:rsidRDefault="004B77E4">
      <w:pPr>
        <w:tabs>
          <w:tab w:val="left" w:pos="0"/>
        </w:tabs>
        <w:spacing w:after="0" w:line="240" w:lineRule="auto"/>
        <w:jc w:val="both"/>
        <w:rPr>
          <w:rFonts w:ascii="Arial" w:eastAsia="Arial" w:hAnsi="Arial" w:cs="Arial"/>
          <w:sz w:val="24"/>
          <w:szCs w:val="24"/>
        </w:rPr>
      </w:pPr>
      <w:r>
        <w:rPr>
          <w:rFonts w:ascii="Arial" w:eastAsia="Arial" w:hAnsi="Arial" w:cs="Arial"/>
          <w:sz w:val="24"/>
          <w:szCs w:val="24"/>
        </w:rPr>
        <w:t xml:space="preserve">La reunión se inició con las palabras del Señor Ministro de Salud Pública de Uruguay, Dr. Daniel Salinas, en su calidad de Presidencia </w:t>
      </w:r>
      <w:r>
        <w:rPr>
          <w:rFonts w:ascii="Arial" w:eastAsia="Arial" w:hAnsi="Arial" w:cs="Arial"/>
          <w:i/>
          <w:sz w:val="24"/>
          <w:szCs w:val="24"/>
        </w:rPr>
        <w:t>Pro Tempore</w:t>
      </w:r>
      <w:r>
        <w:rPr>
          <w:rFonts w:ascii="Arial" w:eastAsia="Arial" w:hAnsi="Arial" w:cs="Arial"/>
          <w:sz w:val="24"/>
          <w:szCs w:val="24"/>
        </w:rPr>
        <w:t>, quien dio la bienvenida a las delegaciones y agradeció su participación.</w:t>
      </w:r>
    </w:p>
    <w:p w14:paraId="13D670DA" w14:textId="77777777" w:rsidR="00150A2B" w:rsidRDefault="00150A2B">
      <w:pPr>
        <w:tabs>
          <w:tab w:val="left" w:pos="0"/>
        </w:tabs>
        <w:spacing w:after="0" w:line="240" w:lineRule="auto"/>
        <w:jc w:val="both"/>
        <w:rPr>
          <w:rFonts w:ascii="Arial" w:eastAsia="Arial" w:hAnsi="Arial" w:cs="Arial"/>
          <w:sz w:val="24"/>
          <w:szCs w:val="24"/>
        </w:rPr>
      </w:pPr>
    </w:p>
    <w:p w14:paraId="24B4121F" w14:textId="77777777" w:rsidR="00150A2B" w:rsidRDefault="004B77E4">
      <w:pPr>
        <w:tabs>
          <w:tab w:val="left" w:pos="0"/>
        </w:tabs>
        <w:spacing w:after="0" w:line="240" w:lineRule="auto"/>
        <w:jc w:val="both"/>
        <w:rPr>
          <w:rFonts w:ascii="Arial" w:eastAsia="Arial" w:hAnsi="Arial" w:cs="Arial"/>
          <w:sz w:val="24"/>
          <w:szCs w:val="24"/>
        </w:rPr>
      </w:pPr>
      <w:r>
        <w:rPr>
          <w:rFonts w:ascii="Arial" w:eastAsia="Arial" w:hAnsi="Arial" w:cs="Arial"/>
          <w:sz w:val="24"/>
          <w:szCs w:val="24"/>
        </w:rPr>
        <w:t xml:space="preserve">Los Ministros agradecieron a la PPTU por el esfuerzo realizado en la organización y trabajos llevados a cabo durante el semestre. </w:t>
      </w:r>
    </w:p>
    <w:p w14:paraId="2B27E835" w14:textId="77777777" w:rsidR="00150A2B" w:rsidRDefault="00150A2B">
      <w:pPr>
        <w:tabs>
          <w:tab w:val="left" w:pos="0"/>
        </w:tabs>
        <w:spacing w:after="0" w:line="240" w:lineRule="auto"/>
        <w:jc w:val="both"/>
        <w:rPr>
          <w:rFonts w:ascii="Arial" w:eastAsia="Arial" w:hAnsi="Arial" w:cs="Arial"/>
          <w:sz w:val="24"/>
          <w:szCs w:val="24"/>
        </w:rPr>
      </w:pPr>
    </w:p>
    <w:p w14:paraId="350414E4" w14:textId="77777777" w:rsidR="00150A2B" w:rsidRDefault="004B77E4">
      <w:pPr>
        <w:spacing w:after="0" w:line="240" w:lineRule="auto"/>
        <w:jc w:val="both"/>
        <w:rPr>
          <w:rFonts w:ascii="Arial" w:eastAsia="Arial" w:hAnsi="Arial" w:cs="Arial"/>
          <w:sz w:val="24"/>
          <w:szCs w:val="24"/>
        </w:rPr>
      </w:pPr>
      <w:r>
        <w:rPr>
          <w:rFonts w:ascii="Arial" w:eastAsia="Arial" w:hAnsi="Arial" w:cs="Arial"/>
          <w:sz w:val="24"/>
          <w:szCs w:val="24"/>
        </w:rPr>
        <w:t xml:space="preserve">La Lista de Participantes consta como </w:t>
      </w:r>
      <w:r>
        <w:rPr>
          <w:rFonts w:ascii="Arial" w:eastAsia="Arial" w:hAnsi="Arial" w:cs="Arial"/>
          <w:b/>
          <w:sz w:val="24"/>
          <w:szCs w:val="24"/>
        </w:rPr>
        <w:t>Anexo I</w:t>
      </w:r>
      <w:r>
        <w:rPr>
          <w:rFonts w:ascii="Arial" w:eastAsia="Arial" w:hAnsi="Arial" w:cs="Arial"/>
          <w:sz w:val="24"/>
          <w:szCs w:val="24"/>
        </w:rPr>
        <w:t>.</w:t>
      </w:r>
    </w:p>
    <w:p w14:paraId="78A24E49" w14:textId="77777777" w:rsidR="00150A2B" w:rsidRDefault="00150A2B">
      <w:pPr>
        <w:spacing w:after="0" w:line="240" w:lineRule="auto"/>
        <w:jc w:val="both"/>
        <w:rPr>
          <w:rFonts w:ascii="Arial" w:eastAsia="Arial" w:hAnsi="Arial" w:cs="Arial"/>
          <w:b/>
          <w:sz w:val="24"/>
          <w:szCs w:val="24"/>
        </w:rPr>
      </w:pPr>
    </w:p>
    <w:p w14:paraId="05A23019" w14:textId="77777777" w:rsidR="00150A2B" w:rsidRDefault="004B77E4">
      <w:pPr>
        <w:spacing w:after="0" w:line="240" w:lineRule="auto"/>
        <w:jc w:val="both"/>
        <w:rPr>
          <w:rFonts w:ascii="Arial" w:eastAsia="Arial" w:hAnsi="Arial" w:cs="Arial"/>
          <w:sz w:val="24"/>
          <w:szCs w:val="24"/>
        </w:rPr>
      </w:pPr>
      <w:r>
        <w:rPr>
          <w:rFonts w:ascii="Arial" w:eastAsia="Arial" w:hAnsi="Arial" w:cs="Arial"/>
          <w:sz w:val="24"/>
          <w:szCs w:val="24"/>
        </w:rPr>
        <w:t xml:space="preserve">El Ministro de Salud Pública puso a consideración la agenda de la reunión, la cual fue aprobada y consta como </w:t>
      </w:r>
      <w:r>
        <w:rPr>
          <w:rFonts w:ascii="Arial" w:eastAsia="Arial" w:hAnsi="Arial" w:cs="Arial"/>
          <w:b/>
          <w:sz w:val="24"/>
          <w:szCs w:val="24"/>
        </w:rPr>
        <w:t>Anexo II</w:t>
      </w:r>
      <w:r>
        <w:rPr>
          <w:rFonts w:ascii="Arial" w:eastAsia="Arial" w:hAnsi="Arial" w:cs="Arial"/>
          <w:sz w:val="24"/>
          <w:szCs w:val="24"/>
        </w:rPr>
        <w:t>.</w:t>
      </w:r>
    </w:p>
    <w:p w14:paraId="3A1BE003" w14:textId="77777777" w:rsidR="00150A2B" w:rsidRDefault="00150A2B">
      <w:pPr>
        <w:spacing w:after="0" w:line="240" w:lineRule="auto"/>
        <w:jc w:val="both"/>
        <w:rPr>
          <w:rFonts w:ascii="Arial" w:eastAsia="Arial" w:hAnsi="Arial" w:cs="Arial"/>
          <w:sz w:val="24"/>
          <w:szCs w:val="24"/>
        </w:rPr>
      </w:pPr>
    </w:p>
    <w:p w14:paraId="5A6D9E04" w14:textId="77777777" w:rsidR="00150A2B" w:rsidRDefault="004B77E4">
      <w:pPr>
        <w:spacing w:after="0" w:line="240" w:lineRule="auto"/>
        <w:jc w:val="both"/>
        <w:rPr>
          <w:rFonts w:ascii="Arial" w:eastAsia="Arial" w:hAnsi="Arial" w:cs="Arial"/>
          <w:b/>
          <w:sz w:val="24"/>
          <w:szCs w:val="24"/>
        </w:rPr>
      </w:pPr>
      <w:r>
        <w:rPr>
          <w:rFonts w:ascii="Arial" w:eastAsia="Arial" w:hAnsi="Arial" w:cs="Arial"/>
          <w:sz w:val="24"/>
          <w:szCs w:val="24"/>
        </w:rPr>
        <w:t xml:space="preserve">El Resumen del Acta consta como </w:t>
      </w:r>
      <w:r>
        <w:rPr>
          <w:rFonts w:ascii="Arial" w:eastAsia="Arial" w:hAnsi="Arial" w:cs="Arial"/>
          <w:b/>
          <w:sz w:val="24"/>
          <w:szCs w:val="24"/>
        </w:rPr>
        <w:t>Anexo III</w:t>
      </w:r>
      <w:r>
        <w:rPr>
          <w:rFonts w:ascii="Arial" w:eastAsia="Arial" w:hAnsi="Arial" w:cs="Arial"/>
          <w:sz w:val="24"/>
          <w:szCs w:val="24"/>
        </w:rPr>
        <w:t xml:space="preserve">. </w:t>
      </w:r>
    </w:p>
    <w:p w14:paraId="3A53F1DF" w14:textId="77777777" w:rsidR="00150A2B" w:rsidRDefault="00150A2B">
      <w:pPr>
        <w:tabs>
          <w:tab w:val="left" w:pos="452"/>
        </w:tabs>
        <w:spacing w:after="0" w:line="240" w:lineRule="auto"/>
        <w:jc w:val="both"/>
        <w:rPr>
          <w:rFonts w:ascii="Arial" w:eastAsia="Arial" w:hAnsi="Arial" w:cs="Arial"/>
          <w:sz w:val="24"/>
          <w:szCs w:val="24"/>
        </w:rPr>
      </w:pPr>
    </w:p>
    <w:p w14:paraId="4172B980" w14:textId="77777777" w:rsidR="00150A2B" w:rsidRDefault="00150A2B">
      <w:pPr>
        <w:tabs>
          <w:tab w:val="left" w:pos="452"/>
        </w:tabs>
        <w:spacing w:after="0" w:line="240" w:lineRule="auto"/>
        <w:jc w:val="both"/>
        <w:rPr>
          <w:rFonts w:ascii="Arial" w:eastAsia="Arial" w:hAnsi="Arial" w:cs="Arial"/>
          <w:sz w:val="24"/>
          <w:szCs w:val="24"/>
        </w:rPr>
      </w:pPr>
    </w:p>
    <w:p w14:paraId="694333E5" w14:textId="77777777" w:rsidR="00150A2B" w:rsidRDefault="004B77E4">
      <w:pPr>
        <w:tabs>
          <w:tab w:val="left" w:pos="426"/>
        </w:tabs>
        <w:spacing w:after="0" w:line="240" w:lineRule="auto"/>
        <w:ind w:left="426" w:hanging="426"/>
        <w:jc w:val="both"/>
        <w:rPr>
          <w:rFonts w:ascii="Arial" w:eastAsia="Arial" w:hAnsi="Arial" w:cs="Arial"/>
          <w:sz w:val="24"/>
          <w:szCs w:val="24"/>
        </w:rPr>
      </w:pPr>
      <w:r>
        <w:rPr>
          <w:rFonts w:ascii="Arial" w:eastAsia="Arial" w:hAnsi="Arial" w:cs="Arial"/>
          <w:sz w:val="24"/>
          <w:szCs w:val="24"/>
        </w:rPr>
        <w:t>Fueron tratados los siguientes temas:</w:t>
      </w:r>
    </w:p>
    <w:p w14:paraId="522AD492" w14:textId="77777777" w:rsidR="00150A2B" w:rsidRDefault="00150A2B">
      <w:pPr>
        <w:pBdr>
          <w:top w:val="nil"/>
          <w:left w:val="nil"/>
          <w:bottom w:val="nil"/>
          <w:right w:val="nil"/>
          <w:between w:val="nil"/>
        </w:pBdr>
        <w:spacing w:after="0" w:line="240" w:lineRule="auto"/>
        <w:rPr>
          <w:rFonts w:ascii="Arial" w:eastAsia="Arial" w:hAnsi="Arial" w:cs="Arial"/>
          <w:color w:val="000000"/>
          <w:sz w:val="24"/>
          <w:szCs w:val="24"/>
        </w:rPr>
      </w:pPr>
    </w:p>
    <w:p w14:paraId="5029D2F5" w14:textId="77777777" w:rsidR="00150A2B" w:rsidRDefault="00150A2B">
      <w:pPr>
        <w:spacing w:after="0" w:line="240" w:lineRule="auto"/>
        <w:rPr>
          <w:rFonts w:ascii="Arial" w:eastAsia="Arial" w:hAnsi="Arial" w:cs="Arial"/>
          <w:sz w:val="24"/>
          <w:szCs w:val="24"/>
        </w:rPr>
      </w:pPr>
    </w:p>
    <w:p w14:paraId="6F8EECC0" w14:textId="77777777" w:rsidR="00150A2B" w:rsidRDefault="004B77E4">
      <w:pPr>
        <w:numPr>
          <w:ilvl w:val="0"/>
          <w:numId w:val="2"/>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INFORME DE LA PRESIDENCIA PRO TEMPORE DE URUGUAY (PPTU)</w:t>
      </w:r>
    </w:p>
    <w:p w14:paraId="591D633B" w14:textId="77777777" w:rsidR="00150A2B" w:rsidRDefault="00150A2B">
      <w:pPr>
        <w:pBdr>
          <w:top w:val="nil"/>
          <w:left w:val="nil"/>
          <w:bottom w:val="nil"/>
          <w:right w:val="nil"/>
          <w:between w:val="nil"/>
        </w:pBdr>
        <w:spacing w:after="0" w:line="240" w:lineRule="auto"/>
        <w:ind w:left="720"/>
        <w:rPr>
          <w:rFonts w:ascii="Arial" w:eastAsia="Arial" w:hAnsi="Arial" w:cs="Arial"/>
          <w:color w:val="000000"/>
          <w:sz w:val="24"/>
          <w:szCs w:val="24"/>
          <w:u w:val="single"/>
        </w:rPr>
      </w:pPr>
    </w:p>
    <w:p w14:paraId="5774B469" w14:textId="77777777" w:rsidR="00150A2B" w:rsidRDefault="004B77E4">
      <w:pPr>
        <w:spacing w:after="0" w:line="240" w:lineRule="auto"/>
        <w:jc w:val="both"/>
        <w:rPr>
          <w:rFonts w:ascii="Arial" w:eastAsia="Arial" w:hAnsi="Arial" w:cs="Arial"/>
          <w:b/>
          <w:sz w:val="24"/>
          <w:szCs w:val="24"/>
        </w:rPr>
      </w:pPr>
      <w:r>
        <w:rPr>
          <w:rFonts w:ascii="Arial" w:eastAsia="Arial" w:hAnsi="Arial" w:cs="Arial"/>
          <w:sz w:val="24"/>
          <w:szCs w:val="24"/>
        </w:rPr>
        <w:t xml:space="preserve">El Director de Relaciones Internacionales y Cooperación del Ministerio de Salud Pública de Uruguay, en ejercicio de la PPTU, Lic. Franco </w:t>
      </w:r>
      <w:proofErr w:type="spellStart"/>
      <w:r>
        <w:rPr>
          <w:rFonts w:ascii="Arial" w:eastAsia="Arial" w:hAnsi="Arial" w:cs="Arial"/>
          <w:sz w:val="24"/>
          <w:szCs w:val="24"/>
        </w:rPr>
        <w:t>Alaggia</w:t>
      </w:r>
      <w:proofErr w:type="spellEnd"/>
      <w:r>
        <w:rPr>
          <w:rFonts w:ascii="Arial" w:eastAsia="Arial" w:hAnsi="Arial" w:cs="Arial"/>
          <w:sz w:val="24"/>
          <w:szCs w:val="24"/>
        </w:rPr>
        <w:t xml:space="preserve">, presentó el informe sobre los trabajos realizados durante el segundo semestre de 2020 </w:t>
      </w:r>
      <w:r>
        <w:rPr>
          <w:rFonts w:ascii="Arial" w:eastAsia="Arial" w:hAnsi="Arial" w:cs="Arial"/>
          <w:b/>
          <w:sz w:val="24"/>
          <w:szCs w:val="24"/>
        </w:rPr>
        <w:t>(Anexo IV)</w:t>
      </w:r>
      <w:r>
        <w:rPr>
          <w:rFonts w:ascii="Arial" w:eastAsia="Arial" w:hAnsi="Arial" w:cs="Arial"/>
          <w:sz w:val="24"/>
          <w:szCs w:val="24"/>
        </w:rPr>
        <w:t>.</w:t>
      </w:r>
    </w:p>
    <w:p w14:paraId="333A0227" w14:textId="77777777" w:rsidR="00150A2B" w:rsidRDefault="00150A2B">
      <w:pPr>
        <w:tabs>
          <w:tab w:val="left" w:pos="0"/>
        </w:tabs>
        <w:spacing w:after="0" w:line="240" w:lineRule="auto"/>
        <w:jc w:val="both"/>
        <w:rPr>
          <w:rFonts w:ascii="Arial" w:eastAsia="Arial" w:hAnsi="Arial" w:cs="Arial"/>
          <w:sz w:val="24"/>
          <w:szCs w:val="24"/>
        </w:rPr>
      </w:pPr>
    </w:p>
    <w:p w14:paraId="53715C1F" w14:textId="77777777" w:rsidR="00150A2B" w:rsidRDefault="004B77E4">
      <w:pPr>
        <w:tabs>
          <w:tab w:val="left" w:pos="0"/>
        </w:tabs>
        <w:spacing w:after="0" w:line="240" w:lineRule="auto"/>
        <w:jc w:val="both"/>
        <w:rPr>
          <w:rFonts w:ascii="Arial" w:eastAsia="Arial" w:hAnsi="Arial" w:cs="Arial"/>
          <w:sz w:val="24"/>
          <w:szCs w:val="24"/>
        </w:rPr>
      </w:pPr>
      <w:r>
        <w:rPr>
          <w:rFonts w:ascii="Arial" w:eastAsia="Arial" w:hAnsi="Arial" w:cs="Arial"/>
          <w:smallCaps/>
          <w:sz w:val="24"/>
          <w:szCs w:val="24"/>
        </w:rPr>
        <w:lastRenderedPageBreak/>
        <w:t>L</w:t>
      </w:r>
      <w:r>
        <w:rPr>
          <w:rFonts w:ascii="Arial" w:eastAsia="Arial" w:hAnsi="Arial" w:cs="Arial"/>
          <w:sz w:val="24"/>
          <w:szCs w:val="24"/>
        </w:rPr>
        <w:t xml:space="preserve">os </w:t>
      </w:r>
      <w:r>
        <w:rPr>
          <w:rFonts w:ascii="Arial" w:eastAsia="Arial" w:hAnsi="Arial" w:cs="Arial"/>
          <w:smallCaps/>
          <w:sz w:val="24"/>
          <w:szCs w:val="24"/>
        </w:rPr>
        <w:t>M</w:t>
      </w:r>
      <w:r>
        <w:rPr>
          <w:rFonts w:ascii="Arial" w:eastAsia="Arial" w:hAnsi="Arial" w:cs="Arial"/>
          <w:sz w:val="24"/>
          <w:szCs w:val="24"/>
        </w:rPr>
        <w:t>inistros</w:t>
      </w:r>
      <w:r>
        <w:rPr>
          <w:rFonts w:ascii="Arial" w:eastAsia="Arial" w:hAnsi="Arial" w:cs="Arial"/>
          <w:smallCaps/>
          <w:sz w:val="24"/>
          <w:szCs w:val="24"/>
        </w:rPr>
        <w:t xml:space="preserve"> </w:t>
      </w:r>
      <w:r>
        <w:rPr>
          <w:rFonts w:ascii="Arial" w:eastAsia="Arial" w:hAnsi="Arial" w:cs="Arial"/>
          <w:sz w:val="24"/>
          <w:szCs w:val="24"/>
        </w:rPr>
        <w:t xml:space="preserve">aprobaron el Acta </w:t>
      </w:r>
      <w:proofErr w:type="spellStart"/>
      <w:r>
        <w:rPr>
          <w:rFonts w:ascii="Arial" w:eastAsia="Arial" w:hAnsi="Arial" w:cs="Arial"/>
          <w:sz w:val="24"/>
          <w:szCs w:val="24"/>
        </w:rPr>
        <w:t>N°</w:t>
      </w:r>
      <w:proofErr w:type="spellEnd"/>
      <w:r>
        <w:rPr>
          <w:rFonts w:ascii="Arial" w:eastAsia="Arial" w:hAnsi="Arial" w:cs="Arial"/>
          <w:sz w:val="24"/>
          <w:szCs w:val="24"/>
        </w:rPr>
        <w:t xml:space="preserve"> 02/20 de la Reunión del Comité Coordinador de la Reunión de Ministros de Salud (RMS-CC), realizada por videoconferencia los días 1 y 2 de diciembre de 2020, con la participación de las Delegaciones de Argentina, Brasil, Paraguay, Uruguay y Bolivia. </w:t>
      </w:r>
      <w:r>
        <w:rPr>
          <w:rFonts w:ascii="Arial" w:eastAsia="Arial" w:hAnsi="Arial" w:cs="Arial"/>
          <w:sz w:val="24"/>
          <w:szCs w:val="24"/>
          <w:highlight w:val="white"/>
        </w:rPr>
        <w:t xml:space="preserve">El Acta </w:t>
      </w:r>
      <w:proofErr w:type="spellStart"/>
      <w:r>
        <w:rPr>
          <w:rFonts w:ascii="Arial" w:eastAsia="Arial" w:hAnsi="Arial" w:cs="Arial"/>
          <w:sz w:val="24"/>
          <w:szCs w:val="24"/>
          <w:highlight w:val="white"/>
        </w:rPr>
        <w:t>N°</w:t>
      </w:r>
      <w:proofErr w:type="spellEnd"/>
      <w:r>
        <w:rPr>
          <w:rFonts w:ascii="Arial" w:eastAsia="Arial" w:hAnsi="Arial" w:cs="Arial"/>
          <w:sz w:val="24"/>
          <w:szCs w:val="24"/>
          <w:highlight w:val="white"/>
        </w:rPr>
        <w:t xml:space="preserve"> 02/20 del Comité Coordinador de la RMS consta en el </w:t>
      </w:r>
      <w:r>
        <w:rPr>
          <w:rFonts w:ascii="Arial" w:eastAsia="Arial" w:hAnsi="Arial" w:cs="Arial"/>
          <w:b/>
          <w:sz w:val="24"/>
          <w:szCs w:val="24"/>
          <w:highlight w:val="white"/>
        </w:rPr>
        <w:t>Anexo</w:t>
      </w:r>
      <w:r>
        <w:rPr>
          <w:rFonts w:ascii="Arial" w:eastAsia="Arial" w:hAnsi="Arial" w:cs="Arial"/>
          <w:b/>
          <w:sz w:val="24"/>
          <w:szCs w:val="24"/>
        </w:rPr>
        <w:t xml:space="preserve"> V</w:t>
      </w:r>
      <w:r>
        <w:rPr>
          <w:rFonts w:ascii="Arial" w:eastAsia="Arial" w:hAnsi="Arial" w:cs="Arial"/>
          <w:sz w:val="24"/>
          <w:szCs w:val="24"/>
        </w:rPr>
        <w:t>.</w:t>
      </w:r>
    </w:p>
    <w:p w14:paraId="3EE7F5D1" w14:textId="77777777" w:rsidR="00150A2B" w:rsidRDefault="00150A2B">
      <w:pPr>
        <w:tabs>
          <w:tab w:val="left" w:pos="0"/>
        </w:tabs>
        <w:spacing w:after="0" w:line="240" w:lineRule="auto"/>
        <w:jc w:val="both"/>
        <w:rPr>
          <w:rFonts w:ascii="Arial" w:eastAsia="Arial" w:hAnsi="Arial" w:cs="Arial"/>
          <w:sz w:val="24"/>
          <w:szCs w:val="24"/>
        </w:rPr>
      </w:pPr>
    </w:p>
    <w:p w14:paraId="63CE239F" w14:textId="77777777" w:rsidR="00150A2B" w:rsidRDefault="00150A2B">
      <w:pPr>
        <w:tabs>
          <w:tab w:val="left" w:pos="0"/>
        </w:tabs>
        <w:spacing w:after="0" w:line="240" w:lineRule="auto"/>
        <w:jc w:val="both"/>
        <w:rPr>
          <w:rFonts w:ascii="Arial" w:eastAsia="Arial" w:hAnsi="Arial" w:cs="Arial"/>
          <w:sz w:val="24"/>
          <w:szCs w:val="24"/>
        </w:rPr>
      </w:pPr>
    </w:p>
    <w:p w14:paraId="76397CA6" w14:textId="77777777" w:rsidR="00150A2B" w:rsidRDefault="004B77E4">
      <w:pPr>
        <w:numPr>
          <w:ilvl w:val="0"/>
          <w:numId w:val="2"/>
        </w:numPr>
        <w:tabs>
          <w:tab w:val="left" w:pos="0"/>
        </w:tabs>
        <w:spacing w:after="0" w:line="240" w:lineRule="auto"/>
        <w:ind w:left="567" w:hanging="567"/>
        <w:jc w:val="both"/>
        <w:rPr>
          <w:rFonts w:ascii="Arial" w:eastAsia="Arial" w:hAnsi="Arial" w:cs="Arial"/>
          <w:b/>
          <w:sz w:val="24"/>
          <w:szCs w:val="24"/>
        </w:rPr>
      </w:pPr>
      <w:r>
        <w:rPr>
          <w:rFonts w:ascii="Arial" w:eastAsia="Arial" w:hAnsi="Arial" w:cs="Arial"/>
          <w:b/>
          <w:sz w:val="24"/>
          <w:szCs w:val="24"/>
        </w:rPr>
        <w:t>INFORME DE LA SITUACIÓN EPIDEMIOLÓGICA DE LA REGIÓN</w:t>
      </w:r>
    </w:p>
    <w:p w14:paraId="166FF01B" w14:textId="77777777" w:rsidR="00150A2B" w:rsidRDefault="00150A2B">
      <w:pPr>
        <w:tabs>
          <w:tab w:val="left" w:pos="0"/>
        </w:tabs>
        <w:spacing w:after="0" w:line="240" w:lineRule="auto"/>
        <w:jc w:val="both"/>
        <w:rPr>
          <w:rFonts w:ascii="Arial" w:eastAsia="Arial" w:hAnsi="Arial" w:cs="Arial"/>
          <w:b/>
          <w:sz w:val="24"/>
          <w:szCs w:val="24"/>
        </w:rPr>
      </w:pPr>
    </w:p>
    <w:p w14:paraId="5F5B02C4" w14:textId="77777777" w:rsidR="00150A2B" w:rsidRDefault="004B77E4">
      <w:pPr>
        <w:tabs>
          <w:tab w:val="left" w:pos="0"/>
        </w:tabs>
        <w:spacing w:after="0" w:line="240" w:lineRule="auto"/>
        <w:jc w:val="both"/>
        <w:rPr>
          <w:rFonts w:ascii="Arial" w:eastAsia="Arial" w:hAnsi="Arial" w:cs="Arial"/>
          <w:color w:val="FF0000"/>
          <w:sz w:val="24"/>
          <w:szCs w:val="24"/>
        </w:rPr>
      </w:pPr>
      <w:r>
        <w:rPr>
          <w:rFonts w:ascii="Arial" w:eastAsia="Arial" w:hAnsi="Arial" w:cs="Arial"/>
          <w:sz w:val="24"/>
          <w:szCs w:val="24"/>
        </w:rPr>
        <w:t xml:space="preserve">Los Señores Ministros recibieron el informe consolidado del estado de situación epidemiológica de la región con relación al COVID-19, Dengue y otras enfermedades transmisibles </w:t>
      </w:r>
      <w:r>
        <w:rPr>
          <w:rFonts w:ascii="Arial" w:eastAsia="Arial" w:hAnsi="Arial" w:cs="Arial"/>
          <w:b/>
          <w:sz w:val="24"/>
          <w:szCs w:val="24"/>
        </w:rPr>
        <w:t>(Anexo VI)</w:t>
      </w:r>
      <w:r>
        <w:rPr>
          <w:rFonts w:ascii="Arial" w:eastAsia="Arial" w:hAnsi="Arial" w:cs="Arial"/>
          <w:sz w:val="24"/>
          <w:szCs w:val="24"/>
        </w:rPr>
        <w:t>.</w:t>
      </w:r>
      <w:r>
        <w:rPr>
          <w:rFonts w:ascii="Arial" w:eastAsia="Arial" w:hAnsi="Arial" w:cs="Arial"/>
          <w:b/>
          <w:color w:val="FF0000"/>
          <w:sz w:val="24"/>
          <w:szCs w:val="24"/>
        </w:rPr>
        <w:t xml:space="preserve"> </w:t>
      </w:r>
    </w:p>
    <w:p w14:paraId="4185F391" w14:textId="77777777" w:rsidR="00150A2B" w:rsidRDefault="00150A2B">
      <w:pPr>
        <w:tabs>
          <w:tab w:val="left" w:pos="0"/>
        </w:tabs>
        <w:spacing w:after="0" w:line="240" w:lineRule="auto"/>
        <w:jc w:val="both"/>
        <w:rPr>
          <w:rFonts w:ascii="Arial" w:eastAsia="Arial" w:hAnsi="Arial" w:cs="Arial"/>
          <w:color w:val="FF0000"/>
          <w:sz w:val="24"/>
          <w:szCs w:val="24"/>
        </w:rPr>
      </w:pPr>
    </w:p>
    <w:p w14:paraId="4ADDDDC3" w14:textId="77777777" w:rsidR="00150A2B" w:rsidRDefault="004B77E4">
      <w:pPr>
        <w:tabs>
          <w:tab w:val="left" w:pos="0"/>
        </w:tabs>
        <w:spacing w:after="0" w:line="240" w:lineRule="auto"/>
        <w:jc w:val="both"/>
        <w:rPr>
          <w:rFonts w:ascii="Arial" w:eastAsia="Arial" w:hAnsi="Arial" w:cs="Arial"/>
          <w:sz w:val="24"/>
          <w:szCs w:val="24"/>
        </w:rPr>
      </w:pPr>
      <w:r>
        <w:rPr>
          <w:rFonts w:ascii="Arial" w:eastAsia="Arial" w:hAnsi="Arial" w:cs="Arial"/>
          <w:sz w:val="24"/>
          <w:szCs w:val="24"/>
        </w:rPr>
        <w:t>Asimismo, intercambiaron comentarios y experiencias de sus países en el combate al COVID-19 y su impacto en la región, así como sobre los mecanismos de combate, prevención y elaboración de protocolos a fin de mitigar sus efectos y resaltaron la importancia de continuar desarrollando acciones coordinadas que permitan afrontar en conjunto esta crisis sanitaria.</w:t>
      </w:r>
    </w:p>
    <w:p w14:paraId="3C9164BF" w14:textId="77777777" w:rsidR="00150A2B" w:rsidRDefault="00150A2B">
      <w:pPr>
        <w:tabs>
          <w:tab w:val="left" w:pos="0"/>
        </w:tabs>
        <w:spacing w:after="0" w:line="240" w:lineRule="auto"/>
        <w:jc w:val="both"/>
        <w:rPr>
          <w:rFonts w:ascii="Arial" w:eastAsia="Arial" w:hAnsi="Arial" w:cs="Arial"/>
          <w:color w:val="FF0000"/>
          <w:sz w:val="24"/>
          <w:szCs w:val="24"/>
        </w:rPr>
      </w:pPr>
    </w:p>
    <w:p w14:paraId="30D2C43C" w14:textId="77777777" w:rsidR="00150A2B" w:rsidRDefault="00150A2B">
      <w:pPr>
        <w:tabs>
          <w:tab w:val="left" w:pos="0"/>
        </w:tabs>
        <w:spacing w:after="0" w:line="240" w:lineRule="auto"/>
        <w:jc w:val="both"/>
        <w:rPr>
          <w:rFonts w:ascii="Arial" w:eastAsia="Arial" w:hAnsi="Arial" w:cs="Arial"/>
          <w:sz w:val="24"/>
          <w:szCs w:val="24"/>
        </w:rPr>
      </w:pPr>
    </w:p>
    <w:p w14:paraId="20BF0B43" w14:textId="77777777" w:rsidR="00150A2B" w:rsidRDefault="004B77E4">
      <w:pPr>
        <w:numPr>
          <w:ilvl w:val="0"/>
          <w:numId w:val="2"/>
        </w:numPr>
        <w:tabs>
          <w:tab w:val="left" w:pos="0"/>
        </w:tabs>
        <w:spacing w:after="0" w:line="240" w:lineRule="auto"/>
        <w:ind w:left="567" w:hanging="567"/>
        <w:jc w:val="both"/>
        <w:rPr>
          <w:rFonts w:ascii="Arial" w:eastAsia="Arial" w:hAnsi="Arial" w:cs="Arial"/>
          <w:b/>
          <w:sz w:val="24"/>
          <w:szCs w:val="24"/>
        </w:rPr>
      </w:pPr>
      <w:r>
        <w:rPr>
          <w:rFonts w:ascii="Arial" w:eastAsia="Arial" w:hAnsi="Arial" w:cs="Arial"/>
          <w:b/>
          <w:sz w:val="24"/>
          <w:szCs w:val="24"/>
        </w:rPr>
        <w:t>DECLARACIONES DE LA XLVII REUNIÓN DE MINISTROS DE SALUD DEL MERCOSUR</w:t>
      </w:r>
    </w:p>
    <w:p w14:paraId="5C1FDE88" w14:textId="77777777" w:rsidR="00150A2B" w:rsidRDefault="00150A2B">
      <w:pPr>
        <w:tabs>
          <w:tab w:val="left" w:pos="0"/>
        </w:tabs>
        <w:spacing w:after="0" w:line="240" w:lineRule="auto"/>
        <w:jc w:val="both"/>
        <w:rPr>
          <w:rFonts w:ascii="Arial" w:eastAsia="Arial" w:hAnsi="Arial" w:cs="Arial"/>
          <w:b/>
          <w:sz w:val="24"/>
          <w:szCs w:val="24"/>
        </w:rPr>
      </w:pPr>
    </w:p>
    <w:p w14:paraId="4DA8F567" w14:textId="77777777" w:rsidR="00150A2B" w:rsidRDefault="004B77E4">
      <w:pPr>
        <w:tabs>
          <w:tab w:val="left" w:pos="0"/>
        </w:tabs>
        <w:spacing w:after="0" w:line="240" w:lineRule="auto"/>
        <w:jc w:val="both"/>
        <w:rPr>
          <w:rFonts w:ascii="Arial" w:eastAsia="Arial" w:hAnsi="Arial" w:cs="Arial"/>
          <w:sz w:val="24"/>
          <w:szCs w:val="24"/>
        </w:rPr>
      </w:pPr>
      <w:r>
        <w:rPr>
          <w:rFonts w:ascii="Arial" w:eastAsia="Arial" w:hAnsi="Arial" w:cs="Arial"/>
          <w:sz w:val="24"/>
          <w:szCs w:val="24"/>
        </w:rPr>
        <w:t>Los Ministros procedieron a la lectura y aprobación de las siguientes Declaraciones:</w:t>
      </w:r>
    </w:p>
    <w:p w14:paraId="65DB3CC5" w14:textId="77777777" w:rsidR="00150A2B" w:rsidRDefault="00150A2B">
      <w:pPr>
        <w:tabs>
          <w:tab w:val="left" w:pos="0"/>
        </w:tabs>
        <w:spacing w:after="0" w:line="240" w:lineRule="auto"/>
        <w:jc w:val="both"/>
        <w:rPr>
          <w:rFonts w:ascii="Arial" w:eastAsia="Arial" w:hAnsi="Arial" w:cs="Arial"/>
          <w:sz w:val="24"/>
          <w:szCs w:val="24"/>
        </w:rPr>
      </w:pPr>
    </w:p>
    <w:p w14:paraId="26B72EEE" w14:textId="77777777" w:rsidR="00150A2B" w:rsidRDefault="004B77E4">
      <w:pPr>
        <w:numPr>
          <w:ilvl w:val="0"/>
          <w:numId w:val="1"/>
        </w:num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436"/>
        <w:jc w:val="both"/>
        <w:rPr>
          <w:rFonts w:ascii="Arial" w:eastAsia="Arial" w:hAnsi="Arial" w:cs="Arial"/>
          <w:color w:val="000000"/>
          <w:sz w:val="24"/>
          <w:szCs w:val="24"/>
        </w:rPr>
      </w:pPr>
      <w:r>
        <w:rPr>
          <w:rFonts w:ascii="Arial" w:eastAsia="Arial" w:hAnsi="Arial" w:cs="Arial"/>
          <w:color w:val="000000"/>
          <w:sz w:val="24"/>
          <w:szCs w:val="24"/>
        </w:rPr>
        <w:t>“Declaración de los Ministros de Salud del MERCOSUR y Estados Asociados sobre Asistencia Alimentaria a Poblaciones Vulnerables en el marco de COVID -19”,</w:t>
      </w:r>
    </w:p>
    <w:p w14:paraId="5C902060" w14:textId="77777777" w:rsidR="00150A2B" w:rsidRDefault="00150A2B">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720"/>
        <w:jc w:val="both"/>
        <w:rPr>
          <w:rFonts w:ascii="Arial" w:eastAsia="Arial" w:hAnsi="Arial" w:cs="Arial"/>
          <w:color w:val="000000"/>
          <w:sz w:val="24"/>
          <w:szCs w:val="24"/>
        </w:rPr>
      </w:pPr>
    </w:p>
    <w:p w14:paraId="2036DA65" w14:textId="77777777" w:rsidR="00150A2B" w:rsidRDefault="004B77E4">
      <w:pPr>
        <w:numPr>
          <w:ilvl w:val="0"/>
          <w:numId w:val="1"/>
        </w:num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436"/>
        <w:jc w:val="both"/>
        <w:rPr>
          <w:rFonts w:ascii="Arial" w:eastAsia="Arial" w:hAnsi="Arial" w:cs="Arial"/>
          <w:color w:val="000000"/>
          <w:sz w:val="24"/>
          <w:szCs w:val="24"/>
        </w:rPr>
      </w:pPr>
      <w:r>
        <w:rPr>
          <w:rFonts w:ascii="Arial" w:eastAsia="Arial" w:hAnsi="Arial" w:cs="Arial"/>
          <w:color w:val="000000"/>
          <w:sz w:val="24"/>
          <w:szCs w:val="24"/>
        </w:rPr>
        <w:t>“Declaración de los Ministros de Salud del MERCOSUR y Estados Asociados sobre la importancia de garantizar la Salud Ambiental y del Trabajador en el contexto de la pandemia por COVID-19”,</w:t>
      </w:r>
    </w:p>
    <w:p w14:paraId="73650E29" w14:textId="77777777" w:rsidR="00150A2B" w:rsidRDefault="00150A2B">
      <w:pPr>
        <w:spacing w:after="0" w:line="240" w:lineRule="auto"/>
        <w:jc w:val="both"/>
        <w:rPr>
          <w:rFonts w:ascii="Arial" w:eastAsia="Arial" w:hAnsi="Arial" w:cs="Arial"/>
          <w:sz w:val="24"/>
          <w:szCs w:val="24"/>
        </w:rPr>
      </w:pPr>
    </w:p>
    <w:p w14:paraId="06DD20F3" w14:textId="77777777" w:rsidR="00150A2B" w:rsidRDefault="004B77E4">
      <w:pPr>
        <w:numPr>
          <w:ilvl w:val="0"/>
          <w:numId w:val="1"/>
        </w:num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436"/>
        <w:jc w:val="both"/>
        <w:rPr>
          <w:rFonts w:ascii="Arial" w:eastAsia="Arial" w:hAnsi="Arial" w:cs="Arial"/>
          <w:color w:val="000000"/>
          <w:sz w:val="24"/>
          <w:szCs w:val="24"/>
        </w:rPr>
      </w:pPr>
      <w:r>
        <w:rPr>
          <w:rFonts w:ascii="Arial" w:eastAsia="Arial" w:hAnsi="Arial" w:cs="Arial"/>
          <w:color w:val="000000"/>
          <w:sz w:val="24"/>
          <w:szCs w:val="24"/>
        </w:rPr>
        <w:t>“Declaración de los Ministros de Salud del MERCOSUR y Estados Asociados sobre Control de Tabaco y COVID-19”,</w:t>
      </w:r>
    </w:p>
    <w:p w14:paraId="6C45CD09" w14:textId="77777777" w:rsidR="00150A2B" w:rsidRDefault="00150A2B">
      <w:pPr>
        <w:spacing w:after="0" w:line="240" w:lineRule="auto"/>
        <w:jc w:val="both"/>
        <w:rPr>
          <w:rFonts w:ascii="Arial" w:eastAsia="Arial" w:hAnsi="Arial" w:cs="Arial"/>
          <w:color w:val="000000"/>
          <w:sz w:val="24"/>
          <w:szCs w:val="24"/>
        </w:rPr>
      </w:pPr>
    </w:p>
    <w:p w14:paraId="4CD7CC67" w14:textId="77777777" w:rsidR="00150A2B" w:rsidRDefault="004B77E4">
      <w:pPr>
        <w:numPr>
          <w:ilvl w:val="0"/>
          <w:numId w:val="1"/>
        </w:numPr>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436"/>
        <w:jc w:val="both"/>
        <w:rPr>
          <w:rFonts w:ascii="Arial" w:eastAsia="Arial" w:hAnsi="Arial" w:cs="Arial"/>
          <w:color w:val="00000A"/>
          <w:sz w:val="24"/>
          <w:szCs w:val="24"/>
        </w:rPr>
      </w:pPr>
      <w:r>
        <w:rPr>
          <w:rFonts w:ascii="Arial" w:eastAsia="Arial" w:hAnsi="Arial" w:cs="Arial"/>
          <w:color w:val="00000A"/>
          <w:sz w:val="24"/>
          <w:szCs w:val="24"/>
        </w:rPr>
        <w:t>“Declaración de los Ministros de Salud del MERCOSUR y Estados Asociados sobre Mecanismo COVAX”.</w:t>
      </w:r>
    </w:p>
    <w:p w14:paraId="0DC96842" w14:textId="77777777" w:rsidR="00150A2B" w:rsidRDefault="00150A2B">
      <w:pPr>
        <w:tabs>
          <w:tab w:val="left" w:pos="0"/>
        </w:tabs>
        <w:spacing w:after="0" w:line="240" w:lineRule="auto"/>
        <w:jc w:val="both"/>
        <w:rPr>
          <w:rFonts w:ascii="Arial" w:eastAsia="Arial" w:hAnsi="Arial" w:cs="Arial"/>
          <w:sz w:val="24"/>
          <w:szCs w:val="24"/>
        </w:rPr>
      </w:pPr>
    </w:p>
    <w:p w14:paraId="02B1617B" w14:textId="77777777" w:rsidR="00150A2B" w:rsidRDefault="004B77E4">
      <w:pPr>
        <w:tabs>
          <w:tab w:val="left" w:pos="0"/>
        </w:tabs>
        <w:spacing w:after="0" w:line="240" w:lineRule="auto"/>
        <w:jc w:val="both"/>
        <w:rPr>
          <w:rFonts w:ascii="Arial" w:eastAsia="Arial" w:hAnsi="Arial" w:cs="Arial"/>
          <w:b/>
          <w:sz w:val="24"/>
          <w:szCs w:val="24"/>
        </w:rPr>
      </w:pPr>
      <w:r>
        <w:rPr>
          <w:rFonts w:ascii="Arial" w:eastAsia="Arial" w:hAnsi="Arial" w:cs="Arial"/>
          <w:sz w:val="24"/>
          <w:szCs w:val="24"/>
        </w:rPr>
        <w:t xml:space="preserve">Las mismas constan como </w:t>
      </w:r>
      <w:r>
        <w:rPr>
          <w:rFonts w:ascii="Arial" w:eastAsia="Arial" w:hAnsi="Arial" w:cs="Arial"/>
          <w:b/>
          <w:sz w:val="24"/>
          <w:szCs w:val="24"/>
        </w:rPr>
        <w:t>Anexo VII</w:t>
      </w:r>
      <w:r>
        <w:rPr>
          <w:rFonts w:ascii="Arial" w:eastAsia="Arial" w:hAnsi="Arial" w:cs="Arial"/>
          <w:sz w:val="24"/>
          <w:szCs w:val="24"/>
        </w:rPr>
        <w:t>.</w:t>
      </w:r>
    </w:p>
    <w:p w14:paraId="69F55352" w14:textId="77777777" w:rsidR="00150A2B" w:rsidRDefault="00150A2B">
      <w:pPr>
        <w:tabs>
          <w:tab w:val="left" w:pos="0"/>
        </w:tabs>
        <w:spacing w:after="0" w:line="240" w:lineRule="auto"/>
        <w:jc w:val="both"/>
        <w:rPr>
          <w:rFonts w:ascii="Arial" w:eastAsia="Arial" w:hAnsi="Arial" w:cs="Arial"/>
          <w:sz w:val="24"/>
          <w:szCs w:val="24"/>
        </w:rPr>
      </w:pPr>
    </w:p>
    <w:p w14:paraId="03AEECF1" w14:textId="127611FF" w:rsidR="00150A2B" w:rsidRDefault="00150A2B">
      <w:pPr>
        <w:tabs>
          <w:tab w:val="left" w:pos="0"/>
        </w:tabs>
        <w:spacing w:after="0" w:line="240" w:lineRule="auto"/>
        <w:jc w:val="both"/>
        <w:rPr>
          <w:rFonts w:ascii="Arial" w:eastAsia="Arial" w:hAnsi="Arial" w:cs="Arial"/>
          <w:sz w:val="24"/>
          <w:szCs w:val="24"/>
        </w:rPr>
      </w:pPr>
    </w:p>
    <w:p w14:paraId="569D122B" w14:textId="62CECDBE" w:rsidR="0020642F" w:rsidRDefault="0020642F">
      <w:pPr>
        <w:tabs>
          <w:tab w:val="left" w:pos="0"/>
        </w:tabs>
        <w:spacing w:after="0" w:line="240" w:lineRule="auto"/>
        <w:jc w:val="both"/>
        <w:rPr>
          <w:rFonts w:ascii="Arial" w:eastAsia="Arial" w:hAnsi="Arial" w:cs="Arial"/>
          <w:sz w:val="24"/>
          <w:szCs w:val="24"/>
        </w:rPr>
      </w:pPr>
    </w:p>
    <w:p w14:paraId="32B7CEDC" w14:textId="5087A9C9" w:rsidR="0020642F" w:rsidRDefault="0020642F">
      <w:pPr>
        <w:tabs>
          <w:tab w:val="left" w:pos="0"/>
        </w:tabs>
        <w:spacing w:after="0" w:line="240" w:lineRule="auto"/>
        <w:jc w:val="both"/>
        <w:rPr>
          <w:rFonts w:ascii="Arial" w:eastAsia="Arial" w:hAnsi="Arial" w:cs="Arial"/>
          <w:sz w:val="24"/>
          <w:szCs w:val="24"/>
        </w:rPr>
      </w:pPr>
    </w:p>
    <w:p w14:paraId="7F895204" w14:textId="521C6707" w:rsidR="0020642F" w:rsidRDefault="0020642F">
      <w:pPr>
        <w:tabs>
          <w:tab w:val="left" w:pos="0"/>
        </w:tabs>
        <w:spacing w:after="0" w:line="240" w:lineRule="auto"/>
        <w:jc w:val="both"/>
        <w:rPr>
          <w:rFonts w:ascii="Arial" w:eastAsia="Arial" w:hAnsi="Arial" w:cs="Arial"/>
          <w:sz w:val="24"/>
          <w:szCs w:val="24"/>
        </w:rPr>
      </w:pPr>
    </w:p>
    <w:p w14:paraId="26A94FE3" w14:textId="486A70DC" w:rsidR="0020642F" w:rsidRDefault="0020642F">
      <w:pPr>
        <w:tabs>
          <w:tab w:val="left" w:pos="0"/>
        </w:tabs>
        <w:spacing w:after="0" w:line="240" w:lineRule="auto"/>
        <w:jc w:val="both"/>
        <w:rPr>
          <w:rFonts w:ascii="Arial" w:eastAsia="Arial" w:hAnsi="Arial" w:cs="Arial"/>
          <w:sz w:val="24"/>
          <w:szCs w:val="24"/>
        </w:rPr>
      </w:pPr>
    </w:p>
    <w:p w14:paraId="36788702" w14:textId="77777777" w:rsidR="0020642F" w:rsidRDefault="0020642F">
      <w:pPr>
        <w:tabs>
          <w:tab w:val="left" w:pos="0"/>
        </w:tabs>
        <w:spacing w:after="0" w:line="240" w:lineRule="auto"/>
        <w:jc w:val="both"/>
        <w:rPr>
          <w:rFonts w:ascii="Arial" w:eastAsia="Arial" w:hAnsi="Arial" w:cs="Arial"/>
          <w:sz w:val="24"/>
          <w:szCs w:val="24"/>
        </w:rPr>
      </w:pPr>
    </w:p>
    <w:p w14:paraId="68C49AE3" w14:textId="77777777" w:rsidR="00150A2B" w:rsidRDefault="004B77E4">
      <w:pPr>
        <w:numPr>
          <w:ilvl w:val="0"/>
          <w:numId w:val="2"/>
        </w:numPr>
        <w:tabs>
          <w:tab w:val="left" w:pos="0"/>
        </w:tabs>
        <w:spacing w:after="0" w:line="240" w:lineRule="auto"/>
        <w:ind w:left="567" w:hanging="567"/>
        <w:jc w:val="both"/>
        <w:rPr>
          <w:rFonts w:ascii="Arial" w:eastAsia="Arial" w:hAnsi="Arial" w:cs="Arial"/>
          <w:b/>
          <w:sz w:val="24"/>
          <w:szCs w:val="24"/>
        </w:rPr>
      </w:pPr>
      <w:r>
        <w:rPr>
          <w:rFonts w:ascii="Arial" w:eastAsia="Arial" w:hAnsi="Arial" w:cs="Arial"/>
          <w:b/>
          <w:sz w:val="24"/>
          <w:szCs w:val="24"/>
        </w:rPr>
        <w:lastRenderedPageBreak/>
        <w:t>ESTRUCTURA VIGENTE DE LA RMS</w:t>
      </w:r>
    </w:p>
    <w:p w14:paraId="5976DF4A" w14:textId="77777777" w:rsidR="00150A2B" w:rsidRDefault="00150A2B">
      <w:pPr>
        <w:spacing w:after="0" w:line="240" w:lineRule="auto"/>
        <w:jc w:val="both"/>
        <w:rPr>
          <w:rFonts w:ascii="Arial" w:eastAsia="Arial" w:hAnsi="Arial" w:cs="Arial"/>
          <w:sz w:val="24"/>
          <w:szCs w:val="24"/>
        </w:rPr>
      </w:pPr>
    </w:p>
    <w:p w14:paraId="5424E5AD" w14:textId="6D57E9F8" w:rsidR="00150A2B" w:rsidRDefault="004B77E4" w:rsidP="0020642F">
      <w:pPr>
        <w:spacing w:before="240" w:after="240" w:line="240" w:lineRule="auto"/>
        <w:jc w:val="both"/>
        <w:rPr>
          <w:rFonts w:ascii="Arial" w:eastAsia="Arial" w:hAnsi="Arial" w:cs="Arial"/>
          <w:sz w:val="24"/>
          <w:szCs w:val="24"/>
        </w:rPr>
      </w:pPr>
      <w:r>
        <w:rPr>
          <w:rFonts w:ascii="Arial" w:eastAsia="Arial" w:hAnsi="Arial" w:cs="Arial"/>
          <w:sz w:val="24"/>
          <w:szCs w:val="24"/>
        </w:rPr>
        <w:t xml:space="preserve">Teniendo en cuenta la </w:t>
      </w:r>
      <w:proofErr w:type="spellStart"/>
      <w:r>
        <w:rPr>
          <w:rFonts w:ascii="Arial" w:eastAsia="Arial" w:hAnsi="Arial" w:cs="Arial"/>
          <w:sz w:val="24"/>
          <w:szCs w:val="24"/>
        </w:rPr>
        <w:t>Dec</w:t>
      </w:r>
      <w:proofErr w:type="spellEnd"/>
      <w:r>
        <w:rPr>
          <w:rFonts w:ascii="Arial" w:eastAsia="Arial" w:hAnsi="Arial" w:cs="Arial"/>
          <w:sz w:val="24"/>
          <w:szCs w:val="24"/>
        </w:rPr>
        <w:t>. 19/19 “Actualización de la Estructura Institucional del MERCOSUR”, Art. 3 y  lo que fuera informado oportunamente en el Acta de CC-RMS 02/19 (Anexo 10) el organigrama de la RMS no ha sufrido modificaciones y su estructura interna es la siguiente:</w:t>
      </w:r>
    </w:p>
    <w:p w14:paraId="268C022E" w14:textId="77777777" w:rsidR="00150A2B" w:rsidRDefault="004B77E4">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Reunión de Ministros de Salud (RMS) </w:t>
      </w:r>
    </w:p>
    <w:p w14:paraId="643C5A80" w14:textId="77777777" w:rsidR="00150A2B" w:rsidRDefault="004B77E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Comité Coordinador de la RMS (RMS-CC) </w:t>
      </w:r>
    </w:p>
    <w:p w14:paraId="7A68DEC0" w14:textId="77777777" w:rsidR="00150A2B" w:rsidRDefault="004B77E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Comisión Intergubernamental Control del Tabaco (CICT) </w:t>
      </w:r>
    </w:p>
    <w:p w14:paraId="24366E6D" w14:textId="77777777" w:rsidR="00150A2B" w:rsidRDefault="004B77E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Comisión Intergubernamental de Sangre y Hemoderivados del MERCOSUR (CISH)</w:t>
      </w:r>
    </w:p>
    <w:p w14:paraId="57371D0B" w14:textId="77777777" w:rsidR="00150A2B" w:rsidRDefault="004B77E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Comisión Intergubernamental Implementación del RSI (CIRSI) </w:t>
      </w:r>
    </w:p>
    <w:p w14:paraId="786219D7" w14:textId="77777777" w:rsidR="00150A2B" w:rsidRDefault="004B77E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Comisión Intergubernamental Donación y Trasplantes (CIDT) </w:t>
      </w:r>
    </w:p>
    <w:p w14:paraId="66864E0E" w14:textId="77777777" w:rsidR="00150A2B" w:rsidRDefault="004B77E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Comisión Intergubernamental de Seguridad Alimentaria y Nutricional (CISAN)</w:t>
      </w:r>
    </w:p>
    <w:p w14:paraId="496D6027" w14:textId="77777777" w:rsidR="00150A2B" w:rsidRDefault="004B77E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Comité Ad Hoc de Negociación de Medicamentos de Alto Costo (CAHNEG)</w:t>
      </w:r>
    </w:p>
    <w:p w14:paraId="040E95AF" w14:textId="77777777" w:rsidR="00150A2B" w:rsidRDefault="004B77E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Comisión Intergubernamental Política de Medicamentos (CIPM) </w:t>
      </w:r>
    </w:p>
    <w:p w14:paraId="3E910210" w14:textId="77777777" w:rsidR="00150A2B" w:rsidRDefault="004B77E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Comisión Intergubernamental VIH-SIDA (CIVIH) </w:t>
      </w:r>
    </w:p>
    <w:p w14:paraId="5C08EF16" w14:textId="77777777" w:rsidR="00150A2B" w:rsidRDefault="004B77E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Comisión Intergubernamental Salud Sexual y Reproductiva (CISSR)</w:t>
      </w:r>
    </w:p>
    <w:p w14:paraId="5DC8FF93" w14:textId="77777777" w:rsidR="00150A2B" w:rsidRDefault="004B77E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Comisión Intergubernamental Enfermedades No Transmisibles (CIENT)</w:t>
      </w:r>
    </w:p>
    <w:p w14:paraId="0301896A" w14:textId="77777777" w:rsidR="00150A2B" w:rsidRDefault="004B77E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Comisión Intergubernamental Salud Ambiental y del Trabajador (CISAT) </w:t>
      </w:r>
    </w:p>
    <w:p w14:paraId="6D016745" w14:textId="77777777" w:rsidR="00150A2B" w:rsidRDefault="00150A2B" w:rsidP="0020642F">
      <w:pPr>
        <w:spacing w:after="0" w:line="240" w:lineRule="auto"/>
        <w:jc w:val="both"/>
        <w:rPr>
          <w:rFonts w:ascii="Arial" w:eastAsia="Arial" w:hAnsi="Arial" w:cs="Arial"/>
          <w:sz w:val="24"/>
          <w:szCs w:val="24"/>
        </w:rPr>
      </w:pPr>
    </w:p>
    <w:p w14:paraId="69E3B202" w14:textId="48E01E75" w:rsidR="00150A2B" w:rsidRDefault="00150A2B" w:rsidP="0020642F">
      <w:pPr>
        <w:spacing w:after="0" w:line="240" w:lineRule="auto"/>
        <w:jc w:val="both"/>
        <w:rPr>
          <w:rFonts w:ascii="Arial" w:eastAsia="Arial" w:hAnsi="Arial" w:cs="Arial"/>
          <w:sz w:val="24"/>
          <w:szCs w:val="24"/>
        </w:rPr>
      </w:pPr>
    </w:p>
    <w:p w14:paraId="58FD5A53" w14:textId="77777777" w:rsidR="0020642F" w:rsidRDefault="0020642F" w:rsidP="0020642F">
      <w:pPr>
        <w:spacing w:after="0" w:line="240" w:lineRule="auto"/>
        <w:jc w:val="both"/>
        <w:rPr>
          <w:rFonts w:ascii="Arial" w:eastAsia="Arial" w:hAnsi="Arial" w:cs="Arial"/>
          <w:sz w:val="24"/>
          <w:szCs w:val="24"/>
        </w:rPr>
      </w:pPr>
    </w:p>
    <w:p w14:paraId="5F30F5E1" w14:textId="77777777" w:rsidR="00150A2B" w:rsidRDefault="004B77E4" w:rsidP="0020642F">
      <w:pPr>
        <w:spacing w:after="0"/>
        <w:jc w:val="both"/>
        <w:rPr>
          <w:rFonts w:ascii="Arial" w:eastAsia="Arial" w:hAnsi="Arial" w:cs="Arial"/>
          <w:b/>
          <w:sz w:val="24"/>
          <w:szCs w:val="24"/>
        </w:rPr>
      </w:pPr>
      <w:r>
        <w:rPr>
          <w:rFonts w:ascii="Arial" w:eastAsia="Arial" w:hAnsi="Arial" w:cs="Arial"/>
          <w:b/>
          <w:sz w:val="24"/>
          <w:szCs w:val="24"/>
        </w:rPr>
        <w:t>AGRADECIMIENTO</w:t>
      </w:r>
    </w:p>
    <w:p w14:paraId="74559BF1" w14:textId="0A7F0A9B" w:rsidR="00150A2B" w:rsidRDefault="00150A2B" w:rsidP="0020642F">
      <w:pPr>
        <w:spacing w:after="0"/>
        <w:jc w:val="both"/>
        <w:rPr>
          <w:rFonts w:ascii="Arial" w:eastAsia="Arial" w:hAnsi="Arial" w:cs="Arial"/>
          <w:sz w:val="24"/>
          <w:szCs w:val="24"/>
        </w:rPr>
      </w:pPr>
    </w:p>
    <w:p w14:paraId="134C5946" w14:textId="77777777" w:rsidR="00150A2B" w:rsidRDefault="004B77E4" w:rsidP="0020642F">
      <w:pPr>
        <w:spacing w:after="0"/>
        <w:jc w:val="both"/>
        <w:rPr>
          <w:rFonts w:ascii="Arial" w:eastAsia="Arial" w:hAnsi="Arial" w:cs="Arial"/>
          <w:sz w:val="24"/>
          <w:szCs w:val="24"/>
        </w:rPr>
      </w:pPr>
      <w:r>
        <w:rPr>
          <w:rFonts w:ascii="Arial" w:eastAsia="Arial" w:hAnsi="Arial" w:cs="Arial"/>
          <w:sz w:val="24"/>
          <w:szCs w:val="24"/>
        </w:rPr>
        <w:t>Los Señores Ministros agradecieron a la PPTU por la exitosa organización y desarrollo de las reuniones, así como el apoyo brindado por la Secretaría del MERCOSUR.</w:t>
      </w:r>
    </w:p>
    <w:p w14:paraId="73099B7B" w14:textId="77777777" w:rsidR="00150A2B" w:rsidRDefault="00150A2B">
      <w:pPr>
        <w:spacing w:after="0" w:line="240" w:lineRule="auto"/>
        <w:jc w:val="both"/>
        <w:rPr>
          <w:rFonts w:ascii="Arial" w:eastAsia="Arial" w:hAnsi="Arial" w:cs="Arial"/>
          <w:sz w:val="24"/>
          <w:szCs w:val="24"/>
        </w:rPr>
      </w:pPr>
    </w:p>
    <w:p w14:paraId="529EC1B5" w14:textId="77777777" w:rsidR="00150A2B" w:rsidRDefault="00150A2B">
      <w:pPr>
        <w:spacing w:after="0" w:line="240" w:lineRule="auto"/>
        <w:jc w:val="both"/>
        <w:rPr>
          <w:rFonts w:ascii="Arial" w:eastAsia="Arial" w:hAnsi="Arial" w:cs="Arial"/>
          <w:sz w:val="24"/>
          <w:szCs w:val="24"/>
        </w:rPr>
      </w:pPr>
    </w:p>
    <w:p w14:paraId="7A121344" w14:textId="77777777" w:rsidR="00150A2B" w:rsidRDefault="00150A2B">
      <w:pPr>
        <w:spacing w:after="0" w:line="240" w:lineRule="auto"/>
        <w:jc w:val="both"/>
        <w:rPr>
          <w:rFonts w:ascii="Arial" w:eastAsia="Arial" w:hAnsi="Arial" w:cs="Arial"/>
          <w:sz w:val="24"/>
          <w:szCs w:val="24"/>
        </w:rPr>
      </w:pPr>
    </w:p>
    <w:p w14:paraId="227A1729" w14:textId="77777777" w:rsidR="00150A2B" w:rsidRDefault="004B77E4">
      <w:pPr>
        <w:spacing w:after="0" w:line="240" w:lineRule="auto"/>
        <w:jc w:val="both"/>
        <w:rPr>
          <w:rFonts w:ascii="Arial" w:eastAsia="Arial" w:hAnsi="Arial" w:cs="Arial"/>
          <w:b/>
          <w:sz w:val="24"/>
          <w:szCs w:val="24"/>
        </w:rPr>
      </w:pPr>
      <w:r>
        <w:rPr>
          <w:rFonts w:ascii="Arial" w:eastAsia="Arial" w:hAnsi="Arial" w:cs="Arial"/>
          <w:b/>
          <w:sz w:val="24"/>
          <w:szCs w:val="24"/>
        </w:rPr>
        <w:t>ANEXOS</w:t>
      </w:r>
    </w:p>
    <w:p w14:paraId="40D73252" w14:textId="77777777" w:rsidR="00150A2B" w:rsidRDefault="00150A2B">
      <w:pPr>
        <w:spacing w:after="0" w:line="240" w:lineRule="auto"/>
        <w:jc w:val="both"/>
        <w:rPr>
          <w:rFonts w:ascii="Arial" w:eastAsia="Arial" w:hAnsi="Arial" w:cs="Arial"/>
          <w:sz w:val="24"/>
          <w:szCs w:val="24"/>
        </w:rPr>
      </w:pPr>
    </w:p>
    <w:p w14:paraId="1AB256FF" w14:textId="77777777" w:rsidR="00150A2B" w:rsidRDefault="004B77E4">
      <w:pPr>
        <w:tabs>
          <w:tab w:val="center" w:pos="4252"/>
          <w:tab w:val="right" w:pos="8504"/>
        </w:tabs>
        <w:spacing w:after="0" w:line="240" w:lineRule="auto"/>
        <w:jc w:val="both"/>
        <w:rPr>
          <w:rFonts w:ascii="Arial" w:eastAsia="Arial" w:hAnsi="Arial" w:cs="Arial"/>
          <w:sz w:val="24"/>
          <w:szCs w:val="24"/>
        </w:rPr>
      </w:pPr>
      <w:r>
        <w:rPr>
          <w:rFonts w:ascii="Arial" w:eastAsia="Arial" w:hAnsi="Arial" w:cs="Arial"/>
          <w:sz w:val="24"/>
          <w:szCs w:val="24"/>
        </w:rPr>
        <w:t>Los Anexos que hacen parte de la presente Acta son los siguientes:</w:t>
      </w:r>
    </w:p>
    <w:p w14:paraId="46C03AFF" w14:textId="77777777" w:rsidR="00150A2B" w:rsidRDefault="00150A2B">
      <w:pPr>
        <w:tabs>
          <w:tab w:val="left" w:pos="3600"/>
        </w:tabs>
        <w:spacing w:after="0" w:line="240" w:lineRule="auto"/>
        <w:jc w:val="both"/>
        <w:rPr>
          <w:rFonts w:ascii="Arial" w:eastAsia="Arial" w:hAnsi="Arial" w:cs="Arial"/>
          <w:sz w:val="24"/>
          <w:szCs w:val="24"/>
        </w:rPr>
      </w:pPr>
    </w:p>
    <w:tbl>
      <w:tblPr>
        <w:tblStyle w:val="a"/>
        <w:tblW w:w="8647" w:type="dxa"/>
        <w:tblInd w:w="0" w:type="dxa"/>
        <w:tblLayout w:type="fixed"/>
        <w:tblLook w:val="0000" w:firstRow="0" w:lastRow="0" w:firstColumn="0" w:lastColumn="0" w:noHBand="0" w:noVBand="0"/>
      </w:tblPr>
      <w:tblGrid>
        <w:gridCol w:w="1485"/>
        <w:gridCol w:w="7162"/>
      </w:tblGrid>
      <w:tr w:rsidR="00150A2B" w14:paraId="024A9F45" w14:textId="77777777">
        <w:tc>
          <w:tcPr>
            <w:tcW w:w="1485" w:type="dxa"/>
          </w:tcPr>
          <w:p w14:paraId="57A4119E" w14:textId="77777777" w:rsidR="00150A2B" w:rsidRDefault="004B77E4">
            <w:pPr>
              <w:spacing w:after="0" w:line="240" w:lineRule="auto"/>
              <w:ind w:right="45"/>
              <w:jc w:val="both"/>
              <w:rPr>
                <w:rFonts w:ascii="Arial" w:eastAsia="Arial" w:hAnsi="Arial" w:cs="Arial"/>
                <w:b/>
                <w:sz w:val="24"/>
                <w:szCs w:val="24"/>
              </w:rPr>
            </w:pPr>
            <w:r>
              <w:rPr>
                <w:rFonts w:ascii="Arial" w:eastAsia="Arial" w:hAnsi="Arial" w:cs="Arial"/>
                <w:b/>
                <w:sz w:val="24"/>
                <w:szCs w:val="24"/>
              </w:rPr>
              <w:t>Anexo I</w:t>
            </w:r>
          </w:p>
        </w:tc>
        <w:tc>
          <w:tcPr>
            <w:tcW w:w="7162" w:type="dxa"/>
          </w:tcPr>
          <w:p w14:paraId="4C44B117" w14:textId="77777777" w:rsidR="00150A2B" w:rsidRDefault="004B77E4">
            <w:pPr>
              <w:spacing w:after="0" w:line="240" w:lineRule="auto"/>
              <w:ind w:right="45"/>
              <w:jc w:val="both"/>
              <w:rPr>
                <w:rFonts w:ascii="Arial" w:eastAsia="Arial" w:hAnsi="Arial" w:cs="Arial"/>
                <w:sz w:val="24"/>
                <w:szCs w:val="24"/>
              </w:rPr>
            </w:pPr>
            <w:r>
              <w:rPr>
                <w:rFonts w:ascii="Arial" w:eastAsia="Arial" w:hAnsi="Arial" w:cs="Arial"/>
                <w:sz w:val="24"/>
                <w:szCs w:val="24"/>
              </w:rPr>
              <w:t>Lista de Participantes</w:t>
            </w:r>
          </w:p>
        </w:tc>
      </w:tr>
      <w:tr w:rsidR="00150A2B" w14:paraId="50ACC0FE" w14:textId="77777777">
        <w:tc>
          <w:tcPr>
            <w:tcW w:w="1485" w:type="dxa"/>
          </w:tcPr>
          <w:p w14:paraId="03CCBA5D" w14:textId="77777777" w:rsidR="00150A2B" w:rsidRDefault="004B77E4">
            <w:pPr>
              <w:spacing w:after="0" w:line="240" w:lineRule="auto"/>
              <w:ind w:right="45"/>
              <w:jc w:val="both"/>
              <w:rPr>
                <w:rFonts w:ascii="Arial" w:eastAsia="Arial" w:hAnsi="Arial" w:cs="Arial"/>
                <w:b/>
                <w:sz w:val="24"/>
                <w:szCs w:val="24"/>
              </w:rPr>
            </w:pPr>
            <w:r>
              <w:rPr>
                <w:rFonts w:ascii="Arial" w:eastAsia="Arial" w:hAnsi="Arial" w:cs="Arial"/>
                <w:b/>
                <w:sz w:val="24"/>
                <w:szCs w:val="24"/>
              </w:rPr>
              <w:t>Anexo II</w:t>
            </w:r>
          </w:p>
        </w:tc>
        <w:tc>
          <w:tcPr>
            <w:tcW w:w="7162" w:type="dxa"/>
          </w:tcPr>
          <w:p w14:paraId="60164047" w14:textId="77777777" w:rsidR="00150A2B" w:rsidRDefault="004B77E4">
            <w:pPr>
              <w:spacing w:after="0" w:line="240" w:lineRule="auto"/>
              <w:ind w:right="45"/>
              <w:jc w:val="both"/>
              <w:rPr>
                <w:rFonts w:ascii="Arial" w:eastAsia="Arial" w:hAnsi="Arial" w:cs="Arial"/>
                <w:sz w:val="24"/>
                <w:szCs w:val="24"/>
              </w:rPr>
            </w:pPr>
            <w:r>
              <w:rPr>
                <w:rFonts w:ascii="Arial" w:eastAsia="Arial" w:hAnsi="Arial" w:cs="Arial"/>
                <w:sz w:val="24"/>
                <w:szCs w:val="24"/>
              </w:rPr>
              <w:t>Agenda</w:t>
            </w:r>
          </w:p>
        </w:tc>
      </w:tr>
      <w:tr w:rsidR="00150A2B" w14:paraId="5CDFA727" w14:textId="77777777">
        <w:tc>
          <w:tcPr>
            <w:tcW w:w="1485" w:type="dxa"/>
          </w:tcPr>
          <w:p w14:paraId="0E74BFB2" w14:textId="77777777" w:rsidR="00150A2B" w:rsidRDefault="004B77E4">
            <w:pPr>
              <w:spacing w:after="0" w:line="240" w:lineRule="auto"/>
              <w:ind w:right="45"/>
              <w:jc w:val="both"/>
              <w:rPr>
                <w:rFonts w:ascii="Arial" w:eastAsia="Arial" w:hAnsi="Arial" w:cs="Arial"/>
                <w:b/>
                <w:sz w:val="24"/>
                <w:szCs w:val="24"/>
              </w:rPr>
            </w:pPr>
            <w:r>
              <w:rPr>
                <w:rFonts w:ascii="Arial" w:eastAsia="Arial" w:hAnsi="Arial" w:cs="Arial"/>
                <w:b/>
                <w:sz w:val="24"/>
                <w:szCs w:val="24"/>
              </w:rPr>
              <w:t>Anexo III</w:t>
            </w:r>
          </w:p>
        </w:tc>
        <w:tc>
          <w:tcPr>
            <w:tcW w:w="7162" w:type="dxa"/>
          </w:tcPr>
          <w:p w14:paraId="2FEAC6F6" w14:textId="77777777" w:rsidR="00150A2B" w:rsidRDefault="004B77E4">
            <w:pPr>
              <w:spacing w:after="0" w:line="240" w:lineRule="auto"/>
              <w:ind w:right="45"/>
              <w:jc w:val="both"/>
              <w:rPr>
                <w:rFonts w:ascii="Arial" w:eastAsia="Arial" w:hAnsi="Arial" w:cs="Arial"/>
                <w:sz w:val="24"/>
                <w:szCs w:val="24"/>
              </w:rPr>
            </w:pPr>
            <w:r>
              <w:rPr>
                <w:rFonts w:ascii="Arial" w:eastAsia="Arial" w:hAnsi="Arial" w:cs="Arial"/>
                <w:sz w:val="24"/>
                <w:szCs w:val="24"/>
              </w:rPr>
              <w:t>Resumen del Acta</w:t>
            </w:r>
          </w:p>
        </w:tc>
      </w:tr>
      <w:tr w:rsidR="00150A2B" w14:paraId="5C0C02E8" w14:textId="77777777">
        <w:tc>
          <w:tcPr>
            <w:tcW w:w="1485" w:type="dxa"/>
          </w:tcPr>
          <w:p w14:paraId="0B1C7091" w14:textId="77777777" w:rsidR="00150A2B" w:rsidRDefault="004B77E4">
            <w:pPr>
              <w:spacing w:after="0" w:line="240" w:lineRule="auto"/>
              <w:ind w:right="45"/>
              <w:jc w:val="both"/>
              <w:rPr>
                <w:rFonts w:ascii="Arial" w:eastAsia="Arial" w:hAnsi="Arial" w:cs="Arial"/>
                <w:b/>
                <w:sz w:val="24"/>
                <w:szCs w:val="24"/>
              </w:rPr>
            </w:pPr>
            <w:r>
              <w:rPr>
                <w:rFonts w:ascii="Arial" w:eastAsia="Arial" w:hAnsi="Arial" w:cs="Arial"/>
                <w:b/>
                <w:sz w:val="24"/>
                <w:szCs w:val="24"/>
              </w:rPr>
              <w:t>Anexo IV</w:t>
            </w:r>
          </w:p>
        </w:tc>
        <w:tc>
          <w:tcPr>
            <w:tcW w:w="7162" w:type="dxa"/>
          </w:tcPr>
          <w:p w14:paraId="5D1725A5" w14:textId="77777777" w:rsidR="00150A2B" w:rsidRDefault="004B77E4">
            <w:pPr>
              <w:spacing w:after="0" w:line="240" w:lineRule="auto"/>
              <w:ind w:right="45"/>
              <w:jc w:val="both"/>
              <w:rPr>
                <w:rFonts w:ascii="Arial" w:eastAsia="Arial" w:hAnsi="Arial" w:cs="Arial"/>
                <w:sz w:val="24"/>
                <w:szCs w:val="24"/>
              </w:rPr>
            </w:pPr>
            <w:r>
              <w:rPr>
                <w:rFonts w:ascii="Arial" w:eastAsia="Arial" w:hAnsi="Arial" w:cs="Arial"/>
                <w:sz w:val="24"/>
                <w:szCs w:val="24"/>
              </w:rPr>
              <w:t>Informe sobre los trabajos realizados durante el segundo semestre de 2020 - PPTU</w:t>
            </w:r>
          </w:p>
        </w:tc>
      </w:tr>
      <w:tr w:rsidR="00150A2B" w14:paraId="0489BE71" w14:textId="77777777">
        <w:tc>
          <w:tcPr>
            <w:tcW w:w="1485" w:type="dxa"/>
          </w:tcPr>
          <w:p w14:paraId="53D8618F" w14:textId="77777777" w:rsidR="00150A2B" w:rsidRDefault="004B77E4">
            <w:pPr>
              <w:spacing w:after="0" w:line="240" w:lineRule="auto"/>
              <w:ind w:right="45"/>
              <w:jc w:val="both"/>
              <w:rPr>
                <w:rFonts w:ascii="Arial" w:eastAsia="Arial" w:hAnsi="Arial" w:cs="Arial"/>
                <w:b/>
                <w:sz w:val="24"/>
                <w:szCs w:val="24"/>
              </w:rPr>
            </w:pPr>
            <w:r>
              <w:rPr>
                <w:rFonts w:ascii="Arial" w:eastAsia="Arial" w:hAnsi="Arial" w:cs="Arial"/>
                <w:b/>
                <w:sz w:val="24"/>
                <w:szCs w:val="24"/>
              </w:rPr>
              <w:lastRenderedPageBreak/>
              <w:t>Anexo V</w:t>
            </w:r>
          </w:p>
        </w:tc>
        <w:tc>
          <w:tcPr>
            <w:tcW w:w="7162" w:type="dxa"/>
          </w:tcPr>
          <w:p w14:paraId="2F239EA4" w14:textId="77777777" w:rsidR="00150A2B" w:rsidRDefault="004B77E4">
            <w:pPr>
              <w:spacing w:after="0" w:line="240" w:lineRule="auto"/>
              <w:ind w:right="45"/>
              <w:jc w:val="both"/>
              <w:rPr>
                <w:rFonts w:ascii="Arial" w:eastAsia="Arial" w:hAnsi="Arial" w:cs="Arial"/>
                <w:sz w:val="24"/>
                <w:szCs w:val="24"/>
              </w:rPr>
            </w:pPr>
            <w:r>
              <w:rPr>
                <w:rFonts w:ascii="Arial" w:eastAsia="Arial" w:hAnsi="Arial" w:cs="Arial"/>
                <w:sz w:val="24"/>
                <w:szCs w:val="24"/>
              </w:rPr>
              <w:t xml:space="preserve">Acta </w:t>
            </w:r>
            <w:proofErr w:type="spellStart"/>
            <w:r>
              <w:rPr>
                <w:rFonts w:ascii="Arial" w:eastAsia="Arial" w:hAnsi="Arial" w:cs="Arial"/>
                <w:sz w:val="24"/>
                <w:szCs w:val="24"/>
              </w:rPr>
              <w:t>N°</w:t>
            </w:r>
            <w:proofErr w:type="spellEnd"/>
            <w:r>
              <w:rPr>
                <w:rFonts w:ascii="Arial" w:eastAsia="Arial" w:hAnsi="Arial" w:cs="Arial"/>
                <w:sz w:val="24"/>
                <w:szCs w:val="24"/>
              </w:rPr>
              <w:t xml:space="preserve"> 02/20 de la Reunión del Comité Coordinador Preparatoria de la XLVII Reunión Ordinaria de Ministros de Salud del MERCOSUR (CC-RMS)</w:t>
            </w:r>
          </w:p>
        </w:tc>
      </w:tr>
      <w:tr w:rsidR="00150A2B" w14:paraId="43C33BEA" w14:textId="77777777">
        <w:tc>
          <w:tcPr>
            <w:tcW w:w="1485" w:type="dxa"/>
          </w:tcPr>
          <w:p w14:paraId="335BA5C1" w14:textId="77777777" w:rsidR="00150A2B" w:rsidRDefault="004B77E4">
            <w:pPr>
              <w:spacing w:after="0" w:line="240" w:lineRule="auto"/>
              <w:ind w:right="45"/>
              <w:jc w:val="both"/>
              <w:rPr>
                <w:rFonts w:ascii="Arial" w:eastAsia="Arial" w:hAnsi="Arial" w:cs="Arial"/>
                <w:b/>
                <w:sz w:val="24"/>
                <w:szCs w:val="24"/>
              </w:rPr>
            </w:pPr>
            <w:r>
              <w:rPr>
                <w:rFonts w:ascii="Arial" w:eastAsia="Arial" w:hAnsi="Arial" w:cs="Arial"/>
                <w:b/>
                <w:sz w:val="24"/>
                <w:szCs w:val="24"/>
              </w:rPr>
              <w:t>Anexo VI</w:t>
            </w:r>
          </w:p>
        </w:tc>
        <w:tc>
          <w:tcPr>
            <w:tcW w:w="7162" w:type="dxa"/>
          </w:tcPr>
          <w:p w14:paraId="5DF2B980" w14:textId="77777777" w:rsidR="00150A2B" w:rsidRDefault="004B77E4">
            <w:pPr>
              <w:spacing w:after="0" w:line="240" w:lineRule="auto"/>
              <w:ind w:right="45"/>
              <w:jc w:val="both"/>
              <w:rPr>
                <w:rFonts w:ascii="Arial" w:eastAsia="Arial" w:hAnsi="Arial" w:cs="Arial"/>
                <w:sz w:val="24"/>
                <w:szCs w:val="24"/>
              </w:rPr>
            </w:pPr>
            <w:r>
              <w:rPr>
                <w:rFonts w:ascii="Arial" w:eastAsia="Arial" w:hAnsi="Arial" w:cs="Arial"/>
                <w:sz w:val="24"/>
                <w:szCs w:val="24"/>
              </w:rPr>
              <w:t>Informe de la Situación Epidemiológica de la Región</w:t>
            </w:r>
          </w:p>
        </w:tc>
      </w:tr>
      <w:tr w:rsidR="00150A2B" w14:paraId="14F47273" w14:textId="77777777">
        <w:tc>
          <w:tcPr>
            <w:tcW w:w="1485" w:type="dxa"/>
          </w:tcPr>
          <w:p w14:paraId="33DE66BC" w14:textId="60B7C148" w:rsidR="00150A2B" w:rsidRDefault="004B77E4">
            <w:pPr>
              <w:spacing w:after="0" w:line="240" w:lineRule="auto"/>
              <w:ind w:right="45"/>
              <w:jc w:val="both"/>
              <w:rPr>
                <w:rFonts w:ascii="Arial" w:eastAsia="Arial" w:hAnsi="Arial" w:cs="Arial"/>
                <w:b/>
                <w:sz w:val="24"/>
                <w:szCs w:val="24"/>
              </w:rPr>
            </w:pPr>
            <w:r>
              <w:rPr>
                <w:rFonts w:ascii="Arial" w:eastAsia="Arial" w:hAnsi="Arial" w:cs="Arial"/>
                <w:b/>
                <w:sz w:val="24"/>
                <w:szCs w:val="24"/>
              </w:rPr>
              <w:t>Anexo VII</w:t>
            </w:r>
          </w:p>
        </w:tc>
        <w:tc>
          <w:tcPr>
            <w:tcW w:w="7162" w:type="dxa"/>
          </w:tcPr>
          <w:p w14:paraId="76181542" w14:textId="77777777" w:rsidR="00150A2B" w:rsidRDefault="004B77E4">
            <w:pPr>
              <w:spacing w:after="0" w:line="240" w:lineRule="auto"/>
              <w:ind w:right="45"/>
              <w:jc w:val="both"/>
              <w:rPr>
                <w:rFonts w:ascii="Arial" w:eastAsia="Arial" w:hAnsi="Arial" w:cs="Arial"/>
                <w:sz w:val="24"/>
                <w:szCs w:val="24"/>
              </w:rPr>
            </w:pPr>
            <w:r>
              <w:rPr>
                <w:rFonts w:ascii="Arial" w:eastAsia="Arial" w:hAnsi="Arial" w:cs="Arial"/>
                <w:sz w:val="24"/>
                <w:szCs w:val="24"/>
              </w:rPr>
              <w:t>Declaraciones de la XLVII RMS</w:t>
            </w:r>
          </w:p>
        </w:tc>
      </w:tr>
    </w:tbl>
    <w:p w14:paraId="00D767CB" w14:textId="77777777" w:rsidR="00150A2B" w:rsidRDefault="00150A2B">
      <w:pPr>
        <w:tabs>
          <w:tab w:val="left" w:pos="1800"/>
        </w:tabs>
        <w:spacing w:after="0" w:line="240" w:lineRule="auto"/>
        <w:jc w:val="both"/>
        <w:rPr>
          <w:rFonts w:ascii="Arial" w:eastAsia="Arial" w:hAnsi="Arial" w:cs="Arial"/>
          <w:b/>
          <w:sz w:val="24"/>
          <w:szCs w:val="24"/>
          <w:u w:val="single"/>
        </w:rPr>
      </w:pPr>
    </w:p>
    <w:tbl>
      <w:tblPr>
        <w:tblStyle w:val="a0"/>
        <w:tblW w:w="8645" w:type="dxa"/>
        <w:tblInd w:w="0" w:type="dxa"/>
        <w:tblLayout w:type="fixed"/>
        <w:tblLook w:val="0000" w:firstRow="0" w:lastRow="0" w:firstColumn="0" w:lastColumn="0" w:noHBand="0" w:noVBand="0"/>
      </w:tblPr>
      <w:tblGrid>
        <w:gridCol w:w="4322"/>
        <w:gridCol w:w="4323"/>
      </w:tblGrid>
      <w:tr w:rsidR="00150A2B" w14:paraId="26B53F8D" w14:textId="77777777">
        <w:trPr>
          <w:trHeight w:val="1839"/>
        </w:trPr>
        <w:tc>
          <w:tcPr>
            <w:tcW w:w="4322" w:type="dxa"/>
          </w:tcPr>
          <w:p w14:paraId="62B58B32" w14:textId="77777777" w:rsidR="00150A2B" w:rsidRDefault="00150A2B">
            <w:pPr>
              <w:spacing w:after="0" w:line="240" w:lineRule="auto"/>
              <w:jc w:val="center"/>
              <w:rPr>
                <w:rFonts w:ascii="Arial" w:eastAsia="Arial" w:hAnsi="Arial" w:cs="Arial"/>
                <w:b/>
                <w:sz w:val="24"/>
                <w:szCs w:val="24"/>
              </w:rPr>
            </w:pPr>
            <w:bookmarkStart w:id="2" w:name="_heading=h.1fob9te" w:colFirst="0" w:colLast="0"/>
            <w:bookmarkEnd w:id="2"/>
          </w:p>
          <w:p w14:paraId="69A9DCB2" w14:textId="77777777" w:rsidR="00150A2B" w:rsidRDefault="00150A2B">
            <w:pPr>
              <w:spacing w:after="0" w:line="240" w:lineRule="auto"/>
              <w:jc w:val="center"/>
              <w:rPr>
                <w:rFonts w:ascii="Arial" w:eastAsia="Arial" w:hAnsi="Arial" w:cs="Arial"/>
                <w:b/>
                <w:sz w:val="24"/>
                <w:szCs w:val="24"/>
              </w:rPr>
            </w:pPr>
          </w:p>
          <w:p w14:paraId="348494AC" w14:textId="77777777" w:rsidR="00150A2B" w:rsidRDefault="00150A2B">
            <w:pPr>
              <w:spacing w:after="0" w:line="240" w:lineRule="auto"/>
              <w:jc w:val="center"/>
              <w:rPr>
                <w:rFonts w:ascii="Arial" w:eastAsia="Arial" w:hAnsi="Arial" w:cs="Arial"/>
                <w:b/>
                <w:sz w:val="24"/>
                <w:szCs w:val="24"/>
              </w:rPr>
            </w:pPr>
          </w:p>
          <w:p w14:paraId="5D485590" w14:textId="77777777" w:rsidR="00150A2B" w:rsidRDefault="004B77E4">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_____________________________</w:t>
            </w:r>
          </w:p>
          <w:p w14:paraId="3B074F4D" w14:textId="77777777" w:rsidR="00150A2B" w:rsidRDefault="004B77E4">
            <w:pPr>
              <w:spacing w:after="0" w:line="240" w:lineRule="auto"/>
              <w:jc w:val="center"/>
              <w:rPr>
                <w:rFonts w:ascii="Arial" w:eastAsia="Arial" w:hAnsi="Arial" w:cs="Arial"/>
                <w:b/>
                <w:sz w:val="24"/>
                <w:szCs w:val="24"/>
              </w:rPr>
            </w:pPr>
            <w:r>
              <w:rPr>
                <w:rFonts w:ascii="Arial" w:eastAsia="Arial" w:hAnsi="Arial" w:cs="Arial"/>
                <w:b/>
                <w:sz w:val="24"/>
                <w:szCs w:val="24"/>
              </w:rPr>
              <w:t>GINÉS GONZÁLEZ GARCÍA</w:t>
            </w:r>
          </w:p>
          <w:p w14:paraId="227A1C95" w14:textId="77777777" w:rsidR="00150A2B" w:rsidRDefault="004B77E4">
            <w:pPr>
              <w:spacing w:after="0" w:line="240" w:lineRule="auto"/>
              <w:jc w:val="center"/>
              <w:rPr>
                <w:rFonts w:ascii="Arial" w:eastAsia="Arial" w:hAnsi="Arial" w:cs="Arial"/>
                <w:sz w:val="24"/>
                <w:szCs w:val="24"/>
              </w:rPr>
            </w:pPr>
            <w:r>
              <w:rPr>
                <w:rFonts w:ascii="Arial" w:eastAsia="Arial" w:hAnsi="Arial" w:cs="Arial"/>
                <w:sz w:val="24"/>
                <w:szCs w:val="24"/>
              </w:rPr>
              <w:t>Por la República Argentina</w:t>
            </w:r>
          </w:p>
        </w:tc>
        <w:tc>
          <w:tcPr>
            <w:tcW w:w="4323" w:type="dxa"/>
          </w:tcPr>
          <w:p w14:paraId="41A75147" w14:textId="77777777" w:rsidR="00150A2B" w:rsidRDefault="00150A2B">
            <w:pPr>
              <w:spacing w:after="0" w:line="240" w:lineRule="auto"/>
              <w:jc w:val="center"/>
              <w:rPr>
                <w:rFonts w:ascii="Arial" w:eastAsia="Arial" w:hAnsi="Arial" w:cs="Arial"/>
                <w:b/>
                <w:sz w:val="24"/>
                <w:szCs w:val="24"/>
              </w:rPr>
            </w:pPr>
          </w:p>
          <w:p w14:paraId="4AE5DFC4" w14:textId="77777777" w:rsidR="00150A2B" w:rsidRDefault="00150A2B">
            <w:pPr>
              <w:spacing w:after="0" w:line="240" w:lineRule="auto"/>
              <w:jc w:val="center"/>
              <w:rPr>
                <w:rFonts w:ascii="Arial" w:eastAsia="Arial" w:hAnsi="Arial" w:cs="Arial"/>
                <w:b/>
                <w:sz w:val="24"/>
                <w:szCs w:val="24"/>
              </w:rPr>
            </w:pPr>
          </w:p>
          <w:p w14:paraId="6FC64D46" w14:textId="77777777" w:rsidR="00150A2B" w:rsidRDefault="00150A2B">
            <w:pPr>
              <w:spacing w:after="0" w:line="240" w:lineRule="auto"/>
              <w:jc w:val="center"/>
              <w:rPr>
                <w:rFonts w:ascii="Arial" w:eastAsia="Arial" w:hAnsi="Arial" w:cs="Arial"/>
                <w:b/>
                <w:sz w:val="24"/>
                <w:szCs w:val="24"/>
              </w:rPr>
            </w:pPr>
          </w:p>
          <w:p w14:paraId="258F65ED" w14:textId="77777777" w:rsidR="00150A2B" w:rsidRDefault="004B77E4">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_____________________________</w:t>
            </w:r>
          </w:p>
          <w:p w14:paraId="0945F35E" w14:textId="77777777" w:rsidR="00150A2B" w:rsidRDefault="004B77E4">
            <w:pPr>
              <w:spacing w:after="0" w:line="240" w:lineRule="auto"/>
              <w:jc w:val="center"/>
              <w:rPr>
                <w:rFonts w:ascii="Arial" w:eastAsia="Arial" w:hAnsi="Arial" w:cs="Arial"/>
                <w:b/>
                <w:sz w:val="24"/>
                <w:szCs w:val="24"/>
              </w:rPr>
            </w:pPr>
            <w:r>
              <w:rPr>
                <w:rFonts w:ascii="Arial" w:eastAsia="Arial" w:hAnsi="Arial" w:cs="Arial"/>
                <w:b/>
                <w:sz w:val="24"/>
                <w:szCs w:val="24"/>
              </w:rPr>
              <w:t>EDUARDO PAZUELLO</w:t>
            </w:r>
          </w:p>
          <w:p w14:paraId="5B960E73" w14:textId="77777777" w:rsidR="00150A2B" w:rsidRDefault="004B77E4">
            <w:pPr>
              <w:spacing w:after="0" w:line="240" w:lineRule="auto"/>
              <w:jc w:val="center"/>
              <w:rPr>
                <w:rFonts w:ascii="Arial" w:eastAsia="Arial" w:hAnsi="Arial" w:cs="Arial"/>
                <w:sz w:val="24"/>
                <w:szCs w:val="24"/>
              </w:rPr>
            </w:pPr>
            <w:r>
              <w:rPr>
                <w:rFonts w:ascii="Arial" w:eastAsia="Arial" w:hAnsi="Arial" w:cs="Arial"/>
                <w:sz w:val="24"/>
                <w:szCs w:val="24"/>
              </w:rPr>
              <w:t>Por la República Federativa del Brasil</w:t>
            </w:r>
          </w:p>
        </w:tc>
      </w:tr>
      <w:tr w:rsidR="00150A2B" w14:paraId="0A181312" w14:textId="77777777">
        <w:trPr>
          <w:trHeight w:val="546"/>
        </w:trPr>
        <w:tc>
          <w:tcPr>
            <w:tcW w:w="4322" w:type="dxa"/>
          </w:tcPr>
          <w:p w14:paraId="1253BBAC" w14:textId="77777777" w:rsidR="00150A2B" w:rsidRDefault="00150A2B">
            <w:pPr>
              <w:spacing w:after="0" w:line="240" w:lineRule="auto"/>
              <w:jc w:val="center"/>
              <w:rPr>
                <w:rFonts w:ascii="Arial" w:eastAsia="Arial" w:hAnsi="Arial" w:cs="Arial"/>
                <w:b/>
                <w:sz w:val="24"/>
                <w:szCs w:val="24"/>
              </w:rPr>
            </w:pPr>
          </w:p>
          <w:p w14:paraId="315378D9" w14:textId="77777777" w:rsidR="00150A2B" w:rsidRDefault="00150A2B">
            <w:pPr>
              <w:spacing w:after="0" w:line="240" w:lineRule="auto"/>
              <w:jc w:val="center"/>
              <w:rPr>
                <w:rFonts w:ascii="Arial" w:eastAsia="Arial" w:hAnsi="Arial" w:cs="Arial"/>
                <w:b/>
                <w:sz w:val="24"/>
                <w:szCs w:val="24"/>
              </w:rPr>
            </w:pPr>
          </w:p>
          <w:p w14:paraId="6A4FDB9F" w14:textId="77777777" w:rsidR="00150A2B" w:rsidRDefault="00150A2B">
            <w:pPr>
              <w:spacing w:after="0" w:line="240" w:lineRule="auto"/>
              <w:jc w:val="center"/>
              <w:rPr>
                <w:rFonts w:ascii="Arial" w:eastAsia="Arial" w:hAnsi="Arial" w:cs="Arial"/>
                <w:b/>
                <w:sz w:val="24"/>
                <w:szCs w:val="24"/>
              </w:rPr>
            </w:pPr>
          </w:p>
          <w:p w14:paraId="14A944D9" w14:textId="77777777" w:rsidR="00150A2B" w:rsidRDefault="004B77E4">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_____________________________</w:t>
            </w:r>
          </w:p>
          <w:p w14:paraId="3CC2E364" w14:textId="77777777" w:rsidR="00150A2B" w:rsidRDefault="004B77E4">
            <w:pPr>
              <w:spacing w:after="0" w:line="240" w:lineRule="auto"/>
              <w:jc w:val="center"/>
              <w:rPr>
                <w:rFonts w:ascii="Arial" w:eastAsia="Arial" w:hAnsi="Arial" w:cs="Arial"/>
                <w:b/>
                <w:sz w:val="24"/>
                <w:szCs w:val="24"/>
              </w:rPr>
            </w:pPr>
            <w:r>
              <w:rPr>
                <w:rFonts w:ascii="Arial" w:eastAsia="Arial" w:hAnsi="Arial" w:cs="Arial"/>
                <w:b/>
                <w:sz w:val="24"/>
                <w:szCs w:val="24"/>
              </w:rPr>
              <w:t>JULIO MAZZOLENI INSFRÁN</w:t>
            </w:r>
          </w:p>
          <w:p w14:paraId="1B9A53C3" w14:textId="77777777" w:rsidR="00150A2B" w:rsidRDefault="004B77E4">
            <w:pPr>
              <w:spacing w:after="0" w:line="240" w:lineRule="auto"/>
              <w:jc w:val="center"/>
              <w:rPr>
                <w:rFonts w:ascii="Arial" w:eastAsia="Arial" w:hAnsi="Arial" w:cs="Arial"/>
                <w:sz w:val="24"/>
                <w:szCs w:val="24"/>
              </w:rPr>
            </w:pPr>
            <w:r>
              <w:rPr>
                <w:rFonts w:ascii="Arial" w:eastAsia="Arial" w:hAnsi="Arial" w:cs="Arial"/>
                <w:sz w:val="24"/>
                <w:szCs w:val="24"/>
              </w:rPr>
              <w:t xml:space="preserve"> Por la República del Paraguay</w:t>
            </w:r>
          </w:p>
          <w:p w14:paraId="0A8C30EA" w14:textId="77777777" w:rsidR="00150A2B" w:rsidRDefault="00150A2B">
            <w:pPr>
              <w:spacing w:after="0" w:line="240" w:lineRule="auto"/>
              <w:jc w:val="center"/>
              <w:rPr>
                <w:rFonts w:ascii="Arial" w:eastAsia="Arial" w:hAnsi="Arial" w:cs="Arial"/>
                <w:sz w:val="24"/>
                <w:szCs w:val="24"/>
              </w:rPr>
            </w:pPr>
          </w:p>
          <w:p w14:paraId="3F3D4904" w14:textId="77777777" w:rsidR="00150A2B" w:rsidRDefault="00150A2B">
            <w:pPr>
              <w:spacing w:after="0" w:line="240" w:lineRule="auto"/>
              <w:jc w:val="center"/>
              <w:rPr>
                <w:rFonts w:ascii="Arial" w:eastAsia="Arial" w:hAnsi="Arial" w:cs="Arial"/>
                <w:sz w:val="24"/>
                <w:szCs w:val="24"/>
              </w:rPr>
            </w:pPr>
          </w:p>
        </w:tc>
        <w:tc>
          <w:tcPr>
            <w:tcW w:w="4323" w:type="dxa"/>
          </w:tcPr>
          <w:p w14:paraId="2D26E749" w14:textId="77777777" w:rsidR="00150A2B" w:rsidRDefault="00150A2B">
            <w:pPr>
              <w:spacing w:after="0" w:line="240" w:lineRule="auto"/>
              <w:jc w:val="center"/>
              <w:rPr>
                <w:rFonts w:ascii="Arial" w:eastAsia="Arial" w:hAnsi="Arial" w:cs="Arial"/>
                <w:b/>
                <w:sz w:val="24"/>
                <w:szCs w:val="24"/>
              </w:rPr>
            </w:pPr>
          </w:p>
          <w:p w14:paraId="4883A446" w14:textId="77777777" w:rsidR="00150A2B" w:rsidRDefault="00150A2B">
            <w:pPr>
              <w:spacing w:after="0" w:line="240" w:lineRule="auto"/>
              <w:jc w:val="center"/>
              <w:rPr>
                <w:rFonts w:ascii="Arial" w:eastAsia="Arial" w:hAnsi="Arial" w:cs="Arial"/>
                <w:b/>
                <w:sz w:val="24"/>
                <w:szCs w:val="24"/>
              </w:rPr>
            </w:pPr>
          </w:p>
          <w:p w14:paraId="7D41F994" w14:textId="77777777" w:rsidR="00150A2B" w:rsidRDefault="00150A2B">
            <w:pPr>
              <w:spacing w:after="0" w:line="240" w:lineRule="auto"/>
              <w:jc w:val="center"/>
              <w:rPr>
                <w:rFonts w:ascii="Arial" w:eastAsia="Arial" w:hAnsi="Arial" w:cs="Arial"/>
                <w:b/>
                <w:sz w:val="24"/>
                <w:szCs w:val="24"/>
              </w:rPr>
            </w:pPr>
          </w:p>
          <w:p w14:paraId="67108F09" w14:textId="77777777" w:rsidR="00150A2B" w:rsidRDefault="004B77E4">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_____________________________</w:t>
            </w:r>
          </w:p>
          <w:p w14:paraId="014C383F" w14:textId="77777777" w:rsidR="00150A2B" w:rsidRDefault="004B77E4">
            <w:pPr>
              <w:spacing w:after="0" w:line="240" w:lineRule="auto"/>
              <w:jc w:val="center"/>
              <w:rPr>
                <w:rFonts w:ascii="Arial" w:eastAsia="Arial" w:hAnsi="Arial" w:cs="Arial"/>
                <w:b/>
                <w:sz w:val="24"/>
                <w:szCs w:val="24"/>
              </w:rPr>
            </w:pPr>
            <w:r>
              <w:rPr>
                <w:rFonts w:ascii="Arial" w:eastAsia="Arial" w:hAnsi="Arial" w:cs="Arial"/>
                <w:b/>
                <w:sz w:val="24"/>
                <w:szCs w:val="24"/>
              </w:rPr>
              <w:t>DANIEL SALINAS</w:t>
            </w:r>
          </w:p>
          <w:p w14:paraId="6416728C" w14:textId="77777777" w:rsidR="00150A2B" w:rsidRDefault="004B77E4">
            <w:pPr>
              <w:spacing w:after="0" w:line="240" w:lineRule="auto"/>
              <w:jc w:val="center"/>
              <w:rPr>
                <w:rFonts w:ascii="Arial" w:eastAsia="Arial" w:hAnsi="Arial" w:cs="Arial"/>
                <w:sz w:val="24"/>
                <w:szCs w:val="24"/>
              </w:rPr>
            </w:pPr>
            <w:r>
              <w:rPr>
                <w:rFonts w:ascii="Arial" w:eastAsia="Arial" w:hAnsi="Arial" w:cs="Arial"/>
                <w:sz w:val="24"/>
                <w:szCs w:val="24"/>
              </w:rPr>
              <w:t>Por la República Oriental del Uruguay</w:t>
            </w:r>
          </w:p>
          <w:p w14:paraId="4C353E66" w14:textId="77777777" w:rsidR="00150A2B" w:rsidRDefault="00150A2B">
            <w:pPr>
              <w:spacing w:after="0" w:line="240" w:lineRule="auto"/>
              <w:jc w:val="center"/>
              <w:rPr>
                <w:rFonts w:ascii="Arial" w:eastAsia="Arial" w:hAnsi="Arial" w:cs="Arial"/>
                <w:sz w:val="24"/>
                <w:szCs w:val="24"/>
              </w:rPr>
            </w:pPr>
          </w:p>
          <w:p w14:paraId="31A7B6AF" w14:textId="77777777" w:rsidR="00150A2B" w:rsidRDefault="00150A2B">
            <w:pPr>
              <w:spacing w:after="0" w:line="240" w:lineRule="auto"/>
              <w:jc w:val="center"/>
              <w:rPr>
                <w:rFonts w:ascii="Arial" w:eastAsia="Arial" w:hAnsi="Arial" w:cs="Arial"/>
                <w:sz w:val="24"/>
                <w:szCs w:val="24"/>
              </w:rPr>
            </w:pPr>
          </w:p>
        </w:tc>
      </w:tr>
      <w:tr w:rsidR="00150A2B" w14:paraId="3C93FD1E" w14:textId="77777777">
        <w:trPr>
          <w:trHeight w:val="546"/>
        </w:trPr>
        <w:tc>
          <w:tcPr>
            <w:tcW w:w="8645" w:type="dxa"/>
            <w:gridSpan w:val="2"/>
          </w:tcPr>
          <w:p w14:paraId="58A0558E" w14:textId="77777777" w:rsidR="00150A2B" w:rsidRDefault="00150A2B">
            <w:pPr>
              <w:spacing w:after="0" w:line="240" w:lineRule="auto"/>
              <w:jc w:val="center"/>
              <w:rPr>
                <w:rFonts w:ascii="Arial" w:eastAsia="Arial" w:hAnsi="Arial" w:cs="Arial"/>
                <w:b/>
                <w:sz w:val="24"/>
                <w:szCs w:val="24"/>
                <w:highlight w:val="yellow"/>
              </w:rPr>
            </w:pPr>
          </w:p>
          <w:p w14:paraId="19FF1562" w14:textId="77777777" w:rsidR="00150A2B" w:rsidRDefault="00150A2B">
            <w:pPr>
              <w:spacing w:after="0" w:line="240" w:lineRule="auto"/>
              <w:jc w:val="center"/>
              <w:rPr>
                <w:rFonts w:ascii="Arial" w:eastAsia="Arial" w:hAnsi="Arial" w:cs="Arial"/>
                <w:b/>
                <w:sz w:val="24"/>
                <w:szCs w:val="24"/>
              </w:rPr>
            </w:pPr>
          </w:p>
          <w:p w14:paraId="69E4208C" w14:textId="77777777" w:rsidR="00150A2B" w:rsidRDefault="004B77E4">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w:t>
            </w:r>
          </w:p>
          <w:p w14:paraId="6FC193CB" w14:textId="77777777" w:rsidR="00150A2B" w:rsidRDefault="004B77E4">
            <w:pPr>
              <w:spacing w:after="0" w:line="240" w:lineRule="auto"/>
              <w:jc w:val="center"/>
              <w:rPr>
                <w:rFonts w:ascii="Arial" w:eastAsia="Arial" w:hAnsi="Arial" w:cs="Arial"/>
                <w:b/>
                <w:sz w:val="24"/>
                <w:szCs w:val="24"/>
              </w:rPr>
            </w:pPr>
            <w:r>
              <w:rPr>
                <w:rFonts w:ascii="Arial" w:eastAsia="Arial" w:hAnsi="Arial" w:cs="Arial"/>
                <w:b/>
                <w:sz w:val="24"/>
                <w:szCs w:val="24"/>
              </w:rPr>
              <w:t>EDGAR POZO VALDIVIA</w:t>
            </w:r>
          </w:p>
          <w:p w14:paraId="704FB307" w14:textId="5D01AF19" w:rsidR="00150A2B" w:rsidRDefault="0020642F">
            <w:pPr>
              <w:spacing w:after="0" w:line="240" w:lineRule="auto"/>
              <w:jc w:val="center"/>
              <w:rPr>
                <w:rFonts w:ascii="Arial" w:eastAsia="Arial" w:hAnsi="Arial" w:cs="Arial"/>
                <w:sz w:val="24"/>
                <w:szCs w:val="24"/>
              </w:rPr>
            </w:pPr>
            <w:r>
              <w:rPr>
                <w:rFonts w:ascii="Arial" w:eastAsia="Arial" w:hAnsi="Arial" w:cs="Arial"/>
                <w:sz w:val="24"/>
                <w:szCs w:val="24"/>
              </w:rPr>
              <w:t xml:space="preserve">  </w:t>
            </w:r>
            <w:r w:rsidR="004B77E4">
              <w:rPr>
                <w:rFonts w:ascii="Arial" w:eastAsia="Arial" w:hAnsi="Arial" w:cs="Arial"/>
                <w:sz w:val="24"/>
                <w:szCs w:val="24"/>
              </w:rPr>
              <w:t>Por el Estado Plurinacional de Bolivia</w:t>
            </w:r>
          </w:p>
        </w:tc>
      </w:tr>
    </w:tbl>
    <w:p w14:paraId="14623F31" w14:textId="77777777" w:rsidR="00150A2B" w:rsidRDefault="00150A2B">
      <w:pPr>
        <w:spacing w:after="0" w:line="240" w:lineRule="auto"/>
        <w:jc w:val="both"/>
        <w:rPr>
          <w:rFonts w:ascii="Arial" w:eastAsia="Arial" w:hAnsi="Arial" w:cs="Arial"/>
          <w:sz w:val="24"/>
          <w:szCs w:val="24"/>
        </w:rPr>
      </w:pPr>
    </w:p>
    <w:p w14:paraId="181F05BB" w14:textId="77777777" w:rsidR="00150A2B" w:rsidRDefault="00150A2B">
      <w:pPr>
        <w:spacing w:after="0" w:line="240" w:lineRule="auto"/>
        <w:jc w:val="both"/>
        <w:rPr>
          <w:rFonts w:ascii="Arial" w:eastAsia="Arial" w:hAnsi="Arial" w:cs="Arial"/>
          <w:b/>
          <w:sz w:val="24"/>
          <w:szCs w:val="24"/>
        </w:rPr>
      </w:pPr>
    </w:p>
    <w:p w14:paraId="792BA2FC" w14:textId="77777777" w:rsidR="00150A2B" w:rsidRDefault="00150A2B">
      <w:pPr>
        <w:spacing w:after="0" w:line="240" w:lineRule="auto"/>
        <w:jc w:val="both"/>
        <w:rPr>
          <w:rFonts w:ascii="Arial" w:eastAsia="Arial" w:hAnsi="Arial" w:cs="Arial"/>
          <w:b/>
          <w:sz w:val="24"/>
          <w:szCs w:val="24"/>
        </w:rPr>
      </w:pPr>
    </w:p>
    <w:p w14:paraId="54289329" w14:textId="77777777" w:rsidR="00150A2B" w:rsidRDefault="00150A2B">
      <w:pPr>
        <w:spacing w:after="0" w:line="240" w:lineRule="auto"/>
        <w:jc w:val="both"/>
        <w:rPr>
          <w:rFonts w:ascii="Arial" w:eastAsia="Arial" w:hAnsi="Arial" w:cs="Arial"/>
          <w:b/>
          <w:sz w:val="24"/>
          <w:szCs w:val="24"/>
        </w:rPr>
      </w:pPr>
    </w:p>
    <w:sectPr w:rsidR="00150A2B">
      <w:footerReference w:type="default" r:id="rId10"/>
      <w:footerReference w:type="first" r:id="rId11"/>
      <w:pgSz w:w="12240" w:h="15840"/>
      <w:pgMar w:top="1417" w:right="1701" w:bottom="1417"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E6C5E" w14:textId="77777777" w:rsidR="004B77E4" w:rsidRDefault="004B77E4">
      <w:pPr>
        <w:spacing w:after="0" w:line="240" w:lineRule="auto"/>
      </w:pPr>
      <w:r>
        <w:separator/>
      </w:r>
    </w:p>
  </w:endnote>
  <w:endnote w:type="continuationSeparator" w:id="0">
    <w:p w14:paraId="0F8D706D" w14:textId="77777777" w:rsidR="004B77E4" w:rsidRDefault="004B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E1A4" w14:textId="77777777" w:rsidR="00150A2B" w:rsidRDefault="004B77E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02153">
      <w:rPr>
        <w:noProof/>
        <w:color w:val="000000"/>
      </w:rPr>
      <w:t>2</w:t>
    </w:r>
    <w:r>
      <w:rPr>
        <w:color w:val="000000"/>
      </w:rPr>
      <w:fldChar w:fldCharType="end"/>
    </w:r>
  </w:p>
  <w:p w14:paraId="6C5D458A" w14:textId="77777777" w:rsidR="00150A2B" w:rsidRDefault="00150A2B">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57640" w14:textId="77777777" w:rsidR="00150A2B" w:rsidRDefault="00150A2B">
    <w:pPr>
      <w:pBdr>
        <w:top w:val="nil"/>
        <w:left w:val="nil"/>
        <w:bottom w:val="nil"/>
        <w:right w:val="nil"/>
        <w:between w:val="nil"/>
      </w:pBdr>
      <w:tabs>
        <w:tab w:val="center" w:pos="4419"/>
        <w:tab w:val="right" w:pos="8838"/>
      </w:tabs>
      <w:spacing w:after="0" w:line="240" w:lineRule="auto"/>
      <w:jc w:val="right"/>
      <w:rPr>
        <w:color w:val="000000"/>
      </w:rPr>
    </w:pPr>
  </w:p>
  <w:p w14:paraId="4F865ADA" w14:textId="77777777" w:rsidR="00150A2B" w:rsidRDefault="004B77E4">
    <w:pPr>
      <w:pBdr>
        <w:top w:val="nil"/>
        <w:left w:val="nil"/>
        <w:bottom w:val="nil"/>
        <w:right w:val="nil"/>
        <w:between w:val="nil"/>
      </w:pBdr>
      <w:tabs>
        <w:tab w:val="center" w:pos="4419"/>
        <w:tab w:val="right" w:pos="8838"/>
      </w:tabs>
      <w:spacing w:after="0" w:line="240" w:lineRule="auto"/>
      <w:jc w:val="center"/>
      <w:rPr>
        <w:b/>
        <w:i/>
        <w:color w:val="000000"/>
        <w:sz w:val="16"/>
        <w:szCs w:val="16"/>
      </w:rPr>
    </w:pPr>
    <w:r>
      <w:rPr>
        <w:b/>
        <w:i/>
        <w:color w:val="000000"/>
        <w:sz w:val="16"/>
        <w:szCs w:val="16"/>
      </w:rPr>
      <w:t>Secretaría del MERCOSUR</w:t>
    </w:r>
  </w:p>
  <w:p w14:paraId="705842B8" w14:textId="77777777" w:rsidR="00150A2B" w:rsidRDefault="004B77E4">
    <w:pPr>
      <w:pBdr>
        <w:top w:val="nil"/>
        <w:left w:val="nil"/>
        <w:bottom w:val="nil"/>
        <w:right w:val="nil"/>
        <w:between w:val="nil"/>
      </w:pBdr>
      <w:tabs>
        <w:tab w:val="center" w:pos="4419"/>
        <w:tab w:val="right" w:pos="8838"/>
      </w:tabs>
      <w:spacing w:after="0" w:line="240" w:lineRule="auto"/>
      <w:jc w:val="center"/>
      <w:rPr>
        <w:b/>
        <w:color w:val="000000"/>
        <w:sz w:val="16"/>
        <w:szCs w:val="16"/>
      </w:rPr>
    </w:pPr>
    <w:r>
      <w:rPr>
        <w:b/>
        <w:color w:val="000000"/>
        <w:sz w:val="16"/>
        <w:szCs w:val="16"/>
      </w:rPr>
      <w:t>Archivo Oficial</w:t>
    </w:r>
  </w:p>
  <w:p w14:paraId="050491C5" w14:textId="77777777" w:rsidR="00150A2B" w:rsidRDefault="004B77E4">
    <w:pPr>
      <w:pBdr>
        <w:top w:val="nil"/>
        <w:left w:val="nil"/>
        <w:bottom w:val="nil"/>
        <w:right w:val="nil"/>
        <w:between w:val="nil"/>
      </w:pBdr>
      <w:tabs>
        <w:tab w:val="center" w:pos="4419"/>
        <w:tab w:val="right" w:pos="8838"/>
      </w:tabs>
      <w:spacing w:after="0" w:line="240" w:lineRule="auto"/>
      <w:jc w:val="center"/>
      <w:rPr>
        <w:b/>
        <w:i/>
        <w:color w:val="000000"/>
        <w:sz w:val="16"/>
        <w:szCs w:val="16"/>
      </w:rPr>
    </w:pPr>
    <w:r>
      <w:rPr>
        <w:color w:val="000000"/>
        <w:sz w:val="16"/>
        <w:szCs w:val="16"/>
      </w:rPr>
      <w:t>www.mercosur.int</w:t>
    </w:r>
  </w:p>
  <w:p w14:paraId="1B58EF09" w14:textId="77777777" w:rsidR="00150A2B" w:rsidRDefault="00150A2B">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69844" w14:textId="77777777" w:rsidR="004B77E4" w:rsidRDefault="004B77E4">
      <w:pPr>
        <w:spacing w:after="0" w:line="240" w:lineRule="auto"/>
      </w:pPr>
      <w:r>
        <w:separator/>
      </w:r>
    </w:p>
  </w:footnote>
  <w:footnote w:type="continuationSeparator" w:id="0">
    <w:p w14:paraId="1C9B95B6" w14:textId="77777777" w:rsidR="004B77E4" w:rsidRDefault="004B7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23B81"/>
    <w:multiLevelType w:val="multilevel"/>
    <w:tmpl w:val="20223220"/>
    <w:lvl w:ilvl="0">
      <w:start w:val="1"/>
      <w:numFmt w:val="bullet"/>
      <w:lvlText w:val="-"/>
      <w:lvlJc w:val="left"/>
      <w:pPr>
        <w:ind w:left="927" w:hanging="360"/>
      </w:pPr>
      <w:rPr>
        <w:rFonts w:ascii="Helvetica Neue" w:eastAsia="Helvetica Neue" w:hAnsi="Helvetica Neue" w:cs="Helvetica Neue"/>
        <w:b w:val="0"/>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 w15:restartNumberingAfterBreak="0">
    <w:nsid w:val="356939DC"/>
    <w:multiLevelType w:val="multilevel"/>
    <w:tmpl w:val="C1683F00"/>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B0676A"/>
    <w:multiLevelType w:val="multilevel"/>
    <w:tmpl w:val="50568A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A2B"/>
    <w:rsid w:val="00150A2B"/>
    <w:rsid w:val="0020642F"/>
    <w:rsid w:val="004B77E4"/>
    <w:rsid w:val="00B02153"/>
  </w:rsids>
  <m:mathPr>
    <m:mathFont m:val="Cambria Math"/>
    <m:brkBin m:val="before"/>
    <m:brkBinSub m:val="--"/>
    <m:smallFrac m:val="0"/>
    <m:dispDef/>
    <m:lMargin m:val="0"/>
    <m:rMargin m:val="0"/>
    <m:defJc m:val="centerGroup"/>
    <m:wrapIndent m:val="1440"/>
    <m:intLim m:val="subSup"/>
    <m:naryLim m:val="undOvr"/>
  </m:mathPr>
  <w:themeFontLang w:val="es-UY"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7EF6"/>
  <w15:docId w15:val="{235F7A2F-861A-4FC1-BC84-2F0C8841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_tradnl" w:eastAsia="es-U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pPr>
      <w:keepNext/>
      <w:spacing w:after="0" w:line="240" w:lineRule="auto"/>
      <w:jc w:val="both"/>
      <w:outlineLvl w:val="0"/>
    </w:pPr>
    <w:rPr>
      <w:rFonts w:ascii="Arial" w:eastAsia="Times New Roman" w:hAnsi="Arial" w:cs="Times New Roman"/>
      <w:b/>
      <w:sz w:val="24"/>
      <w:szCs w:val="20"/>
      <w:lang w:val="pt-BR" w:eastAsia="pt-BR"/>
    </w:rPr>
  </w:style>
  <w:style w:type="paragraph" w:styleId="Ttulo2">
    <w:name w:val="heading 2"/>
    <w:basedOn w:val="Normal"/>
    <w:next w:val="Normal"/>
    <w:link w:val="Ttulo2Car"/>
    <w:uiPriority w:val="99"/>
    <w:qFormat/>
    <w:pPr>
      <w:keepNext/>
      <w:spacing w:after="0" w:line="240" w:lineRule="auto"/>
      <w:jc w:val="right"/>
      <w:outlineLvl w:val="1"/>
    </w:pPr>
    <w:rPr>
      <w:rFonts w:ascii="Arial" w:eastAsia="Times New Roman" w:hAnsi="Arial" w:cs="Times New Roman"/>
      <w:b/>
      <w:sz w:val="24"/>
      <w:szCs w:val="20"/>
      <w:lang w:val="pt-BR" w:eastAsia="pt-BR"/>
    </w:rPr>
  </w:style>
  <w:style w:type="paragraph" w:styleId="Ttulo3">
    <w:name w:val="heading 3"/>
    <w:basedOn w:val="Normal"/>
    <w:next w:val="Normal"/>
    <w:link w:val="Ttulo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eastAsia="x-non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
    <w:basedOn w:val="Normal"/>
    <w:link w:val="PrrafodelistaCar"/>
    <w:uiPriority w:val="34"/>
    <w:qFormat/>
    <w:pPr>
      <w:ind w:left="720"/>
      <w:contextualSpacing/>
    </w:pPr>
  </w:style>
  <w:style w:type="paragraph" w:styleId="Encabezado">
    <w:name w:val="header"/>
    <w:basedOn w:val="Normal"/>
    <w:link w:val="EncabezadoCar"/>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Pr>
      <w:rFonts w:ascii="Arial" w:eastAsia="Times New Roman" w:hAnsi="Arial" w:cs="Times New Roman"/>
      <w:b/>
      <w:sz w:val="24"/>
      <w:szCs w:val="20"/>
      <w:lang w:val="pt-BR" w:eastAsia="pt-BR"/>
    </w:rPr>
  </w:style>
  <w:style w:type="character" w:customStyle="1" w:styleId="Ttulo2Car">
    <w:name w:val="Título 2 Car"/>
    <w:basedOn w:val="Fuentedeprrafopredeter"/>
    <w:link w:val="Ttulo2"/>
    <w:uiPriority w:val="99"/>
    <w:rPr>
      <w:rFonts w:ascii="Arial" w:eastAsia="Times New Roman" w:hAnsi="Arial" w:cs="Times New Roman"/>
      <w:b/>
      <w:sz w:val="24"/>
      <w:szCs w:val="20"/>
      <w:lang w:val="pt-BR" w:eastAsia="pt-BR"/>
    </w:rPr>
  </w:style>
  <w:style w:type="paragraph" w:styleId="Textoindependiente">
    <w:name w:val="Body Text"/>
    <w:basedOn w:val="Normal"/>
    <w:link w:val="TextoindependienteCar"/>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Pr>
      <w:rFonts w:ascii="Arial" w:eastAsia="Times New Roman" w:hAnsi="Arial" w:cs="Times New Roman"/>
      <w:sz w:val="24"/>
      <w:szCs w:val="20"/>
      <w:lang w:val="es-ES" w:eastAsia="es-ES"/>
    </w:rPr>
  </w:style>
  <w:style w:type="paragraph" w:styleId="Sangradetextonormal">
    <w:name w:val="Body Text Indent"/>
    <w:basedOn w:val="Normal"/>
    <w:link w:val="SangradetextonormalCar"/>
    <w:pPr>
      <w:spacing w:after="120" w:line="240" w:lineRule="auto"/>
      <w:ind w:left="283"/>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Pr>
      <w:rFonts w:ascii="Arial" w:eastAsia="Times New Roman" w:hAnsi="Arial" w:cs="Times New Roman"/>
      <w:sz w:val="24"/>
      <w:szCs w:val="20"/>
      <w:lang w:val="es-ES" w:eastAsia="es-ES"/>
    </w:rPr>
  </w:style>
  <w:style w:type="paragraph" w:customStyle="1" w:styleId="Prrafodelista1">
    <w:name w:val="Párrafo de lista1"/>
    <w:basedOn w:val="Normal"/>
    <w:pPr>
      <w:spacing w:after="0" w:line="240" w:lineRule="auto"/>
      <w:ind w:left="720"/>
      <w:contextualSpacing/>
      <w:jc w:val="both"/>
    </w:pPr>
    <w:rPr>
      <w:rFonts w:ascii="Times New Roman" w:hAnsi="Times New Roman" w:cs="Times New Roman"/>
      <w:sz w:val="24"/>
      <w:szCs w:val="24"/>
      <w:lang w:eastAsia="pt-BR"/>
    </w:rPr>
  </w:style>
  <w:style w:type="character" w:styleId="Hipervnculo">
    <w:name w:val="Hyperlink"/>
    <w:rPr>
      <w:strike w:val="0"/>
      <w:dstrike w:val="0"/>
      <w:color w:val="003399"/>
      <w:u w:val="none"/>
      <w:effect w:val="none"/>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Car">
    <w:name w:val="Título Car"/>
    <w:basedOn w:val="Fuentedeprrafopredeter"/>
    <w:link w:val="Ttulo"/>
    <w:rPr>
      <w:rFonts w:ascii="Arial" w:eastAsia="Times New Roman" w:hAnsi="Arial" w:cs="Times New Roman"/>
      <w:b/>
      <w:sz w:val="24"/>
      <w:szCs w:val="20"/>
      <w:lang w:val="es-ES_tradnl" w:eastAsia="x-none"/>
    </w:rPr>
  </w:style>
  <w:style w:type="paragraph" w:styleId="Textosinformato">
    <w:name w:val="Plain Text"/>
    <w:basedOn w:val="Normal"/>
    <w:link w:val="TextosinformatoCar"/>
    <w:uiPriority w:val="99"/>
    <w:unhideWhenUsed/>
    <w:pPr>
      <w:spacing w:after="0" w:line="240" w:lineRule="auto"/>
    </w:pPr>
    <w:rPr>
      <w:rFonts w:cs="Consolas"/>
      <w:szCs w:val="21"/>
    </w:rPr>
  </w:style>
  <w:style w:type="character" w:customStyle="1" w:styleId="TextosinformatoCar">
    <w:name w:val="Texto sin formato Car"/>
    <w:basedOn w:val="Fuentedeprrafopredeter"/>
    <w:link w:val="Textosinformato"/>
    <w:uiPriority w:val="99"/>
    <w:rPr>
      <w:rFonts w:ascii="Calibri" w:hAnsi="Calibri" w:cs="Consolas"/>
      <w:szCs w:val="21"/>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s-UY"/>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365F91" w:themeColor="accent1" w:themeShade="BF"/>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styleId="Hipervnculovisitado">
    <w:name w:val="FollowedHyperlink"/>
    <w:basedOn w:val="Fuentedeprrafopredeter"/>
    <w:uiPriority w:val="99"/>
    <w:semiHidden/>
    <w:unhideWhenUsed/>
    <w:rPr>
      <w:color w:val="800080" w:themeColor="followedHyperlink"/>
      <w:u w:val="single"/>
    </w:rPr>
  </w:style>
  <w:style w:type="character" w:customStyle="1" w:styleId="Mencinsinresolver1">
    <w:name w:val="Mención sin resolver1"/>
    <w:basedOn w:val="Fuentedeprrafopredeter"/>
    <w:uiPriority w:val="99"/>
    <w:semiHidden/>
    <w:unhideWhenUsed/>
    <w:rPr>
      <w:color w:val="605E5C"/>
      <w:shd w:val="clear" w:color="auto" w:fill="E1DFDD"/>
    </w:rPr>
  </w:style>
  <w:style w:type="table" w:customStyle="1" w:styleId="Tablaconcuadrcula1">
    <w:name w:val="Tabla con cuadrícula1"/>
    <w:basedOn w:val="Tablanormal"/>
    <w:next w:val="Tablaconcuadrcula"/>
    <w:pPr>
      <w:widowControl w:val="0"/>
      <w:suppressAutoHyphens/>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es-UY"/>
    </w:rPr>
  </w:style>
  <w:style w:type="paragraph" w:styleId="Sinespaciado">
    <w:name w:val="No Spacing"/>
    <w:uiPriority w:val="1"/>
    <w:qFormat/>
    <w:pPr>
      <w:spacing w:after="0" w:line="240" w:lineRule="auto"/>
    </w:p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locked/>
  </w:style>
  <w:style w:type="character" w:customStyle="1" w:styleId="CharAttribute3">
    <w:name w:val="CharAttribute3"/>
    <w:rPr>
      <w:rFonts w:ascii="Arial" w:eastAsia="Arial" w:hAnsi="Arial" w:cs="Arial" w:hint="default"/>
      <w:sz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6KObRZATBKiG7lH3QWwyAsx3g==">AMUW2mXS02zB81jL4UG6tAGLZ0uNHcv8G/8q6aIl6sxXLMbrM/9MLkyCw85ax4eSoVziNxFZ5vJKWLO7sMtkKGuFKuNenaRYBIbkBoNb7gxm/eyh30Jbdl/6NHiRPpXL8p6/VUkCS/95UdWi89v3MQeDu3nWw7qVQA==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852</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usuario SM</cp:lastModifiedBy>
  <cp:revision>3</cp:revision>
  <dcterms:created xsi:type="dcterms:W3CDTF">2020-12-07T13:41:00Z</dcterms:created>
  <dcterms:modified xsi:type="dcterms:W3CDTF">2020-12-07T18:58:00Z</dcterms:modified>
</cp:coreProperties>
</file>