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03FCE" w14:textId="0F9CB527" w:rsidR="0026550E" w:rsidRPr="006139F5" w:rsidRDefault="0026550E" w:rsidP="00F41AB9">
      <w:pPr>
        <w:suppressAutoHyphens/>
        <w:spacing w:after="0" w:line="240" w:lineRule="auto"/>
        <w:rPr>
          <w:rFonts w:ascii="Arial" w:eastAsia="Times New Roman" w:hAnsi="Arial" w:cs="Arial"/>
          <w:sz w:val="24"/>
          <w:szCs w:val="24"/>
          <w:lang w:val="pt-BR" w:eastAsia="ar-SA"/>
        </w:rPr>
      </w:pPr>
    </w:p>
    <w:p w14:paraId="09DE618D" w14:textId="77777777" w:rsidR="0026550E" w:rsidRPr="006139F5" w:rsidRDefault="0026550E" w:rsidP="00F41AB9">
      <w:pPr>
        <w:suppressAutoHyphens/>
        <w:spacing w:after="0" w:line="240" w:lineRule="auto"/>
        <w:rPr>
          <w:rFonts w:ascii="Arial" w:eastAsia="Times New Roman" w:hAnsi="Arial" w:cs="Arial"/>
          <w:sz w:val="24"/>
          <w:szCs w:val="24"/>
          <w:lang w:val="pt-BR" w:eastAsia="ar-SA"/>
        </w:rPr>
      </w:pPr>
    </w:p>
    <w:p w14:paraId="048A8F23" w14:textId="676B37D8" w:rsidR="00F41AB9" w:rsidRPr="006139F5" w:rsidRDefault="00F41AB9" w:rsidP="00F41AB9">
      <w:pPr>
        <w:suppressAutoHyphens/>
        <w:spacing w:after="0" w:line="240" w:lineRule="auto"/>
        <w:ind w:right="-229"/>
        <w:rPr>
          <w:rFonts w:ascii="Arial" w:eastAsia="Times New Roman" w:hAnsi="Arial" w:cs="Arial"/>
          <w:b/>
          <w:sz w:val="24"/>
          <w:szCs w:val="24"/>
          <w:lang w:val="pt-BR" w:eastAsia="ar-SA"/>
        </w:rPr>
      </w:pPr>
      <w:r w:rsidRPr="006139F5">
        <w:rPr>
          <w:rFonts w:ascii="Arial" w:eastAsia="Times New Roman" w:hAnsi="Arial" w:cs="Arial"/>
          <w:b/>
          <w:bCs/>
          <w:sz w:val="24"/>
          <w:szCs w:val="24"/>
          <w:lang w:val="pt-BR" w:eastAsia="ar-SA"/>
        </w:rPr>
        <w:t>MERCOSUR/SGT Nº 4/SCPEC/ACTA Nº 0</w:t>
      </w:r>
      <w:r w:rsidR="007E768F" w:rsidRPr="006139F5">
        <w:rPr>
          <w:rFonts w:ascii="Arial" w:eastAsia="Times New Roman" w:hAnsi="Arial" w:cs="Arial"/>
          <w:b/>
          <w:bCs/>
          <w:sz w:val="24"/>
          <w:szCs w:val="24"/>
          <w:lang w:val="pt-BR" w:eastAsia="ar-SA"/>
        </w:rPr>
        <w:t>2</w:t>
      </w:r>
      <w:r w:rsidRPr="006139F5">
        <w:rPr>
          <w:rFonts w:ascii="Arial" w:eastAsia="Times New Roman" w:hAnsi="Arial" w:cs="Arial"/>
          <w:b/>
          <w:bCs/>
          <w:sz w:val="24"/>
          <w:szCs w:val="24"/>
          <w:lang w:val="pt-BR" w:eastAsia="ar-SA"/>
        </w:rPr>
        <w:t>/20</w:t>
      </w:r>
    </w:p>
    <w:p w14:paraId="52A1E005" w14:textId="77777777" w:rsidR="00F41AB9" w:rsidRPr="006139F5" w:rsidRDefault="00F41AB9" w:rsidP="00F41AB9">
      <w:pPr>
        <w:suppressAutoHyphens/>
        <w:spacing w:after="0" w:line="240" w:lineRule="auto"/>
        <w:ind w:right="284"/>
        <w:jc w:val="both"/>
        <w:rPr>
          <w:rFonts w:ascii="Arial" w:eastAsia="Times New Roman" w:hAnsi="Arial" w:cs="Arial"/>
          <w:b/>
          <w:sz w:val="24"/>
          <w:szCs w:val="24"/>
          <w:lang w:val="pt-BR" w:eastAsia="ar-SA"/>
        </w:rPr>
      </w:pPr>
    </w:p>
    <w:p w14:paraId="271C0366" w14:textId="77777777" w:rsidR="00F41AB9" w:rsidRPr="006139F5" w:rsidRDefault="00F41AB9" w:rsidP="00F41AB9">
      <w:pPr>
        <w:suppressAutoHyphens/>
        <w:spacing w:after="0" w:line="240" w:lineRule="auto"/>
        <w:ind w:right="284"/>
        <w:jc w:val="both"/>
        <w:rPr>
          <w:rFonts w:ascii="Arial" w:eastAsia="Times New Roman" w:hAnsi="Arial" w:cs="Arial"/>
          <w:b/>
          <w:sz w:val="24"/>
          <w:szCs w:val="24"/>
          <w:lang w:val="pt-BR" w:eastAsia="ar-SA"/>
        </w:rPr>
      </w:pPr>
    </w:p>
    <w:p w14:paraId="64E93612" w14:textId="77777777" w:rsidR="006139F5" w:rsidRDefault="00F41AB9" w:rsidP="00F41AB9">
      <w:pPr>
        <w:tabs>
          <w:tab w:val="center" w:pos="4252"/>
        </w:tabs>
        <w:suppressAutoHyphens/>
        <w:spacing w:after="0" w:line="240" w:lineRule="auto"/>
        <w:jc w:val="center"/>
        <w:rPr>
          <w:rFonts w:ascii="Arial" w:eastAsia="Times New Roman" w:hAnsi="Arial" w:cs="Arial"/>
          <w:b/>
          <w:sz w:val="24"/>
          <w:szCs w:val="24"/>
          <w:lang w:eastAsia="ar-SA"/>
        </w:rPr>
      </w:pPr>
      <w:r w:rsidRPr="006139F5">
        <w:rPr>
          <w:rFonts w:ascii="Arial" w:eastAsia="Times New Roman" w:hAnsi="Arial" w:cs="Arial"/>
          <w:b/>
          <w:sz w:val="24"/>
          <w:szCs w:val="24"/>
          <w:lang w:eastAsia="ar-SA"/>
        </w:rPr>
        <w:t>XLVI</w:t>
      </w:r>
      <w:r w:rsidR="007E768F" w:rsidRPr="006139F5">
        <w:rPr>
          <w:rFonts w:ascii="Arial" w:eastAsia="Times New Roman" w:hAnsi="Arial" w:cs="Arial"/>
          <w:b/>
          <w:sz w:val="24"/>
          <w:szCs w:val="24"/>
          <w:lang w:eastAsia="ar-SA"/>
        </w:rPr>
        <w:t>I</w:t>
      </w:r>
      <w:r w:rsidRPr="006139F5">
        <w:rPr>
          <w:rFonts w:ascii="Arial" w:eastAsia="Times New Roman" w:hAnsi="Arial" w:cs="Arial"/>
          <w:b/>
          <w:sz w:val="24"/>
          <w:szCs w:val="24"/>
          <w:lang w:eastAsia="ar-SA"/>
        </w:rPr>
        <w:t xml:space="preserve">I REUNIÓN ORDINARIA DEL SUBGRUPO DE TRABAJO N° 4 </w:t>
      </w:r>
      <w:r w:rsidR="006139F5">
        <w:rPr>
          <w:rFonts w:ascii="Arial" w:eastAsia="Times New Roman" w:hAnsi="Arial" w:cs="Arial"/>
          <w:b/>
          <w:sz w:val="24"/>
          <w:szCs w:val="24"/>
          <w:lang w:eastAsia="ar-SA"/>
        </w:rPr>
        <w:t>“</w:t>
      </w:r>
      <w:r w:rsidRPr="006139F5">
        <w:rPr>
          <w:rFonts w:ascii="Arial" w:eastAsia="Times New Roman" w:hAnsi="Arial" w:cs="Arial"/>
          <w:b/>
          <w:sz w:val="24"/>
          <w:szCs w:val="24"/>
          <w:lang w:eastAsia="ar-SA"/>
        </w:rPr>
        <w:t>ASUNTOS FINANCIEROS DEL MERCOSUR</w:t>
      </w:r>
      <w:r w:rsidR="006139F5">
        <w:rPr>
          <w:rFonts w:ascii="Arial" w:eastAsia="Times New Roman" w:hAnsi="Arial" w:cs="Arial"/>
          <w:b/>
          <w:sz w:val="24"/>
          <w:szCs w:val="24"/>
          <w:lang w:eastAsia="ar-SA"/>
        </w:rPr>
        <w:t>”</w:t>
      </w:r>
    </w:p>
    <w:p w14:paraId="78BB22E3" w14:textId="2A6574AA" w:rsidR="00F41AB9" w:rsidRPr="006139F5" w:rsidRDefault="006139F5" w:rsidP="00F41AB9">
      <w:pPr>
        <w:tabs>
          <w:tab w:val="center" w:pos="4252"/>
        </w:tabs>
        <w:suppressAutoHyphens/>
        <w:spacing w:after="0" w:line="240" w:lineRule="auto"/>
        <w:jc w:val="center"/>
        <w:rPr>
          <w:rFonts w:ascii="Arial" w:eastAsia="Times New Roman" w:hAnsi="Arial" w:cs="Arial"/>
          <w:b/>
          <w:sz w:val="24"/>
          <w:szCs w:val="24"/>
          <w:lang w:eastAsia="ar-SA"/>
        </w:rPr>
      </w:pPr>
      <w:r w:rsidRPr="006139F5">
        <w:rPr>
          <w:rFonts w:ascii="Arial" w:eastAsia="Times New Roman" w:hAnsi="Arial" w:cs="Arial"/>
          <w:b/>
          <w:sz w:val="24"/>
          <w:szCs w:val="24"/>
          <w:lang w:eastAsia="ar-SA"/>
        </w:rPr>
        <w:t xml:space="preserve">SUBCOMISIÓN DE PRESENTACIÓN DE ESTADOS CONTABLES </w:t>
      </w:r>
      <w:r>
        <w:rPr>
          <w:rFonts w:ascii="Arial" w:eastAsia="Times New Roman" w:hAnsi="Arial" w:cs="Arial"/>
          <w:b/>
          <w:sz w:val="24"/>
          <w:szCs w:val="24"/>
          <w:lang w:eastAsia="ar-SA"/>
        </w:rPr>
        <w:t>(</w:t>
      </w:r>
      <w:r w:rsidRPr="006139F5">
        <w:rPr>
          <w:rFonts w:ascii="Arial" w:eastAsia="Times New Roman" w:hAnsi="Arial" w:cs="Arial"/>
          <w:b/>
          <w:sz w:val="24"/>
          <w:szCs w:val="24"/>
          <w:lang w:eastAsia="ar-SA"/>
        </w:rPr>
        <w:t>SCPEC</w:t>
      </w:r>
      <w:r>
        <w:rPr>
          <w:rFonts w:ascii="Arial" w:eastAsia="Times New Roman" w:hAnsi="Arial" w:cs="Arial"/>
          <w:b/>
          <w:sz w:val="24"/>
          <w:szCs w:val="24"/>
          <w:lang w:eastAsia="ar-SA"/>
        </w:rPr>
        <w:t>)</w:t>
      </w:r>
    </w:p>
    <w:p w14:paraId="3E365F91" w14:textId="77777777" w:rsidR="00F41AB9" w:rsidRPr="006139F5" w:rsidRDefault="00F41AB9" w:rsidP="00F41AB9">
      <w:pPr>
        <w:suppressAutoHyphens/>
        <w:spacing w:after="0" w:line="240" w:lineRule="auto"/>
        <w:jc w:val="center"/>
        <w:rPr>
          <w:rFonts w:ascii="Arial" w:eastAsia="Times New Roman" w:hAnsi="Arial" w:cs="Arial"/>
          <w:b/>
          <w:sz w:val="24"/>
          <w:szCs w:val="24"/>
          <w:lang w:eastAsia="ar-SA"/>
        </w:rPr>
      </w:pPr>
    </w:p>
    <w:p w14:paraId="6FAD1B78" w14:textId="77777777" w:rsidR="00890193" w:rsidRPr="006139F5" w:rsidRDefault="00890193" w:rsidP="00F41AB9">
      <w:pPr>
        <w:suppressAutoHyphens/>
        <w:spacing w:after="0" w:line="240" w:lineRule="auto"/>
        <w:jc w:val="both"/>
        <w:rPr>
          <w:rFonts w:ascii="Arial" w:eastAsia="Times New Roman" w:hAnsi="Arial" w:cs="Arial"/>
          <w:sz w:val="24"/>
          <w:szCs w:val="24"/>
          <w:lang w:eastAsia="ar-SA"/>
        </w:rPr>
      </w:pPr>
    </w:p>
    <w:p w14:paraId="507373C9" w14:textId="16CDC938" w:rsidR="007E768F" w:rsidRPr="006139F5" w:rsidRDefault="007E768F" w:rsidP="00F41AB9">
      <w:pPr>
        <w:suppressAutoHyphens/>
        <w:spacing w:after="0" w:line="240" w:lineRule="auto"/>
        <w:jc w:val="both"/>
        <w:rPr>
          <w:rFonts w:ascii="Arial" w:eastAsia="Times New Roman" w:hAnsi="Arial" w:cs="Arial"/>
          <w:sz w:val="24"/>
          <w:szCs w:val="24"/>
          <w:lang w:eastAsia="ar-SA"/>
        </w:rPr>
      </w:pPr>
      <w:r w:rsidRPr="006139F5">
        <w:rPr>
          <w:rFonts w:ascii="Arial" w:eastAsia="Times New Roman" w:hAnsi="Arial" w:cs="Arial"/>
          <w:sz w:val="24"/>
          <w:szCs w:val="24"/>
          <w:lang w:eastAsia="ar-SA"/>
        </w:rPr>
        <w:t xml:space="preserve">En ejercicio de la Presidencia </w:t>
      </w:r>
      <w:r w:rsidRPr="006139F5">
        <w:rPr>
          <w:rFonts w:ascii="Arial" w:eastAsia="Times New Roman" w:hAnsi="Arial" w:cs="Arial"/>
          <w:i/>
          <w:iCs/>
          <w:sz w:val="24"/>
          <w:szCs w:val="24"/>
          <w:lang w:eastAsia="ar-SA"/>
        </w:rPr>
        <w:t>Pro Tempore</w:t>
      </w:r>
      <w:r w:rsidRPr="006139F5">
        <w:rPr>
          <w:rFonts w:ascii="Arial" w:eastAsia="Times New Roman" w:hAnsi="Arial" w:cs="Arial"/>
          <w:sz w:val="24"/>
          <w:szCs w:val="24"/>
          <w:lang w:eastAsia="ar-SA"/>
        </w:rPr>
        <w:t xml:space="preserve"> de Uruguay (PPTU), los días 19 al 21 de octubre de 2020, se realizó por medio del sistema de videoconferencia, conforme se establece en la Resolución GMC N° 19/12 “Reuniones por el sistema de videoconferencia”, la XLVIII Reunión Ordinaria del Subgrupo de Trabajo Nº 4 “Asuntos Financieros” / Subcomisión de Presentación de Estados Contables (SCPEC), con la participación de las delegaciones de Argentina, Brasil, Paraguay y Uruguay. </w:t>
      </w:r>
    </w:p>
    <w:p w14:paraId="11D5022E" w14:textId="77777777" w:rsidR="007E768F" w:rsidRPr="006139F5" w:rsidRDefault="007E768F" w:rsidP="00F41AB9">
      <w:pPr>
        <w:suppressAutoHyphens/>
        <w:spacing w:after="0" w:line="240" w:lineRule="auto"/>
        <w:jc w:val="both"/>
        <w:rPr>
          <w:rFonts w:ascii="Arial" w:eastAsia="Times New Roman" w:hAnsi="Arial" w:cs="Arial"/>
          <w:sz w:val="24"/>
          <w:szCs w:val="24"/>
          <w:lang w:eastAsia="ar-SA"/>
        </w:rPr>
      </w:pPr>
    </w:p>
    <w:p w14:paraId="27FDD944" w14:textId="77777777" w:rsidR="00F41AB9" w:rsidRPr="006139F5" w:rsidRDefault="00F41AB9" w:rsidP="00F41AB9">
      <w:pPr>
        <w:suppressAutoHyphens/>
        <w:spacing w:after="0" w:line="240" w:lineRule="auto"/>
        <w:rPr>
          <w:rFonts w:ascii="Arial" w:eastAsia="Times New Roman" w:hAnsi="Arial" w:cs="Arial"/>
          <w:b/>
          <w:sz w:val="24"/>
          <w:szCs w:val="24"/>
          <w:lang w:eastAsia="ar-SA"/>
        </w:rPr>
      </w:pPr>
      <w:r w:rsidRPr="006139F5">
        <w:rPr>
          <w:rFonts w:ascii="Arial" w:eastAsia="Times New Roman" w:hAnsi="Arial" w:cs="Arial"/>
          <w:sz w:val="24"/>
          <w:szCs w:val="24"/>
          <w:lang w:eastAsia="ar-SA"/>
        </w:rPr>
        <w:t>La Lista de Participantes consta como</w:t>
      </w:r>
      <w:r w:rsidRPr="006139F5">
        <w:rPr>
          <w:rFonts w:ascii="Arial" w:eastAsia="Times New Roman" w:hAnsi="Arial" w:cs="Arial"/>
          <w:b/>
          <w:sz w:val="24"/>
          <w:szCs w:val="24"/>
          <w:lang w:eastAsia="ar-SA"/>
        </w:rPr>
        <w:t xml:space="preserve"> Anexo I.</w:t>
      </w:r>
    </w:p>
    <w:p w14:paraId="5084CE02" w14:textId="77777777" w:rsidR="00F41AB9" w:rsidRPr="006139F5" w:rsidRDefault="00F41AB9" w:rsidP="00F41AB9">
      <w:pPr>
        <w:suppressAutoHyphens/>
        <w:spacing w:after="0" w:line="240" w:lineRule="auto"/>
        <w:rPr>
          <w:rFonts w:ascii="Arial" w:eastAsia="Times New Roman" w:hAnsi="Arial" w:cs="Arial"/>
          <w:b/>
          <w:sz w:val="24"/>
          <w:szCs w:val="24"/>
          <w:lang w:eastAsia="ar-SA"/>
        </w:rPr>
      </w:pPr>
    </w:p>
    <w:p w14:paraId="11E0076F" w14:textId="77777777" w:rsidR="00F41AB9" w:rsidRPr="006139F5" w:rsidRDefault="00F41AB9" w:rsidP="00F41AB9">
      <w:pPr>
        <w:suppressAutoHyphens/>
        <w:spacing w:after="0" w:line="240" w:lineRule="auto"/>
        <w:rPr>
          <w:rFonts w:ascii="Arial" w:eastAsia="Times New Roman" w:hAnsi="Arial" w:cs="Arial"/>
          <w:b/>
          <w:sz w:val="24"/>
          <w:szCs w:val="24"/>
          <w:lang w:eastAsia="ar-SA"/>
        </w:rPr>
      </w:pPr>
      <w:r w:rsidRPr="006139F5">
        <w:rPr>
          <w:rFonts w:ascii="Arial" w:eastAsia="Times New Roman" w:hAnsi="Arial" w:cs="Arial"/>
          <w:sz w:val="24"/>
          <w:szCs w:val="24"/>
          <w:lang w:eastAsia="ar-SA"/>
        </w:rPr>
        <w:t>La Agenda consta como</w:t>
      </w:r>
      <w:r w:rsidRPr="006139F5">
        <w:rPr>
          <w:rFonts w:ascii="Arial" w:eastAsia="Times New Roman" w:hAnsi="Arial" w:cs="Arial"/>
          <w:b/>
          <w:sz w:val="24"/>
          <w:szCs w:val="24"/>
          <w:lang w:eastAsia="ar-SA"/>
        </w:rPr>
        <w:t xml:space="preserve"> Anexo II.</w:t>
      </w:r>
    </w:p>
    <w:p w14:paraId="5A89E598" w14:textId="77777777" w:rsidR="00F41AB9" w:rsidRPr="006139F5" w:rsidRDefault="00F41AB9" w:rsidP="00F41AB9">
      <w:pPr>
        <w:suppressAutoHyphens/>
        <w:spacing w:after="0" w:line="240" w:lineRule="auto"/>
        <w:rPr>
          <w:rFonts w:ascii="Arial" w:eastAsia="Times New Roman" w:hAnsi="Arial" w:cs="Arial"/>
          <w:b/>
          <w:sz w:val="24"/>
          <w:szCs w:val="24"/>
          <w:lang w:eastAsia="ar-SA"/>
        </w:rPr>
      </w:pPr>
    </w:p>
    <w:p w14:paraId="7739E1DD" w14:textId="77777777" w:rsidR="00F41AB9" w:rsidRPr="006139F5" w:rsidRDefault="00F41AB9" w:rsidP="00F41AB9">
      <w:pPr>
        <w:suppressAutoHyphens/>
        <w:spacing w:after="0" w:line="240" w:lineRule="auto"/>
        <w:rPr>
          <w:rFonts w:ascii="Arial" w:eastAsia="Times New Roman" w:hAnsi="Arial" w:cs="Arial"/>
          <w:b/>
          <w:sz w:val="24"/>
          <w:szCs w:val="24"/>
          <w:lang w:eastAsia="ar-SA"/>
        </w:rPr>
      </w:pPr>
      <w:r w:rsidRPr="006139F5">
        <w:rPr>
          <w:rFonts w:ascii="Arial" w:eastAsia="Times New Roman" w:hAnsi="Arial" w:cs="Arial"/>
          <w:sz w:val="24"/>
          <w:szCs w:val="24"/>
          <w:lang w:eastAsia="ar-SA"/>
        </w:rPr>
        <w:t>El Resumen del Acta consta como</w:t>
      </w:r>
      <w:r w:rsidRPr="006139F5">
        <w:rPr>
          <w:rFonts w:ascii="Arial" w:eastAsia="Times New Roman" w:hAnsi="Arial" w:cs="Arial"/>
          <w:b/>
          <w:sz w:val="24"/>
          <w:szCs w:val="24"/>
          <w:lang w:eastAsia="ar-SA"/>
        </w:rPr>
        <w:t xml:space="preserve"> Anexo III.</w:t>
      </w:r>
    </w:p>
    <w:p w14:paraId="029ADFD6" w14:textId="77777777" w:rsidR="00F41AB9" w:rsidRPr="006139F5" w:rsidRDefault="00F41AB9" w:rsidP="00F41AB9">
      <w:pPr>
        <w:suppressAutoHyphens/>
        <w:spacing w:after="0" w:line="240" w:lineRule="auto"/>
        <w:rPr>
          <w:rFonts w:ascii="Arial" w:eastAsia="Times New Roman" w:hAnsi="Arial" w:cs="Arial"/>
          <w:b/>
          <w:sz w:val="24"/>
          <w:szCs w:val="24"/>
          <w:lang w:eastAsia="ar-SA"/>
        </w:rPr>
      </w:pPr>
    </w:p>
    <w:p w14:paraId="0A89D4A9" w14:textId="77777777" w:rsidR="00F41AB9" w:rsidRPr="006139F5" w:rsidRDefault="00F41AB9" w:rsidP="00F41AB9">
      <w:pPr>
        <w:suppressAutoHyphens/>
        <w:spacing w:after="0" w:line="240" w:lineRule="auto"/>
        <w:rPr>
          <w:rFonts w:ascii="Arial" w:eastAsia="Times New Roman" w:hAnsi="Arial" w:cs="Arial"/>
          <w:sz w:val="24"/>
          <w:szCs w:val="24"/>
          <w:lang w:eastAsia="ar-SA"/>
        </w:rPr>
      </w:pPr>
    </w:p>
    <w:p w14:paraId="64B0088C" w14:textId="77777777" w:rsidR="00F41AB9" w:rsidRPr="006139F5" w:rsidRDefault="00F41AB9" w:rsidP="00F41AB9">
      <w:pPr>
        <w:suppressAutoHyphens/>
        <w:spacing w:after="0" w:line="240" w:lineRule="auto"/>
        <w:rPr>
          <w:rFonts w:ascii="Arial" w:eastAsia="Times New Roman" w:hAnsi="Arial" w:cs="Arial"/>
          <w:sz w:val="24"/>
          <w:szCs w:val="24"/>
          <w:lang w:eastAsia="ar-SA"/>
        </w:rPr>
      </w:pPr>
      <w:r w:rsidRPr="006139F5">
        <w:rPr>
          <w:rFonts w:ascii="Arial" w:eastAsia="Times New Roman" w:hAnsi="Arial" w:cs="Arial"/>
          <w:sz w:val="24"/>
          <w:szCs w:val="24"/>
          <w:lang w:eastAsia="ar-SA"/>
        </w:rPr>
        <w:t>En la Reunión fueron tratados los siguientes temas:</w:t>
      </w:r>
    </w:p>
    <w:p w14:paraId="5044D9B0" w14:textId="77777777" w:rsidR="00F41AB9" w:rsidRPr="006139F5" w:rsidRDefault="00F41AB9" w:rsidP="00F41AB9">
      <w:pPr>
        <w:suppressAutoHyphens/>
        <w:spacing w:after="0" w:line="240" w:lineRule="auto"/>
        <w:rPr>
          <w:rFonts w:ascii="Arial" w:eastAsia="Calibri" w:hAnsi="Arial" w:cs="Arial"/>
          <w:b/>
          <w:bCs/>
          <w:sz w:val="24"/>
          <w:szCs w:val="24"/>
          <w:lang w:eastAsia="ar-SA"/>
        </w:rPr>
      </w:pPr>
    </w:p>
    <w:p w14:paraId="7C6002A3" w14:textId="77777777" w:rsidR="00F41AB9" w:rsidRPr="006139F5" w:rsidRDefault="00F41AB9" w:rsidP="00F41AB9">
      <w:pPr>
        <w:suppressAutoHyphens/>
        <w:spacing w:after="0" w:line="240" w:lineRule="auto"/>
        <w:rPr>
          <w:rFonts w:ascii="Arial" w:eastAsia="Calibri" w:hAnsi="Arial" w:cs="Arial"/>
          <w:b/>
          <w:bCs/>
          <w:sz w:val="24"/>
          <w:szCs w:val="24"/>
          <w:lang w:val="es-PY" w:eastAsia="ar-SA"/>
        </w:rPr>
      </w:pPr>
    </w:p>
    <w:p w14:paraId="6D6A44D5" w14:textId="65B64C39" w:rsidR="007E768F" w:rsidRPr="007E768F" w:rsidRDefault="00890193" w:rsidP="007E768F">
      <w:pPr>
        <w:tabs>
          <w:tab w:val="num" w:pos="720"/>
        </w:tabs>
        <w:spacing w:after="0" w:line="240" w:lineRule="auto"/>
        <w:rPr>
          <w:rFonts w:ascii="Arial" w:eastAsia="Calibri" w:hAnsi="Arial" w:cs="Arial"/>
          <w:b/>
          <w:bCs/>
          <w:sz w:val="24"/>
          <w:szCs w:val="24"/>
        </w:rPr>
      </w:pPr>
      <w:r w:rsidRPr="006139F5">
        <w:rPr>
          <w:rFonts w:ascii="Arial" w:eastAsia="Calibri" w:hAnsi="Arial" w:cs="Arial"/>
          <w:b/>
          <w:bCs/>
          <w:sz w:val="24"/>
          <w:szCs w:val="24"/>
        </w:rPr>
        <w:t xml:space="preserve">1. NOVEDADES Y AVANCES REGISTRADOS EN LA ADOPCIÓN DE LAS NORMAS INTERNACIONALES DE INFORMACIÓN FINANCIERA </w:t>
      </w:r>
    </w:p>
    <w:p w14:paraId="20DF9325" w14:textId="77777777" w:rsidR="007E768F" w:rsidRPr="007E768F" w:rsidRDefault="007E768F" w:rsidP="007E768F">
      <w:pPr>
        <w:tabs>
          <w:tab w:val="num" w:pos="720"/>
        </w:tabs>
        <w:spacing w:after="0" w:line="240" w:lineRule="auto"/>
        <w:rPr>
          <w:rFonts w:ascii="Arial" w:eastAsia="Calibri" w:hAnsi="Arial" w:cs="Arial"/>
          <w:b/>
          <w:bCs/>
          <w:sz w:val="24"/>
          <w:szCs w:val="24"/>
        </w:rPr>
      </w:pPr>
    </w:p>
    <w:p w14:paraId="2C14311E" w14:textId="31679F37" w:rsidR="00E07E0C" w:rsidRPr="00D42E2C" w:rsidRDefault="00E07E0C" w:rsidP="00D42E2C">
      <w:pPr>
        <w:tabs>
          <w:tab w:val="num" w:pos="720"/>
        </w:tabs>
        <w:spacing w:after="0" w:line="240" w:lineRule="auto"/>
        <w:jc w:val="both"/>
        <w:rPr>
          <w:rFonts w:ascii="Arial" w:eastAsia="Times New Roman" w:hAnsi="Arial" w:cs="Arial"/>
          <w:sz w:val="24"/>
          <w:szCs w:val="24"/>
          <w:lang w:eastAsia="ar-SA"/>
        </w:rPr>
      </w:pPr>
      <w:r w:rsidRPr="00D42E2C">
        <w:rPr>
          <w:rFonts w:ascii="Arial" w:eastAsia="Times New Roman" w:hAnsi="Arial" w:cs="Arial"/>
          <w:sz w:val="24"/>
          <w:szCs w:val="24"/>
          <w:lang w:eastAsia="ar-SA"/>
        </w:rPr>
        <w:t xml:space="preserve">La </w:t>
      </w:r>
      <w:r w:rsidR="001C0C68">
        <w:rPr>
          <w:rFonts w:ascii="Arial" w:eastAsia="Times New Roman" w:hAnsi="Arial" w:cs="Arial"/>
          <w:sz w:val="24"/>
          <w:szCs w:val="24"/>
          <w:lang w:eastAsia="ar-SA"/>
        </w:rPr>
        <w:t>D</w:t>
      </w:r>
      <w:r w:rsidRPr="00D42E2C">
        <w:rPr>
          <w:rFonts w:ascii="Arial" w:eastAsia="Times New Roman" w:hAnsi="Arial" w:cs="Arial"/>
          <w:sz w:val="24"/>
          <w:szCs w:val="24"/>
          <w:lang w:eastAsia="ar-SA"/>
        </w:rPr>
        <w:t>elegación de Argentina present</w:t>
      </w:r>
      <w:r w:rsidR="001C0C68">
        <w:rPr>
          <w:rFonts w:ascii="Arial" w:eastAsia="Times New Roman" w:hAnsi="Arial" w:cs="Arial"/>
          <w:sz w:val="24"/>
          <w:szCs w:val="24"/>
          <w:lang w:eastAsia="ar-SA"/>
        </w:rPr>
        <w:t>ó</w:t>
      </w:r>
      <w:r w:rsidRPr="00D42E2C">
        <w:rPr>
          <w:rFonts w:ascii="Arial" w:eastAsia="Times New Roman" w:hAnsi="Arial" w:cs="Arial"/>
          <w:sz w:val="24"/>
          <w:szCs w:val="24"/>
          <w:lang w:eastAsia="ar-SA"/>
        </w:rPr>
        <w:t xml:space="preserve"> un resumen de la enmienda a la NIIF 16 “Arrendamientos” emitida por el IASB en mayo de 2020, acerca de concesiones en los pagos por arrendamientos relacionadas con la pandemia de COVID-19, con vigencia a partir del 01.06.2020 (se admite su aplicación anticipada). En este sentido, manifest</w:t>
      </w:r>
      <w:r w:rsidR="001C0C68">
        <w:rPr>
          <w:rFonts w:ascii="Arial" w:eastAsia="Times New Roman" w:hAnsi="Arial" w:cs="Arial"/>
          <w:sz w:val="24"/>
          <w:szCs w:val="24"/>
          <w:lang w:eastAsia="ar-SA"/>
        </w:rPr>
        <w:t>ó</w:t>
      </w:r>
      <w:r w:rsidRPr="00D42E2C">
        <w:rPr>
          <w:rFonts w:ascii="Arial" w:eastAsia="Times New Roman" w:hAnsi="Arial" w:cs="Arial"/>
          <w:sz w:val="24"/>
          <w:szCs w:val="24"/>
          <w:lang w:eastAsia="ar-SA"/>
        </w:rPr>
        <w:t xml:space="preserve"> que se trataría de una solución práctica brindada a los arrendatarios consistente en que, bajo determinadas condiciones, tienen la opción de no evaluar si dichas concesiones implican una modificación en el arrendamiento -y por lo tanto no aplicar los requerimientos de contabilización que la norma prevé en esos casos-, considerándolas directamente como cambios en los pagos que no constituyen modificaciones. Por medio de esta medida se intentaría llevar un alivio a las entidades en el contexto de los desafíos que plantea la emergencia sanitaria en varios frentes, que se agregaría al esfuerzo que ya venían realizando para la implementación de los requerimientos de la NIIF 16 de reciente aplicación. La enmienda rige para las concesiones efectuadas sobre los pagos originalmente previstos hasta el 30</w:t>
      </w:r>
      <w:r w:rsidR="001C0C68">
        <w:rPr>
          <w:rFonts w:ascii="Arial" w:eastAsia="Times New Roman" w:hAnsi="Arial" w:cs="Arial"/>
          <w:sz w:val="24"/>
          <w:szCs w:val="24"/>
          <w:lang w:eastAsia="ar-SA"/>
        </w:rPr>
        <w:t>/</w:t>
      </w:r>
      <w:r w:rsidRPr="00D42E2C">
        <w:rPr>
          <w:rFonts w:ascii="Arial" w:eastAsia="Times New Roman" w:hAnsi="Arial" w:cs="Arial"/>
          <w:sz w:val="24"/>
          <w:szCs w:val="24"/>
          <w:lang w:eastAsia="ar-SA"/>
        </w:rPr>
        <w:t>06</w:t>
      </w:r>
      <w:r w:rsidR="001C0C68">
        <w:rPr>
          <w:rFonts w:ascii="Arial" w:eastAsia="Times New Roman" w:hAnsi="Arial" w:cs="Arial"/>
          <w:sz w:val="24"/>
          <w:szCs w:val="24"/>
          <w:lang w:eastAsia="ar-SA"/>
        </w:rPr>
        <w:t>/</w:t>
      </w:r>
      <w:r w:rsidRPr="00D42E2C">
        <w:rPr>
          <w:rFonts w:ascii="Arial" w:eastAsia="Times New Roman" w:hAnsi="Arial" w:cs="Arial"/>
          <w:sz w:val="24"/>
          <w:szCs w:val="24"/>
          <w:lang w:eastAsia="ar-SA"/>
        </w:rPr>
        <w:t>2021</w:t>
      </w:r>
      <w:r w:rsidR="001C0C68">
        <w:rPr>
          <w:rFonts w:ascii="Arial" w:eastAsia="Times New Roman" w:hAnsi="Arial" w:cs="Arial"/>
          <w:sz w:val="24"/>
          <w:szCs w:val="24"/>
          <w:lang w:eastAsia="ar-SA"/>
        </w:rPr>
        <w:t>.</w:t>
      </w:r>
    </w:p>
    <w:p w14:paraId="77D28D1A" w14:textId="77777777" w:rsidR="00162865" w:rsidRDefault="00162865" w:rsidP="00D42E2C">
      <w:pPr>
        <w:tabs>
          <w:tab w:val="num" w:pos="720"/>
        </w:tabs>
        <w:spacing w:after="0" w:line="240" w:lineRule="auto"/>
        <w:jc w:val="both"/>
        <w:rPr>
          <w:rFonts w:ascii="Arial" w:eastAsia="Calibri" w:hAnsi="Arial" w:cs="Arial"/>
          <w:bCs/>
          <w:sz w:val="24"/>
          <w:szCs w:val="24"/>
        </w:rPr>
      </w:pPr>
    </w:p>
    <w:p w14:paraId="2FA21439" w14:textId="51994EA6" w:rsidR="00162865" w:rsidRPr="00162865" w:rsidRDefault="00162865" w:rsidP="00D42E2C">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Dicha</w:t>
      </w:r>
      <w:r w:rsidRPr="00162865">
        <w:rPr>
          <w:rFonts w:ascii="Arial" w:eastAsia="Calibri" w:hAnsi="Arial" w:cs="Arial"/>
          <w:bCs/>
          <w:sz w:val="24"/>
          <w:szCs w:val="24"/>
        </w:rPr>
        <w:t xml:space="preserve"> </w:t>
      </w:r>
      <w:r w:rsidR="001C0C68">
        <w:rPr>
          <w:rFonts w:ascii="Arial" w:eastAsia="Calibri" w:hAnsi="Arial" w:cs="Arial"/>
          <w:bCs/>
          <w:sz w:val="24"/>
          <w:szCs w:val="24"/>
        </w:rPr>
        <w:t>D</w:t>
      </w:r>
      <w:r w:rsidRPr="00162865">
        <w:rPr>
          <w:rFonts w:ascii="Arial" w:eastAsia="Calibri" w:hAnsi="Arial" w:cs="Arial"/>
          <w:bCs/>
          <w:sz w:val="24"/>
          <w:szCs w:val="24"/>
        </w:rPr>
        <w:t xml:space="preserve">elegación </w:t>
      </w:r>
      <w:r>
        <w:rPr>
          <w:rFonts w:ascii="Arial" w:eastAsia="Calibri" w:hAnsi="Arial" w:cs="Arial"/>
          <w:bCs/>
          <w:sz w:val="24"/>
          <w:szCs w:val="24"/>
        </w:rPr>
        <w:t>también</w:t>
      </w:r>
      <w:r w:rsidRPr="00162865">
        <w:rPr>
          <w:rFonts w:ascii="Arial" w:eastAsia="Calibri" w:hAnsi="Arial" w:cs="Arial"/>
          <w:bCs/>
          <w:sz w:val="24"/>
          <w:szCs w:val="24"/>
        </w:rPr>
        <w:t xml:space="preserve"> </w:t>
      </w:r>
      <w:r>
        <w:rPr>
          <w:rFonts w:ascii="Arial" w:eastAsia="Calibri" w:hAnsi="Arial" w:cs="Arial"/>
          <w:bCs/>
          <w:sz w:val="24"/>
          <w:szCs w:val="24"/>
        </w:rPr>
        <w:t>informa</w:t>
      </w:r>
      <w:r w:rsidRPr="00162865">
        <w:rPr>
          <w:rFonts w:ascii="Arial" w:eastAsia="Calibri" w:hAnsi="Arial" w:cs="Arial"/>
          <w:bCs/>
          <w:sz w:val="24"/>
          <w:szCs w:val="24"/>
        </w:rPr>
        <w:t xml:space="preserve"> que, en el marco de la disminución de la actividad económica producto de la coyuntura actual a causa del COVID-19, el Banco Central </w:t>
      </w:r>
      <w:r w:rsidRPr="00162865">
        <w:rPr>
          <w:rFonts w:ascii="Arial" w:eastAsia="Calibri" w:hAnsi="Arial" w:cs="Arial"/>
          <w:bCs/>
          <w:sz w:val="24"/>
          <w:szCs w:val="24"/>
        </w:rPr>
        <w:lastRenderedPageBreak/>
        <w:t>de la República Argentina (BCRA) y la Superintendencia de Entidades Financieras y Cambiarias (</w:t>
      </w:r>
      <w:proofErr w:type="spellStart"/>
      <w:r w:rsidRPr="00162865">
        <w:rPr>
          <w:rFonts w:ascii="Arial" w:eastAsia="Calibri" w:hAnsi="Arial" w:cs="Arial"/>
          <w:bCs/>
          <w:sz w:val="24"/>
          <w:szCs w:val="24"/>
        </w:rPr>
        <w:t>SEFyC</w:t>
      </w:r>
      <w:proofErr w:type="spellEnd"/>
      <w:r w:rsidRPr="00162865">
        <w:rPr>
          <w:rFonts w:ascii="Arial" w:eastAsia="Calibri" w:hAnsi="Arial" w:cs="Arial"/>
          <w:bCs/>
          <w:sz w:val="24"/>
          <w:szCs w:val="24"/>
        </w:rPr>
        <w:t xml:space="preserve">) elaboraron una norma (Comunicación </w:t>
      </w:r>
      <w:r w:rsidR="00D51527">
        <w:rPr>
          <w:rFonts w:ascii="Arial" w:eastAsia="Calibri" w:hAnsi="Arial" w:cs="Arial"/>
          <w:bCs/>
          <w:sz w:val="24"/>
          <w:szCs w:val="24"/>
        </w:rPr>
        <w:t xml:space="preserve">“A” 7108), mediante la cual se </w:t>
      </w:r>
      <w:r w:rsidRPr="00162865">
        <w:rPr>
          <w:rFonts w:ascii="Arial" w:eastAsia="Calibri" w:hAnsi="Arial" w:cs="Arial"/>
          <w:bCs/>
          <w:sz w:val="24"/>
          <w:szCs w:val="24"/>
        </w:rPr>
        <w:t>establece una modificación a la segmentación de Entidades Financieras para atender aquellas entidades de menor envergadura.</w:t>
      </w:r>
    </w:p>
    <w:p w14:paraId="77EEA88B" w14:textId="77777777" w:rsidR="00162865" w:rsidRPr="00162865" w:rsidRDefault="00162865" w:rsidP="00D42E2C">
      <w:pPr>
        <w:tabs>
          <w:tab w:val="num" w:pos="720"/>
        </w:tabs>
        <w:spacing w:after="0" w:line="240" w:lineRule="auto"/>
        <w:jc w:val="both"/>
        <w:rPr>
          <w:rFonts w:ascii="Arial" w:eastAsia="Calibri" w:hAnsi="Arial" w:cs="Arial"/>
          <w:bCs/>
          <w:sz w:val="24"/>
          <w:szCs w:val="24"/>
        </w:rPr>
      </w:pPr>
    </w:p>
    <w:p w14:paraId="19C4D489" w14:textId="2D51D64F" w:rsidR="00162865" w:rsidRPr="00162865" w:rsidRDefault="00162865" w:rsidP="00D42E2C">
      <w:p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Pre</w:t>
      </w:r>
      <w:r>
        <w:rPr>
          <w:rFonts w:ascii="Arial" w:eastAsia="Calibri" w:hAnsi="Arial" w:cs="Arial"/>
          <w:bCs/>
          <w:sz w:val="24"/>
          <w:szCs w:val="24"/>
        </w:rPr>
        <w:t>vio a esta norma, la segmentació</w:t>
      </w:r>
      <w:r w:rsidRPr="00162865">
        <w:rPr>
          <w:rFonts w:ascii="Arial" w:eastAsia="Calibri" w:hAnsi="Arial" w:cs="Arial"/>
          <w:bCs/>
          <w:sz w:val="24"/>
          <w:szCs w:val="24"/>
        </w:rPr>
        <w:t xml:space="preserve">n de entidades financieras estaba estructurada en dos grupos: grupo A, con un porcentaje de Activos individuales sobre los Activos Totales del Sistema Financiero mayor al 1% y las entidades financieras B, con Activos individuales sobre el total del Sistema Financiero menores al 1%. La actual modificación de la norma establece a partir del 01.10.2020 una nueva segmentación de entidades, las entidades financieras del grupo C, cuyos activos individuales en porcentaje del Activo Total del Sistema Financiero es inferior a 0,25 %.  </w:t>
      </w:r>
    </w:p>
    <w:p w14:paraId="2F1A3ECC" w14:textId="77777777" w:rsidR="00162865" w:rsidRPr="00162865" w:rsidRDefault="00162865" w:rsidP="00D42E2C">
      <w:pPr>
        <w:tabs>
          <w:tab w:val="num" w:pos="720"/>
        </w:tabs>
        <w:spacing w:after="0" w:line="240" w:lineRule="auto"/>
        <w:jc w:val="both"/>
        <w:rPr>
          <w:rFonts w:ascii="Arial" w:eastAsia="Calibri" w:hAnsi="Arial" w:cs="Arial"/>
          <w:bCs/>
          <w:sz w:val="24"/>
          <w:szCs w:val="24"/>
        </w:rPr>
      </w:pPr>
    </w:p>
    <w:p w14:paraId="1CE7E656" w14:textId="77777777" w:rsidR="00162865" w:rsidRPr="00162865" w:rsidRDefault="00162865" w:rsidP="00D42E2C">
      <w:p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 xml:space="preserve">Esta nueva estructuración de las Entidades Financieras, tiene como fin propiciar determinados tratamientos específicos para las Entidades Financieras C, de manera de propender a la rentabilidad y la calidad de la cartera, debido a que las mismas fueron fuertemente afectadas por la coyuntura económica presentada. </w:t>
      </w:r>
    </w:p>
    <w:p w14:paraId="077C3D00" w14:textId="77777777" w:rsidR="00162865" w:rsidRPr="00162865" w:rsidRDefault="00162865" w:rsidP="00D42E2C">
      <w:pPr>
        <w:tabs>
          <w:tab w:val="num" w:pos="720"/>
        </w:tabs>
        <w:spacing w:after="0" w:line="240" w:lineRule="auto"/>
        <w:jc w:val="both"/>
        <w:rPr>
          <w:rFonts w:ascii="Arial" w:eastAsia="Calibri" w:hAnsi="Arial" w:cs="Arial"/>
          <w:bCs/>
          <w:sz w:val="24"/>
          <w:szCs w:val="24"/>
        </w:rPr>
      </w:pPr>
    </w:p>
    <w:p w14:paraId="443CCE9D" w14:textId="07BE0AA8" w:rsidR="00162865" w:rsidRPr="00162865" w:rsidRDefault="00162865" w:rsidP="00D42E2C">
      <w:p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Las siguientes son las disposiciones establecidas, las que tendrían una vigencia transitoria entre el 01</w:t>
      </w:r>
      <w:r w:rsidR="001C0C68">
        <w:rPr>
          <w:rFonts w:ascii="Arial" w:eastAsia="Calibri" w:hAnsi="Arial" w:cs="Arial"/>
          <w:bCs/>
          <w:sz w:val="24"/>
          <w:szCs w:val="24"/>
        </w:rPr>
        <w:t>/</w:t>
      </w:r>
      <w:r w:rsidRPr="00162865">
        <w:rPr>
          <w:rFonts w:ascii="Arial" w:eastAsia="Calibri" w:hAnsi="Arial" w:cs="Arial"/>
          <w:bCs/>
          <w:sz w:val="24"/>
          <w:szCs w:val="24"/>
        </w:rPr>
        <w:t>10 y 31</w:t>
      </w:r>
      <w:r w:rsidR="001C0C68">
        <w:rPr>
          <w:rFonts w:ascii="Arial" w:eastAsia="Calibri" w:hAnsi="Arial" w:cs="Arial"/>
          <w:bCs/>
          <w:sz w:val="24"/>
          <w:szCs w:val="24"/>
        </w:rPr>
        <w:t>/</w:t>
      </w:r>
      <w:r w:rsidRPr="00162865">
        <w:rPr>
          <w:rFonts w:ascii="Arial" w:eastAsia="Calibri" w:hAnsi="Arial" w:cs="Arial"/>
          <w:bCs/>
          <w:sz w:val="24"/>
          <w:szCs w:val="24"/>
        </w:rPr>
        <w:t>03</w:t>
      </w:r>
      <w:r w:rsidR="001C0C68">
        <w:rPr>
          <w:rFonts w:ascii="Arial" w:eastAsia="Calibri" w:hAnsi="Arial" w:cs="Arial"/>
          <w:bCs/>
          <w:sz w:val="24"/>
          <w:szCs w:val="24"/>
        </w:rPr>
        <w:t>/</w:t>
      </w:r>
      <w:r w:rsidRPr="00162865">
        <w:rPr>
          <w:rFonts w:ascii="Arial" w:eastAsia="Calibri" w:hAnsi="Arial" w:cs="Arial"/>
          <w:bCs/>
          <w:sz w:val="24"/>
          <w:szCs w:val="24"/>
        </w:rPr>
        <w:t>2020, en principio:</w:t>
      </w:r>
    </w:p>
    <w:p w14:paraId="6BCF3DEA" w14:textId="77777777" w:rsidR="00162865" w:rsidRPr="00162865" w:rsidRDefault="00162865" w:rsidP="00D42E2C">
      <w:pPr>
        <w:tabs>
          <w:tab w:val="num" w:pos="720"/>
        </w:tabs>
        <w:spacing w:after="0" w:line="240" w:lineRule="auto"/>
        <w:jc w:val="both"/>
        <w:rPr>
          <w:rFonts w:ascii="Arial" w:eastAsia="Calibri" w:hAnsi="Arial" w:cs="Arial"/>
          <w:bCs/>
          <w:sz w:val="24"/>
          <w:szCs w:val="24"/>
        </w:rPr>
      </w:pPr>
    </w:p>
    <w:p w14:paraId="088734E5" w14:textId="785C4130" w:rsidR="00162865" w:rsidRPr="00162865" w:rsidRDefault="00162865" w:rsidP="00D42E2C">
      <w:pPr>
        <w:pStyle w:val="Prrafodelista"/>
        <w:numPr>
          <w:ilvl w:val="0"/>
          <w:numId w:val="2"/>
        </w:num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Financiamiento vinculado con tarjetas de crédito: se establece que el interés compensatorio que pueden aplicar las entidades del Grupo "C" no pueda superar la tasa nominal anual aplicable a las emisoras no financieras. Ello, sin perjuicio de la aplicación del límite establecido en el artículo 16 de la Ley 25.065 de Tarjetas de Crédito.</w:t>
      </w:r>
    </w:p>
    <w:p w14:paraId="4604E479" w14:textId="77777777" w:rsidR="00162865" w:rsidRPr="00162865" w:rsidRDefault="00162865" w:rsidP="00D42E2C">
      <w:pPr>
        <w:pStyle w:val="Prrafodelista"/>
        <w:spacing w:after="0" w:line="240" w:lineRule="auto"/>
        <w:jc w:val="both"/>
        <w:rPr>
          <w:rFonts w:ascii="Arial" w:eastAsia="Calibri" w:hAnsi="Arial" w:cs="Arial"/>
          <w:bCs/>
          <w:sz w:val="24"/>
          <w:szCs w:val="24"/>
        </w:rPr>
      </w:pPr>
    </w:p>
    <w:p w14:paraId="44BDC109" w14:textId="17250867" w:rsidR="00162865" w:rsidRPr="00162865" w:rsidRDefault="00162865" w:rsidP="00D42E2C">
      <w:pPr>
        <w:pStyle w:val="Prrafodelista"/>
        <w:numPr>
          <w:ilvl w:val="0"/>
          <w:numId w:val="2"/>
        </w:num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Tasas de encaje para las colocaciones en pesos con un plazo residual de hasta 29 días y de 30 a 59 días de las normas de “Efectivo mínimo”, cuando se trate de entidades pertenecientes al Grupo "C", dichas tasas serán de 21 % y 17 %, respectivamente -en lugar de 11 % y 7 %, que se mantendrán para las entidades del Grupo "B"-.</w:t>
      </w:r>
    </w:p>
    <w:p w14:paraId="3EA35042" w14:textId="77777777" w:rsidR="00162865" w:rsidRPr="00162865" w:rsidRDefault="00162865" w:rsidP="00D42E2C">
      <w:pPr>
        <w:pStyle w:val="Prrafodelista"/>
        <w:spacing w:after="0" w:line="240" w:lineRule="auto"/>
        <w:jc w:val="both"/>
        <w:rPr>
          <w:rFonts w:ascii="Arial" w:eastAsia="Calibri" w:hAnsi="Arial" w:cs="Arial"/>
          <w:bCs/>
          <w:sz w:val="24"/>
          <w:szCs w:val="24"/>
        </w:rPr>
      </w:pPr>
    </w:p>
    <w:p w14:paraId="1A4AD396" w14:textId="71DF6A76" w:rsidR="00162865" w:rsidRPr="00162865" w:rsidRDefault="00162865" w:rsidP="00D42E2C">
      <w:pPr>
        <w:pStyle w:val="Prrafodelista"/>
        <w:numPr>
          <w:ilvl w:val="0"/>
          <w:numId w:val="2"/>
        </w:num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Límite a la posición neta excedente de LELIQ: mayor flexibilidad en los límites de la posición en Letras de Liquidez emitidas por el Banco Central.</w:t>
      </w:r>
    </w:p>
    <w:p w14:paraId="43A3F2A4" w14:textId="77777777" w:rsidR="00162865" w:rsidRPr="00162865" w:rsidRDefault="00162865" w:rsidP="00D42E2C">
      <w:pPr>
        <w:pStyle w:val="Prrafodelista"/>
        <w:spacing w:after="0" w:line="240" w:lineRule="auto"/>
        <w:jc w:val="both"/>
        <w:rPr>
          <w:rFonts w:ascii="Arial" w:eastAsia="Calibri" w:hAnsi="Arial" w:cs="Arial"/>
          <w:bCs/>
          <w:sz w:val="24"/>
          <w:szCs w:val="24"/>
        </w:rPr>
      </w:pPr>
    </w:p>
    <w:p w14:paraId="03A04C8E" w14:textId="19BEC72A" w:rsidR="00162865" w:rsidRPr="00162865" w:rsidRDefault="00162865" w:rsidP="00D42E2C">
      <w:pPr>
        <w:pStyle w:val="Prrafodelista"/>
        <w:numPr>
          <w:ilvl w:val="0"/>
          <w:numId w:val="2"/>
        </w:num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 xml:space="preserve">Respecto de las normas de "Capitales mínimos de las entidades financieras" a fin de establecer un tratamiento diferenciado a las entidades del Grupo "C" por sus características intrínsecas, con relación a la exigencia de capital por riesgo operacional, se prevé que no pueda superar el 14% del promedio de los últimos 36 meses de la exigencia de capital por riesgo de crédito. </w:t>
      </w:r>
    </w:p>
    <w:p w14:paraId="37A5A84C" w14:textId="77777777" w:rsidR="00162865" w:rsidRPr="00162865" w:rsidRDefault="00162865" w:rsidP="00D42E2C">
      <w:pPr>
        <w:tabs>
          <w:tab w:val="num" w:pos="720"/>
        </w:tabs>
        <w:spacing w:after="0" w:line="240" w:lineRule="auto"/>
        <w:jc w:val="both"/>
        <w:rPr>
          <w:rFonts w:ascii="Arial" w:eastAsia="Calibri" w:hAnsi="Arial" w:cs="Arial"/>
          <w:bCs/>
          <w:sz w:val="24"/>
          <w:szCs w:val="24"/>
        </w:rPr>
      </w:pPr>
    </w:p>
    <w:p w14:paraId="693634BD" w14:textId="06F61541" w:rsidR="00162865" w:rsidRPr="00162865" w:rsidRDefault="00162865" w:rsidP="00D42E2C">
      <w:p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 xml:space="preserve">Asimismo, la </w:t>
      </w:r>
      <w:r w:rsidR="001C0C68">
        <w:rPr>
          <w:rFonts w:ascii="Arial" w:eastAsia="Calibri" w:hAnsi="Arial" w:cs="Arial"/>
          <w:bCs/>
          <w:sz w:val="24"/>
          <w:szCs w:val="24"/>
        </w:rPr>
        <w:t>Delegación</w:t>
      </w:r>
      <w:r w:rsidRPr="00162865">
        <w:rPr>
          <w:rFonts w:ascii="Arial" w:eastAsia="Calibri" w:hAnsi="Arial" w:cs="Arial"/>
          <w:bCs/>
          <w:sz w:val="24"/>
          <w:szCs w:val="24"/>
        </w:rPr>
        <w:t xml:space="preserve"> Argentina coment</w:t>
      </w:r>
      <w:r w:rsidR="001C0C68">
        <w:rPr>
          <w:rFonts w:ascii="Arial" w:eastAsia="Calibri" w:hAnsi="Arial" w:cs="Arial"/>
          <w:bCs/>
          <w:sz w:val="24"/>
          <w:szCs w:val="24"/>
        </w:rPr>
        <w:t>ó</w:t>
      </w:r>
      <w:r w:rsidRPr="00162865">
        <w:rPr>
          <w:rFonts w:ascii="Arial" w:eastAsia="Calibri" w:hAnsi="Arial" w:cs="Arial"/>
          <w:bCs/>
          <w:sz w:val="24"/>
          <w:szCs w:val="24"/>
        </w:rPr>
        <w:t xml:space="preserve"> las recomendaciones de otros organismos reguladores internacionales relacionadas con las variables a considerar en materia de pérdidas crediticias esperadas de la NIIF 9. Al respecto, se concluy</w:t>
      </w:r>
      <w:r w:rsidR="001C0C68">
        <w:rPr>
          <w:rFonts w:ascii="Arial" w:eastAsia="Calibri" w:hAnsi="Arial" w:cs="Arial"/>
          <w:bCs/>
          <w:sz w:val="24"/>
          <w:szCs w:val="24"/>
        </w:rPr>
        <w:t>ó</w:t>
      </w:r>
      <w:r w:rsidRPr="00162865">
        <w:rPr>
          <w:rFonts w:ascii="Arial" w:eastAsia="Calibri" w:hAnsi="Arial" w:cs="Arial"/>
          <w:bCs/>
          <w:sz w:val="24"/>
          <w:szCs w:val="24"/>
        </w:rPr>
        <w:t xml:space="preserve"> con carácter general que, si bien las medidas dispuestas con respecto a la postergación de pagos de préstamos tienen un impacto en el reconocimiento de pérdidas esperadas, no necesariamente esto deriva en la registración del total de las pérdidas esperadas en relación con un instrumento hasta su vencimiento. Más bien, se señal</w:t>
      </w:r>
      <w:r w:rsidR="001C0C68">
        <w:rPr>
          <w:rFonts w:ascii="Arial" w:eastAsia="Calibri" w:hAnsi="Arial" w:cs="Arial"/>
          <w:bCs/>
          <w:sz w:val="24"/>
          <w:szCs w:val="24"/>
        </w:rPr>
        <w:t>ó</w:t>
      </w:r>
      <w:r w:rsidRPr="00162865">
        <w:rPr>
          <w:rFonts w:ascii="Arial" w:eastAsia="Calibri" w:hAnsi="Arial" w:cs="Arial"/>
          <w:bCs/>
          <w:sz w:val="24"/>
          <w:szCs w:val="24"/>
        </w:rPr>
        <w:t xml:space="preserve"> que requiere un análisis adicional para comprender si ese evento constituye </w:t>
      </w:r>
      <w:r w:rsidRPr="00162865">
        <w:rPr>
          <w:rFonts w:ascii="Arial" w:eastAsia="Calibri" w:hAnsi="Arial" w:cs="Arial"/>
          <w:bCs/>
          <w:sz w:val="24"/>
          <w:szCs w:val="24"/>
        </w:rPr>
        <w:lastRenderedPageBreak/>
        <w:t>un incremento significativo del riesgo de crédito, que deberá considerar aspectos cualitativos y cuantitativos.</w:t>
      </w:r>
    </w:p>
    <w:p w14:paraId="5F921B4A" w14:textId="77777777" w:rsidR="00162865" w:rsidRPr="00162865" w:rsidRDefault="00162865" w:rsidP="00D42E2C">
      <w:pPr>
        <w:tabs>
          <w:tab w:val="num" w:pos="720"/>
        </w:tabs>
        <w:spacing w:after="0" w:line="240" w:lineRule="auto"/>
        <w:jc w:val="both"/>
        <w:rPr>
          <w:rFonts w:ascii="Arial" w:eastAsia="Calibri" w:hAnsi="Arial" w:cs="Arial"/>
          <w:bCs/>
          <w:sz w:val="24"/>
          <w:szCs w:val="24"/>
        </w:rPr>
      </w:pPr>
    </w:p>
    <w:p w14:paraId="032DBD8E" w14:textId="13F519A1" w:rsidR="00162865" w:rsidRPr="00162865" w:rsidRDefault="00162865" w:rsidP="00D42E2C">
      <w:p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También exp</w:t>
      </w:r>
      <w:r w:rsidR="001C0C68">
        <w:rPr>
          <w:rFonts w:ascii="Arial" w:eastAsia="Calibri" w:hAnsi="Arial" w:cs="Arial"/>
          <w:bCs/>
          <w:sz w:val="24"/>
          <w:szCs w:val="24"/>
        </w:rPr>
        <w:t>uso</w:t>
      </w:r>
      <w:r w:rsidRPr="00162865">
        <w:rPr>
          <w:rFonts w:ascii="Arial" w:eastAsia="Calibri" w:hAnsi="Arial" w:cs="Arial"/>
          <w:bCs/>
          <w:sz w:val="24"/>
          <w:szCs w:val="24"/>
        </w:rPr>
        <w:t xml:space="preserve"> </w:t>
      </w:r>
      <w:r w:rsidR="001C0C68">
        <w:rPr>
          <w:rFonts w:ascii="Arial" w:eastAsia="Calibri" w:hAnsi="Arial" w:cs="Arial"/>
          <w:bCs/>
          <w:sz w:val="24"/>
          <w:szCs w:val="24"/>
        </w:rPr>
        <w:t>é</w:t>
      </w:r>
      <w:r w:rsidRPr="00162865">
        <w:rPr>
          <w:rFonts w:ascii="Arial" w:eastAsia="Calibri" w:hAnsi="Arial" w:cs="Arial"/>
          <w:bCs/>
          <w:sz w:val="24"/>
          <w:szCs w:val="24"/>
        </w:rPr>
        <w:t xml:space="preserve">sta </w:t>
      </w:r>
      <w:r w:rsidR="001C0C68">
        <w:rPr>
          <w:rFonts w:ascii="Arial" w:eastAsia="Calibri" w:hAnsi="Arial" w:cs="Arial"/>
          <w:bCs/>
          <w:sz w:val="24"/>
          <w:szCs w:val="24"/>
        </w:rPr>
        <w:t>D</w:t>
      </w:r>
      <w:r w:rsidRPr="00162865">
        <w:rPr>
          <w:rFonts w:ascii="Arial" w:eastAsia="Calibri" w:hAnsi="Arial" w:cs="Arial"/>
          <w:bCs/>
          <w:sz w:val="24"/>
          <w:szCs w:val="24"/>
        </w:rPr>
        <w:t>elegación, que el BCRA dispuso una serie de medidas tendientes a flexibilizar el tratamiento regulatorio de carteras de crédito mediante la Comunicación “A” 6938 que incluyó la ampliación en 60 días los plazos de mora admitida para los niveles 1, 2 y 3 de la clasificación de deudores, tanto para la cartera comercial como para la de consumo o vivienda, pero no se pronunció en materia de la implementación de NIIF 9 ante la situación de crisis derivada de la pandemia.</w:t>
      </w:r>
    </w:p>
    <w:p w14:paraId="0CCD91A2" w14:textId="77777777" w:rsidR="00162865" w:rsidRPr="00162865" w:rsidRDefault="00162865" w:rsidP="00D42E2C">
      <w:p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 xml:space="preserve"> </w:t>
      </w:r>
    </w:p>
    <w:p w14:paraId="637C06D2" w14:textId="1A18B760" w:rsidR="00162865" w:rsidRDefault="00162865" w:rsidP="00D42E2C">
      <w:p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 xml:space="preserve">Por último en este orden de medidas, a través de dicha Circular, </w:t>
      </w:r>
      <w:proofErr w:type="spellStart"/>
      <w:r w:rsidRPr="00162865">
        <w:rPr>
          <w:rFonts w:ascii="Arial" w:eastAsia="Calibri" w:hAnsi="Arial" w:cs="Arial"/>
          <w:bCs/>
          <w:sz w:val="24"/>
          <w:szCs w:val="24"/>
        </w:rPr>
        <w:t>manifiest</w:t>
      </w:r>
      <w:r w:rsidR="001C0C68">
        <w:rPr>
          <w:rFonts w:ascii="Arial" w:eastAsia="Calibri" w:hAnsi="Arial" w:cs="Arial"/>
          <w:bCs/>
          <w:sz w:val="24"/>
          <w:szCs w:val="24"/>
        </w:rPr>
        <w:t>ó</w:t>
      </w:r>
      <w:proofErr w:type="spellEnd"/>
      <w:r w:rsidRPr="00162865">
        <w:rPr>
          <w:rFonts w:ascii="Arial" w:eastAsia="Calibri" w:hAnsi="Arial" w:cs="Arial"/>
          <w:bCs/>
          <w:sz w:val="24"/>
          <w:szCs w:val="24"/>
        </w:rPr>
        <w:t xml:space="preserve"> que se postergó hasta el </w:t>
      </w:r>
      <w:r>
        <w:rPr>
          <w:rFonts w:ascii="Arial" w:eastAsia="Calibri" w:hAnsi="Arial" w:cs="Arial"/>
          <w:bCs/>
          <w:sz w:val="24"/>
          <w:szCs w:val="24"/>
        </w:rPr>
        <w:t>0</w:t>
      </w:r>
      <w:r w:rsidRPr="00162865">
        <w:rPr>
          <w:rFonts w:ascii="Arial" w:eastAsia="Calibri" w:hAnsi="Arial" w:cs="Arial"/>
          <w:bCs/>
          <w:sz w:val="24"/>
          <w:szCs w:val="24"/>
        </w:rPr>
        <w:t>1</w:t>
      </w:r>
      <w:r w:rsidR="001C0C68">
        <w:rPr>
          <w:rFonts w:ascii="Arial" w:eastAsia="Calibri" w:hAnsi="Arial" w:cs="Arial"/>
          <w:bCs/>
          <w:sz w:val="24"/>
          <w:szCs w:val="24"/>
        </w:rPr>
        <w:t>/</w:t>
      </w:r>
      <w:r>
        <w:rPr>
          <w:rFonts w:ascii="Arial" w:eastAsia="Calibri" w:hAnsi="Arial" w:cs="Arial"/>
          <w:bCs/>
          <w:sz w:val="24"/>
          <w:szCs w:val="24"/>
        </w:rPr>
        <w:t>0</w:t>
      </w:r>
      <w:r w:rsidRPr="00162865">
        <w:rPr>
          <w:rFonts w:ascii="Arial" w:eastAsia="Calibri" w:hAnsi="Arial" w:cs="Arial"/>
          <w:bCs/>
          <w:sz w:val="24"/>
          <w:szCs w:val="24"/>
        </w:rPr>
        <w:t>1</w:t>
      </w:r>
      <w:r w:rsidR="001C0C68">
        <w:rPr>
          <w:rFonts w:ascii="Arial" w:eastAsia="Calibri" w:hAnsi="Arial" w:cs="Arial"/>
          <w:bCs/>
          <w:sz w:val="24"/>
          <w:szCs w:val="24"/>
        </w:rPr>
        <w:t>/</w:t>
      </w:r>
      <w:r>
        <w:rPr>
          <w:rFonts w:ascii="Arial" w:eastAsia="Calibri" w:hAnsi="Arial" w:cs="Arial"/>
          <w:bCs/>
          <w:sz w:val="24"/>
          <w:szCs w:val="24"/>
        </w:rPr>
        <w:t>20</w:t>
      </w:r>
      <w:r w:rsidRPr="00162865">
        <w:rPr>
          <w:rFonts w:ascii="Arial" w:eastAsia="Calibri" w:hAnsi="Arial" w:cs="Arial"/>
          <w:bCs/>
          <w:sz w:val="24"/>
          <w:szCs w:val="24"/>
        </w:rPr>
        <w:t>21 para las entidades financieras del Grupo “B” la aplicación del punto 5.5 de la NIIF 9 –establecida mediante la Comunicación “A” 6430– y, consecuentemente, la metodología de prorrateo que genera la aplicación del citado punto –difundida mediante la Comunicación “A” 6847. Adicionalmente, mediante la mencionada Circular se estableció para las entidades financieras del Grupo “A”, a efectos de la determinación de la RPC, que el impacto que genere la diferencia positiva entre la nueva previsión contable computada según el punto 5.5.</w:t>
      </w:r>
      <w:r>
        <w:rPr>
          <w:rFonts w:ascii="Arial" w:eastAsia="Calibri" w:hAnsi="Arial" w:cs="Arial"/>
          <w:bCs/>
          <w:sz w:val="24"/>
          <w:szCs w:val="24"/>
        </w:rPr>
        <w:t xml:space="preserve"> </w:t>
      </w:r>
      <w:r w:rsidRPr="00162865">
        <w:rPr>
          <w:rFonts w:ascii="Arial" w:eastAsia="Calibri" w:hAnsi="Arial" w:cs="Arial"/>
          <w:bCs/>
          <w:sz w:val="24"/>
          <w:szCs w:val="24"/>
        </w:rPr>
        <w:t>de la NIIF 9 y la previsión "regulatoria" calculada según las normas sobre “Previsiones mínimas por riesgo de incobrabilidad” o la contable correspondiente al balance de saldos del 30.11.</w:t>
      </w:r>
      <w:r>
        <w:rPr>
          <w:rFonts w:ascii="Arial" w:eastAsia="Calibri" w:hAnsi="Arial" w:cs="Arial"/>
          <w:bCs/>
          <w:sz w:val="24"/>
          <w:szCs w:val="24"/>
        </w:rPr>
        <w:t>20</w:t>
      </w:r>
      <w:r w:rsidRPr="00162865">
        <w:rPr>
          <w:rFonts w:ascii="Arial" w:eastAsia="Calibri" w:hAnsi="Arial" w:cs="Arial"/>
          <w:bCs/>
          <w:sz w:val="24"/>
          <w:szCs w:val="24"/>
        </w:rPr>
        <w:t>19 –la mayor de ambas–, podrá computarse como capital ordinario de nivel uno (COn1).</w:t>
      </w:r>
    </w:p>
    <w:p w14:paraId="20D482EA" w14:textId="756A37E4" w:rsidR="00922279" w:rsidRDefault="00922279" w:rsidP="00D42E2C">
      <w:pPr>
        <w:tabs>
          <w:tab w:val="num" w:pos="720"/>
        </w:tabs>
        <w:spacing w:after="0" w:line="240" w:lineRule="auto"/>
        <w:jc w:val="both"/>
        <w:rPr>
          <w:rFonts w:ascii="Arial" w:eastAsia="Calibri" w:hAnsi="Arial" w:cs="Arial"/>
          <w:bCs/>
          <w:sz w:val="24"/>
          <w:szCs w:val="24"/>
        </w:rPr>
      </w:pPr>
    </w:p>
    <w:p w14:paraId="2EAE0F8A" w14:textId="4269B0D2"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La </w:t>
      </w:r>
      <w:r w:rsidR="001C0C68">
        <w:rPr>
          <w:rFonts w:ascii="Arial" w:eastAsia="Calibri" w:hAnsi="Arial" w:cs="Arial"/>
          <w:bCs/>
          <w:sz w:val="24"/>
          <w:szCs w:val="24"/>
        </w:rPr>
        <w:t>D</w:t>
      </w:r>
      <w:r w:rsidRPr="00922279">
        <w:rPr>
          <w:rFonts w:ascii="Arial" w:eastAsia="Calibri" w:hAnsi="Arial" w:cs="Arial"/>
          <w:bCs/>
          <w:sz w:val="24"/>
          <w:szCs w:val="24"/>
        </w:rPr>
        <w:t>elegación del Brasil abordó la cuestión del Decreto No 10.139, de 2019, que exigía a las entidades públicas consolidar en un único cuerpo normativo todas las normas que abordaban el mismo tema. Dada esta obligación, se aclaró que el Banco Central del Brasil ha comprometido sus mayores esfuerzos para completar el proceso de consolidación, que se espera que se cierre en noviembre de 2021.</w:t>
      </w:r>
    </w:p>
    <w:p w14:paraId="6696FCD8"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496ED0E5"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En vista de estos esfuerzos, ha habido pocos avances en relación con el proceso de convergencia de las normas internacionales. Sin embargo, se aclaró que, en el contexto de los estados financieros individuales, el proceso de reducción de las asimetrías entre las normas aplicables a las instituciones financieras autorizadas para operar por el Banco Central del Brasil y las normas emitidas por el Consejo de Normas Internacionales de Contabilidad (IASB), está prácticamente completo, siendo la norma que se ocupa de la valoración de las inversiones y la combinación de negocios el último avance sobre el tema.</w:t>
      </w:r>
    </w:p>
    <w:p w14:paraId="3B50C6A5"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24E17F89" w14:textId="083A7512" w:rsidR="004C7EAC" w:rsidRPr="00922279" w:rsidRDefault="004C7EAC" w:rsidP="004C7EAC">
      <w:pPr>
        <w:autoSpaceDE w:val="0"/>
        <w:autoSpaceDN w:val="0"/>
        <w:adjustRightInd w:val="0"/>
        <w:spacing w:after="0" w:line="240" w:lineRule="auto"/>
        <w:jc w:val="both"/>
        <w:rPr>
          <w:rFonts w:ascii="Arial" w:eastAsia="Calibri" w:hAnsi="Arial" w:cs="Arial"/>
          <w:bCs/>
          <w:sz w:val="24"/>
          <w:szCs w:val="24"/>
        </w:rPr>
      </w:pPr>
      <w:r w:rsidRPr="00922279">
        <w:rPr>
          <w:rFonts w:ascii="Arial" w:eastAsia="Calibri" w:hAnsi="Arial" w:cs="Arial"/>
          <w:bCs/>
          <w:sz w:val="24"/>
          <w:szCs w:val="24"/>
        </w:rPr>
        <w:t>La Resolución No 4.817 de 2020 establece los criterios para la medición contable y el reconocimiento de inversiones en filiales, subsidiarias y controladas conjuntamente mantenidas por instituciones financieras y otras instituciones autorizadas para operar por el Banco Central del Brasil. A partir de la emisión de este reglamento, se inició la convergencia con las normas internacionales NIIF 3 - Combinaciones de negocios y NIC 28 - Inversiones en Asociados y Negocios Conjuntos, emitidas por el IASB. También sobre el tema, se presentar</w:t>
      </w:r>
      <w:r>
        <w:rPr>
          <w:rFonts w:ascii="Arial" w:eastAsia="Calibri" w:hAnsi="Arial" w:cs="Arial"/>
          <w:bCs/>
          <w:sz w:val="24"/>
          <w:szCs w:val="24"/>
        </w:rPr>
        <w:t xml:space="preserve">on al Directorio </w:t>
      </w:r>
      <w:r w:rsidRPr="00922279">
        <w:rPr>
          <w:rFonts w:ascii="Arial" w:eastAsia="Calibri" w:hAnsi="Arial" w:cs="Arial"/>
          <w:bCs/>
          <w:sz w:val="24"/>
          <w:szCs w:val="24"/>
        </w:rPr>
        <w:t>del Banco Central del Brasil normativa propia que aclare la informaci</w:t>
      </w:r>
      <w:r>
        <w:rPr>
          <w:rFonts w:ascii="Arial" w:eastAsia="Calibri" w:hAnsi="Arial" w:cs="Arial"/>
          <w:bCs/>
          <w:sz w:val="24"/>
          <w:szCs w:val="24"/>
        </w:rPr>
        <w:t xml:space="preserve">ones a revelar sobre esas inversiones </w:t>
      </w:r>
      <w:r w:rsidR="001C0C68">
        <w:rPr>
          <w:rFonts w:ascii="Arial" w:eastAsia="Calibri" w:hAnsi="Arial" w:cs="Arial"/>
          <w:bCs/>
          <w:sz w:val="24"/>
          <w:szCs w:val="24"/>
        </w:rPr>
        <w:t>de</w:t>
      </w:r>
      <w:r w:rsidRPr="00922279">
        <w:rPr>
          <w:rFonts w:ascii="Arial" w:eastAsia="Calibri" w:hAnsi="Arial" w:cs="Arial"/>
          <w:bCs/>
          <w:sz w:val="24"/>
          <w:szCs w:val="24"/>
        </w:rPr>
        <w:t xml:space="preserve"> acuerdo con las disposiciones de la NIIF 12 - </w:t>
      </w:r>
      <w:r w:rsidRPr="00825C25">
        <w:rPr>
          <w:rFonts w:ascii="Arial" w:eastAsia="Calibri" w:hAnsi="Arial" w:cs="Arial"/>
          <w:bCs/>
          <w:sz w:val="24"/>
          <w:szCs w:val="24"/>
        </w:rPr>
        <w:t>Información a Revelar sobre</w:t>
      </w:r>
      <w:r>
        <w:rPr>
          <w:rFonts w:ascii="Arial" w:eastAsia="Calibri" w:hAnsi="Arial" w:cs="Arial"/>
          <w:bCs/>
          <w:sz w:val="24"/>
          <w:szCs w:val="24"/>
        </w:rPr>
        <w:t xml:space="preserve"> </w:t>
      </w:r>
      <w:r w:rsidRPr="00825C25">
        <w:rPr>
          <w:rFonts w:ascii="Arial" w:eastAsia="Calibri" w:hAnsi="Arial" w:cs="Arial"/>
          <w:bCs/>
          <w:sz w:val="24"/>
          <w:szCs w:val="24"/>
        </w:rPr>
        <w:t>Participaciones en Otras Entidades</w:t>
      </w:r>
      <w:r w:rsidRPr="00922279">
        <w:rPr>
          <w:rFonts w:ascii="Arial" w:eastAsia="Calibri" w:hAnsi="Arial" w:cs="Arial"/>
          <w:bCs/>
          <w:sz w:val="24"/>
          <w:szCs w:val="24"/>
        </w:rPr>
        <w:t>. Con su aprobación, la convergencia en el tema de la valoración de la inversión se considera culminada.</w:t>
      </w:r>
    </w:p>
    <w:p w14:paraId="79E66B34"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17ABB230" w14:textId="271D57CF"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lastRenderedPageBreak/>
        <w:t>Las normas sobre instrumentos financieros y operaciones de arrendamiento seguirían pendientes de convergencia. En relación con el primero, el tema ya ha sido objeto de un Proyecto Estratégico en el marco de la Agenda del Banco Central del Brasil y ha sido objeto de 3 consultas públicas que dieron lugar a una norma propia que está a la espera de la consideración de</w:t>
      </w:r>
      <w:r>
        <w:rPr>
          <w:rFonts w:ascii="Arial" w:eastAsia="Calibri" w:hAnsi="Arial" w:cs="Arial"/>
          <w:bCs/>
          <w:sz w:val="24"/>
          <w:szCs w:val="24"/>
        </w:rPr>
        <w:t xml:space="preserve">l Directorio del </w:t>
      </w:r>
      <w:r w:rsidRPr="00922279">
        <w:rPr>
          <w:rFonts w:ascii="Arial" w:eastAsia="Calibri" w:hAnsi="Arial" w:cs="Arial"/>
          <w:bCs/>
          <w:sz w:val="24"/>
          <w:szCs w:val="24"/>
        </w:rPr>
        <w:t>Banco Central de Brasil y el Consejo Monetario Nacional.</w:t>
      </w:r>
    </w:p>
    <w:p w14:paraId="30DF9E80"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0DD05DC9"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En cuanto a las operaciones de arrendamiento, la delegación del Brasil explicó que, dada la disposición legal de que el </w:t>
      </w:r>
      <w:r>
        <w:rPr>
          <w:rFonts w:ascii="Arial" w:eastAsia="Calibri" w:hAnsi="Arial" w:cs="Arial"/>
          <w:bCs/>
          <w:sz w:val="24"/>
          <w:szCs w:val="24"/>
        </w:rPr>
        <w:t xml:space="preserve">bien objeto de </w:t>
      </w:r>
      <w:r w:rsidRPr="00922279">
        <w:rPr>
          <w:rFonts w:ascii="Arial" w:eastAsia="Calibri" w:hAnsi="Arial" w:cs="Arial"/>
          <w:bCs/>
          <w:sz w:val="24"/>
          <w:szCs w:val="24"/>
        </w:rPr>
        <w:t>arrendamiento debe registrarse en el activo del arrendador, existe una dificultad para converger a la NIIF 16 – Arrendamientos.</w:t>
      </w:r>
    </w:p>
    <w:p w14:paraId="0DAA8DDD"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63110058"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Por último, se presentaron las medidas emitidas por el Banco Central del Brasil y el Consejo Monetario Nacional para combatir los efectos de la pandemia Covid-19 con respecto al tratamiento de la provisión para las pérdidas esperadas.</w:t>
      </w:r>
    </w:p>
    <w:p w14:paraId="1E471E7E"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2969782E" w14:textId="29FA9B63"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Sobre este tema, se destac</w:t>
      </w:r>
      <w:r w:rsidR="001C0C68">
        <w:rPr>
          <w:rFonts w:ascii="Arial" w:eastAsia="Calibri" w:hAnsi="Arial" w:cs="Arial"/>
          <w:bCs/>
          <w:sz w:val="24"/>
          <w:szCs w:val="24"/>
        </w:rPr>
        <w:t>ó</w:t>
      </w:r>
      <w:r w:rsidRPr="00922279">
        <w:rPr>
          <w:rFonts w:ascii="Arial" w:eastAsia="Calibri" w:hAnsi="Arial" w:cs="Arial"/>
          <w:bCs/>
          <w:sz w:val="24"/>
          <w:szCs w:val="24"/>
        </w:rPr>
        <w:t xml:space="preserve"> la prórroga hasta el 31</w:t>
      </w:r>
      <w:r w:rsidR="001C0C68">
        <w:rPr>
          <w:rFonts w:ascii="Arial" w:eastAsia="Calibri" w:hAnsi="Arial" w:cs="Arial"/>
          <w:bCs/>
          <w:sz w:val="24"/>
          <w:szCs w:val="24"/>
        </w:rPr>
        <w:t>/</w:t>
      </w:r>
      <w:r w:rsidRPr="00922279">
        <w:rPr>
          <w:rFonts w:ascii="Arial" w:eastAsia="Calibri" w:hAnsi="Arial" w:cs="Arial"/>
          <w:bCs/>
          <w:sz w:val="24"/>
          <w:szCs w:val="24"/>
        </w:rPr>
        <w:t>12</w:t>
      </w:r>
      <w:r w:rsidR="001C0C68">
        <w:rPr>
          <w:rFonts w:ascii="Arial" w:eastAsia="Calibri" w:hAnsi="Arial" w:cs="Arial"/>
          <w:bCs/>
          <w:sz w:val="24"/>
          <w:szCs w:val="24"/>
        </w:rPr>
        <w:t>/</w:t>
      </w:r>
      <w:r w:rsidRPr="00922279">
        <w:rPr>
          <w:rFonts w:ascii="Arial" w:eastAsia="Calibri" w:hAnsi="Arial" w:cs="Arial"/>
          <w:bCs/>
          <w:sz w:val="24"/>
          <w:szCs w:val="24"/>
        </w:rPr>
        <w:t>2020 de la facultad prevista en la Resolución CMN No 4.803, de 13</w:t>
      </w:r>
      <w:r w:rsidR="001C0C68">
        <w:rPr>
          <w:rFonts w:ascii="Arial" w:eastAsia="Calibri" w:hAnsi="Arial" w:cs="Arial"/>
          <w:bCs/>
          <w:sz w:val="24"/>
          <w:szCs w:val="24"/>
        </w:rPr>
        <w:t>/</w:t>
      </w:r>
      <w:r w:rsidRPr="00922279">
        <w:rPr>
          <w:rFonts w:ascii="Arial" w:eastAsia="Calibri" w:hAnsi="Arial" w:cs="Arial"/>
          <w:bCs/>
          <w:sz w:val="24"/>
          <w:szCs w:val="24"/>
        </w:rPr>
        <w:t>04</w:t>
      </w:r>
      <w:r w:rsidR="001C0C68">
        <w:rPr>
          <w:rFonts w:ascii="Arial" w:eastAsia="Calibri" w:hAnsi="Arial" w:cs="Arial"/>
          <w:bCs/>
          <w:sz w:val="24"/>
          <w:szCs w:val="24"/>
        </w:rPr>
        <w:t>/</w:t>
      </w:r>
      <w:r w:rsidRPr="00922279">
        <w:rPr>
          <w:rFonts w:ascii="Arial" w:eastAsia="Calibri" w:hAnsi="Arial" w:cs="Arial"/>
          <w:bCs/>
          <w:sz w:val="24"/>
          <w:szCs w:val="24"/>
        </w:rPr>
        <w:t>2020, que permitió reclasificar las operaciones renegociadas del 01</w:t>
      </w:r>
      <w:r w:rsidR="001C0C68">
        <w:rPr>
          <w:rFonts w:ascii="Arial" w:eastAsia="Calibri" w:hAnsi="Arial" w:cs="Arial"/>
          <w:bCs/>
          <w:sz w:val="24"/>
          <w:szCs w:val="24"/>
        </w:rPr>
        <w:t>/</w:t>
      </w:r>
      <w:r w:rsidRPr="00922279">
        <w:rPr>
          <w:rFonts w:ascii="Arial" w:eastAsia="Calibri" w:hAnsi="Arial" w:cs="Arial"/>
          <w:bCs/>
          <w:sz w:val="24"/>
          <w:szCs w:val="24"/>
        </w:rPr>
        <w:t>03 al 30</w:t>
      </w:r>
      <w:r w:rsidR="001C0C68">
        <w:rPr>
          <w:rFonts w:ascii="Arial" w:eastAsia="Calibri" w:hAnsi="Arial" w:cs="Arial"/>
          <w:bCs/>
          <w:sz w:val="24"/>
          <w:szCs w:val="24"/>
        </w:rPr>
        <w:t>/</w:t>
      </w:r>
      <w:r w:rsidRPr="00922279">
        <w:rPr>
          <w:rFonts w:ascii="Arial" w:eastAsia="Calibri" w:hAnsi="Arial" w:cs="Arial"/>
          <w:bCs/>
          <w:sz w:val="24"/>
          <w:szCs w:val="24"/>
        </w:rPr>
        <w:t>09</w:t>
      </w:r>
      <w:r w:rsidR="001C0C68">
        <w:rPr>
          <w:rFonts w:ascii="Arial" w:eastAsia="Calibri" w:hAnsi="Arial" w:cs="Arial"/>
          <w:bCs/>
          <w:sz w:val="24"/>
          <w:szCs w:val="24"/>
        </w:rPr>
        <w:t>/</w:t>
      </w:r>
      <w:r w:rsidRPr="00922279">
        <w:rPr>
          <w:rFonts w:ascii="Arial" w:eastAsia="Calibri" w:hAnsi="Arial" w:cs="Arial"/>
          <w:bCs/>
          <w:sz w:val="24"/>
          <w:szCs w:val="24"/>
        </w:rPr>
        <w:t>2020 al nivel al que fueron clasificadas el 29</w:t>
      </w:r>
      <w:r w:rsidR="001C0C68">
        <w:rPr>
          <w:rFonts w:ascii="Arial" w:eastAsia="Calibri" w:hAnsi="Arial" w:cs="Arial"/>
          <w:bCs/>
          <w:sz w:val="24"/>
          <w:szCs w:val="24"/>
        </w:rPr>
        <w:t>/</w:t>
      </w:r>
      <w:r w:rsidRPr="00922279">
        <w:rPr>
          <w:rFonts w:ascii="Arial" w:eastAsia="Calibri" w:hAnsi="Arial" w:cs="Arial"/>
          <w:bCs/>
          <w:sz w:val="24"/>
          <w:szCs w:val="24"/>
        </w:rPr>
        <w:t>02</w:t>
      </w:r>
      <w:r w:rsidR="001C0C68">
        <w:rPr>
          <w:rFonts w:ascii="Arial" w:eastAsia="Calibri" w:hAnsi="Arial" w:cs="Arial"/>
          <w:bCs/>
          <w:sz w:val="24"/>
          <w:szCs w:val="24"/>
        </w:rPr>
        <w:t>/</w:t>
      </w:r>
      <w:r w:rsidRPr="00922279">
        <w:rPr>
          <w:rFonts w:ascii="Arial" w:eastAsia="Calibri" w:hAnsi="Arial" w:cs="Arial"/>
          <w:bCs/>
          <w:sz w:val="24"/>
          <w:szCs w:val="24"/>
        </w:rPr>
        <w:t>2020.</w:t>
      </w:r>
    </w:p>
    <w:p w14:paraId="4E343D39"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451D9C9B"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Por último, la Resolución No 4.855 de 2020 estableció criterios específicos para la medición </w:t>
      </w:r>
      <w:r>
        <w:rPr>
          <w:rFonts w:ascii="Arial" w:eastAsia="Calibri" w:hAnsi="Arial" w:cs="Arial"/>
          <w:bCs/>
          <w:sz w:val="24"/>
          <w:szCs w:val="24"/>
        </w:rPr>
        <w:t>del deterioro</w:t>
      </w:r>
      <w:r w:rsidRPr="00922279">
        <w:rPr>
          <w:rFonts w:ascii="Arial" w:eastAsia="Calibri" w:hAnsi="Arial" w:cs="Arial"/>
          <w:bCs/>
          <w:sz w:val="24"/>
          <w:szCs w:val="24"/>
        </w:rPr>
        <w:t xml:space="preserve"> de las transacciones realizadas en el marco de los programas establecidos con el fin de hacer frente a los efectos de la pandemia Covid-19 sobre la economía.</w:t>
      </w:r>
    </w:p>
    <w:p w14:paraId="1C0DCB8A"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58462FD1"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En el caso de las operaciones financiadas con recursos del Estado, ya sea total o parcialmente, sólo se permitió la aplicación de los porcentajes mínimos de provisión definidos en el artículo 6 de la Resolución No 2.682 de 1999 de la CMN, sólo la parte de la operación cuyo riesgo crediticio </w:t>
      </w:r>
      <w:r>
        <w:rPr>
          <w:rFonts w:ascii="Arial" w:eastAsia="Calibri" w:hAnsi="Arial" w:cs="Arial"/>
          <w:bCs/>
          <w:sz w:val="24"/>
          <w:szCs w:val="24"/>
        </w:rPr>
        <w:t>sea</w:t>
      </w:r>
      <w:r w:rsidRPr="00922279">
        <w:rPr>
          <w:rFonts w:ascii="Arial" w:eastAsia="Calibri" w:hAnsi="Arial" w:cs="Arial"/>
          <w:bCs/>
          <w:sz w:val="24"/>
          <w:szCs w:val="24"/>
        </w:rPr>
        <w:t xml:space="preserve"> de la institución.</w:t>
      </w:r>
    </w:p>
    <w:p w14:paraId="17A55818" w14:textId="77777777" w:rsidR="004C7EAC" w:rsidRPr="00922279"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3D314B2A" w14:textId="77777777" w:rsidR="004C7EAC" w:rsidRDefault="004C7EAC" w:rsidP="004C7EAC">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En el caso de las transacciones garantizadas por el Estado, directamente o a través de un fondo de garantía o de una entidad financiera controlada por él, se le permitió duplicar los plazos previstos en el artículo 4 de la Resolución No 2.682 de la CMN de 1999, </w:t>
      </w:r>
      <w:r>
        <w:rPr>
          <w:rFonts w:ascii="Arial" w:eastAsia="Calibri" w:hAnsi="Arial" w:cs="Arial"/>
          <w:bCs/>
          <w:sz w:val="24"/>
          <w:szCs w:val="24"/>
        </w:rPr>
        <w:t xml:space="preserve">con </w:t>
      </w:r>
      <w:r w:rsidRPr="00922279">
        <w:rPr>
          <w:rFonts w:ascii="Arial" w:eastAsia="Calibri" w:hAnsi="Arial" w:cs="Arial"/>
          <w:bCs/>
          <w:sz w:val="24"/>
          <w:szCs w:val="24"/>
        </w:rPr>
        <w:t xml:space="preserve"> efectos de la clasificación de la operación por nivel de riesgo y, en consecuencia, del cálculo de la provisión.</w:t>
      </w:r>
    </w:p>
    <w:p w14:paraId="65DA5CCF" w14:textId="5B70BC62" w:rsidR="002455E6" w:rsidRDefault="002455E6" w:rsidP="00922279">
      <w:pPr>
        <w:tabs>
          <w:tab w:val="num" w:pos="720"/>
        </w:tabs>
        <w:spacing w:after="0" w:line="240" w:lineRule="auto"/>
        <w:jc w:val="both"/>
        <w:rPr>
          <w:rFonts w:ascii="Arial" w:eastAsia="Calibri" w:hAnsi="Arial" w:cs="Arial"/>
          <w:bCs/>
          <w:sz w:val="24"/>
          <w:szCs w:val="24"/>
        </w:rPr>
      </w:pPr>
    </w:p>
    <w:p w14:paraId="2891923C" w14:textId="2ED73CFA" w:rsidR="002455E6" w:rsidRPr="000F3757" w:rsidRDefault="002455E6" w:rsidP="002455E6">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 xml:space="preserve">La </w:t>
      </w:r>
      <w:r w:rsidR="001C0C68">
        <w:rPr>
          <w:rFonts w:ascii="Arial" w:eastAsia="Calibri" w:hAnsi="Arial" w:cs="Arial"/>
          <w:bCs/>
          <w:sz w:val="24"/>
          <w:szCs w:val="24"/>
        </w:rPr>
        <w:t>D</w:t>
      </w:r>
      <w:r>
        <w:rPr>
          <w:rFonts w:ascii="Arial" w:eastAsia="Calibri" w:hAnsi="Arial" w:cs="Arial"/>
          <w:bCs/>
          <w:sz w:val="24"/>
          <w:szCs w:val="24"/>
        </w:rPr>
        <w:t>elegación de Paraguay informó no tener novedades respecto a este tema.</w:t>
      </w:r>
    </w:p>
    <w:p w14:paraId="1DAD0BF7" w14:textId="77777777" w:rsidR="00E07E0C" w:rsidRDefault="00E07E0C" w:rsidP="00D42E2C">
      <w:pPr>
        <w:tabs>
          <w:tab w:val="num" w:pos="720"/>
        </w:tabs>
        <w:spacing w:after="0" w:line="240" w:lineRule="auto"/>
        <w:jc w:val="both"/>
        <w:rPr>
          <w:rFonts w:ascii="Arial" w:eastAsia="Calibri" w:hAnsi="Arial" w:cs="Arial"/>
          <w:bCs/>
          <w:sz w:val="24"/>
          <w:szCs w:val="24"/>
        </w:rPr>
      </w:pPr>
    </w:p>
    <w:p w14:paraId="3C1CBE58" w14:textId="318D1065" w:rsidR="007E768F" w:rsidRDefault="001F6ACE" w:rsidP="00D42E2C">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 xml:space="preserve">La </w:t>
      </w:r>
      <w:r w:rsidR="001C0C68">
        <w:rPr>
          <w:rFonts w:ascii="Arial" w:eastAsia="Calibri" w:hAnsi="Arial" w:cs="Arial"/>
          <w:bCs/>
          <w:sz w:val="24"/>
          <w:szCs w:val="24"/>
        </w:rPr>
        <w:t>D</w:t>
      </w:r>
      <w:r>
        <w:rPr>
          <w:rFonts w:ascii="Arial" w:eastAsia="Calibri" w:hAnsi="Arial" w:cs="Arial"/>
          <w:bCs/>
          <w:sz w:val="24"/>
          <w:szCs w:val="24"/>
        </w:rPr>
        <w:t>elegación de Uruguay informó que a raíz de sugerencias provenientes de entidades supervisadas se está revisando la posibilidad de cambiar el criterio de contabilidad de fecha de liquidación, única permitida hasta el momento para compra ventas convencionales, por el criterio de la fecha de negociación. Se recab</w:t>
      </w:r>
      <w:r w:rsidR="001C0C68">
        <w:rPr>
          <w:rFonts w:ascii="Arial" w:eastAsia="Calibri" w:hAnsi="Arial" w:cs="Arial"/>
          <w:bCs/>
          <w:sz w:val="24"/>
          <w:szCs w:val="24"/>
        </w:rPr>
        <w:t>ó</w:t>
      </w:r>
      <w:r>
        <w:rPr>
          <w:rFonts w:ascii="Arial" w:eastAsia="Calibri" w:hAnsi="Arial" w:cs="Arial"/>
          <w:bCs/>
          <w:sz w:val="24"/>
          <w:szCs w:val="24"/>
        </w:rPr>
        <w:t xml:space="preserve"> la opinión de los demás participantes a efectos de tener mayores elementos a la hora de tomar una decisión.</w:t>
      </w:r>
    </w:p>
    <w:p w14:paraId="2CB4FA63" w14:textId="77777777" w:rsidR="001F6ACE" w:rsidRPr="001F6ACE" w:rsidRDefault="001F6ACE" w:rsidP="00D42E2C">
      <w:pPr>
        <w:tabs>
          <w:tab w:val="num" w:pos="720"/>
        </w:tabs>
        <w:spacing w:after="0" w:line="240" w:lineRule="auto"/>
        <w:jc w:val="both"/>
        <w:rPr>
          <w:rFonts w:ascii="Arial" w:eastAsia="Calibri" w:hAnsi="Arial" w:cs="Arial"/>
          <w:bCs/>
          <w:sz w:val="24"/>
          <w:szCs w:val="24"/>
        </w:rPr>
      </w:pPr>
    </w:p>
    <w:p w14:paraId="647706CA" w14:textId="16C9E027" w:rsidR="00696124" w:rsidRDefault="001F6ACE" w:rsidP="00D42E2C">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Asimismo, se informó que se ha decidido elaborar una hoja de ruta hacia la adopción plena de la NIIF 9. A la fecha, la Superintendencia de Servicios Financieros</w:t>
      </w:r>
      <w:r w:rsidR="00696124">
        <w:rPr>
          <w:rFonts w:ascii="Arial" w:eastAsia="Calibri" w:hAnsi="Arial" w:cs="Arial"/>
          <w:bCs/>
          <w:sz w:val="24"/>
          <w:szCs w:val="24"/>
        </w:rPr>
        <w:t xml:space="preserve"> del Banco Central del Uruguay en materia de deterioro de activos financieros, tiene normativa propia en base a un modelo estandarizado. Se consult</w:t>
      </w:r>
      <w:r w:rsidR="001C0C68">
        <w:rPr>
          <w:rFonts w:ascii="Arial" w:eastAsia="Calibri" w:hAnsi="Arial" w:cs="Arial"/>
          <w:bCs/>
          <w:sz w:val="24"/>
          <w:szCs w:val="24"/>
        </w:rPr>
        <w:t>ó</w:t>
      </w:r>
      <w:r w:rsidR="00696124">
        <w:rPr>
          <w:rFonts w:ascii="Arial" w:eastAsia="Calibri" w:hAnsi="Arial" w:cs="Arial"/>
          <w:bCs/>
          <w:sz w:val="24"/>
          <w:szCs w:val="24"/>
        </w:rPr>
        <w:t xml:space="preserve"> la experiencia de las demás </w:t>
      </w:r>
      <w:r w:rsidR="00696124">
        <w:rPr>
          <w:rFonts w:ascii="Arial" w:eastAsia="Calibri" w:hAnsi="Arial" w:cs="Arial"/>
          <w:bCs/>
          <w:sz w:val="24"/>
          <w:szCs w:val="24"/>
        </w:rPr>
        <w:lastRenderedPageBreak/>
        <w:t>jurisdicciones con el objetivo de tener elementos para decidir aspectos como mantener igualmente un modelo estándar para algunos supervisados habilitados a otorgar créditos distintos a los bancos, o para utilizarlo como herramienta para determinar un piso de provisiones para comparar con los resultados del modelo interno utilizado para dar cumplimiento a los criterios de la NIIF 9.</w:t>
      </w:r>
    </w:p>
    <w:p w14:paraId="3D3A1DD6" w14:textId="77777777" w:rsidR="009D1589" w:rsidRDefault="009D1589" w:rsidP="00D42E2C">
      <w:pPr>
        <w:tabs>
          <w:tab w:val="num" w:pos="720"/>
        </w:tabs>
        <w:spacing w:after="0" w:line="240" w:lineRule="auto"/>
        <w:jc w:val="both"/>
        <w:rPr>
          <w:rFonts w:ascii="Arial" w:eastAsia="Calibri" w:hAnsi="Arial" w:cs="Arial"/>
          <w:bCs/>
          <w:sz w:val="24"/>
          <w:szCs w:val="24"/>
        </w:rPr>
      </w:pPr>
    </w:p>
    <w:p w14:paraId="5604035C" w14:textId="790458C6" w:rsidR="009D1589" w:rsidRDefault="009D1589" w:rsidP="00D42E2C">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 xml:space="preserve">También se informó que se han adoptado disposiciones transitorias que afectan al Marco Contable </w:t>
      </w:r>
      <w:r w:rsidRPr="009D1589">
        <w:rPr>
          <w:rFonts w:ascii="Arial" w:eastAsia="Calibri" w:hAnsi="Arial" w:cs="Arial"/>
          <w:bCs/>
          <w:sz w:val="24"/>
          <w:szCs w:val="24"/>
        </w:rPr>
        <w:t>en atención a la</w:t>
      </w:r>
      <w:r>
        <w:rPr>
          <w:rFonts w:ascii="Arial" w:eastAsia="Calibri" w:hAnsi="Arial" w:cs="Arial"/>
          <w:bCs/>
          <w:sz w:val="24"/>
          <w:szCs w:val="24"/>
        </w:rPr>
        <w:t xml:space="preserve"> </w:t>
      </w:r>
      <w:r w:rsidRPr="009D1589">
        <w:rPr>
          <w:rFonts w:ascii="Arial" w:eastAsia="Calibri" w:hAnsi="Arial" w:cs="Arial"/>
          <w:bCs/>
          <w:sz w:val="24"/>
          <w:szCs w:val="24"/>
        </w:rPr>
        <w:t>Emergencia Sanitaria declarada por el Poder Ejecutivo el día 13 de marzo de</w:t>
      </w:r>
      <w:r>
        <w:rPr>
          <w:rFonts w:ascii="Arial" w:eastAsia="Calibri" w:hAnsi="Arial" w:cs="Arial"/>
          <w:bCs/>
          <w:sz w:val="24"/>
          <w:szCs w:val="24"/>
        </w:rPr>
        <w:t xml:space="preserve"> </w:t>
      </w:r>
      <w:r w:rsidRPr="009D1589">
        <w:rPr>
          <w:rFonts w:ascii="Arial" w:eastAsia="Calibri" w:hAnsi="Arial" w:cs="Arial"/>
          <w:bCs/>
          <w:sz w:val="24"/>
          <w:szCs w:val="24"/>
        </w:rPr>
        <w:t xml:space="preserve">2020, </w:t>
      </w:r>
      <w:r w:rsidR="000F3757">
        <w:rPr>
          <w:rFonts w:ascii="Arial" w:eastAsia="Calibri" w:hAnsi="Arial" w:cs="Arial"/>
          <w:bCs/>
          <w:sz w:val="24"/>
          <w:szCs w:val="24"/>
        </w:rPr>
        <w:t>puestas en conocimiento del mercado a través de las Comunicaciones 2020/049 y 2020/179</w:t>
      </w:r>
      <w:r>
        <w:rPr>
          <w:rFonts w:ascii="Arial" w:eastAsia="Calibri" w:hAnsi="Arial" w:cs="Arial"/>
          <w:bCs/>
          <w:sz w:val="24"/>
          <w:szCs w:val="24"/>
        </w:rPr>
        <w:t>:</w:t>
      </w:r>
    </w:p>
    <w:p w14:paraId="23CF33F6" w14:textId="77777777" w:rsidR="009D1589" w:rsidRDefault="009D1589" w:rsidP="00D42E2C">
      <w:pPr>
        <w:tabs>
          <w:tab w:val="num" w:pos="720"/>
        </w:tabs>
        <w:spacing w:after="0" w:line="240" w:lineRule="auto"/>
        <w:jc w:val="both"/>
        <w:rPr>
          <w:rFonts w:ascii="Arial" w:eastAsia="Calibri" w:hAnsi="Arial" w:cs="Arial"/>
          <w:bCs/>
          <w:sz w:val="24"/>
          <w:szCs w:val="24"/>
        </w:rPr>
      </w:pPr>
    </w:p>
    <w:p w14:paraId="7997807E" w14:textId="1F34AF43" w:rsidR="009D1589" w:rsidRPr="000F3757" w:rsidRDefault="009D1589" w:rsidP="00D42E2C">
      <w:pPr>
        <w:pStyle w:val="Prrafodelista"/>
        <w:numPr>
          <w:ilvl w:val="0"/>
          <w:numId w:val="2"/>
        </w:numPr>
        <w:tabs>
          <w:tab w:val="num" w:pos="720"/>
        </w:tabs>
        <w:spacing w:after="0" w:line="240" w:lineRule="auto"/>
        <w:jc w:val="both"/>
        <w:rPr>
          <w:rFonts w:ascii="Arial" w:eastAsia="Calibri" w:hAnsi="Arial" w:cs="Arial"/>
          <w:bCs/>
          <w:sz w:val="24"/>
          <w:szCs w:val="24"/>
        </w:rPr>
      </w:pPr>
      <w:r w:rsidRPr="000F3757">
        <w:rPr>
          <w:rFonts w:ascii="Arial" w:eastAsia="Calibri" w:hAnsi="Arial" w:cs="Arial"/>
          <w:bCs/>
          <w:sz w:val="24"/>
          <w:szCs w:val="24"/>
        </w:rPr>
        <w:t>La autorización a las instituciones a que en determinadas circunstancias puedan extender los plazos de los vencimiento que sucedan hasta el 31</w:t>
      </w:r>
      <w:r w:rsidR="001C0C68">
        <w:rPr>
          <w:rFonts w:ascii="Arial" w:eastAsia="Calibri" w:hAnsi="Arial" w:cs="Arial"/>
          <w:bCs/>
          <w:sz w:val="24"/>
          <w:szCs w:val="24"/>
        </w:rPr>
        <w:t>/</w:t>
      </w:r>
      <w:r w:rsidRPr="000F3757">
        <w:rPr>
          <w:rFonts w:ascii="Arial" w:eastAsia="Calibri" w:hAnsi="Arial" w:cs="Arial"/>
          <w:bCs/>
          <w:sz w:val="24"/>
          <w:szCs w:val="24"/>
        </w:rPr>
        <w:t>08</w:t>
      </w:r>
      <w:r w:rsidR="001C0C68">
        <w:rPr>
          <w:rFonts w:ascii="Arial" w:eastAsia="Calibri" w:hAnsi="Arial" w:cs="Arial"/>
          <w:bCs/>
          <w:sz w:val="24"/>
          <w:szCs w:val="24"/>
        </w:rPr>
        <w:t>/</w:t>
      </w:r>
      <w:r w:rsidRPr="000F3757">
        <w:rPr>
          <w:rFonts w:ascii="Arial" w:eastAsia="Calibri" w:hAnsi="Arial" w:cs="Arial"/>
          <w:bCs/>
          <w:sz w:val="24"/>
          <w:szCs w:val="24"/>
        </w:rPr>
        <w:t>2020, en acuerdo con sus clientes, tanto del pago de capital como de intereses, por hasta 180 días, o de tratarse de préstamos amortizables trasladar las cuotas cuyos vencimientos acaecieran hasta dicha fecha para luego de finalizado el crédito, así como de disponer de 90 días adicionales para contar con la actualización de la información requerida a los deudores del sector no financiero  y para los informes sobre el valor de tasación de las correspondientes garantías.</w:t>
      </w:r>
    </w:p>
    <w:p w14:paraId="16BB6397" w14:textId="77777777" w:rsidR="009D1589" w:rsidRDefault="009D1589" w:rsidP="00D42E2C">
      <w:pPr>
        <w:tabs>
          <w:tab w:val="num" w:pos="720"/>
        </w:tabs>
        <w:spacing w:after="0" w:line="240" w:lineRule="auto"/>
        <w:jc w:val="both"/>
        <w:rPr>
          <w:rFonts w:ascii="Arial" w:eastAsia="Calibri" w:hAnsi="Arial" w:cs="Arial"/>
          <w:bCs/>
          <w:sz w:val="24"/>
          <w:szCs w:val="24"/>
        </w:rPr>
      </w:pPr>
    </w:p>
    <w:p w14:paraId="453CBAEE" w14:textId="4C478454" w:rsidR="009D1589" w:rsidRPr="000F3757" w:rsidRDefault="009D1589" w:rsidP="00D42E2C">
      <w:pPr>
        <w:pStyle w:val="Prrafodelista"/>
        <w:numPr>
          <w:ilvl w:val="0"/>
          <w:numId w:val="2"/>
        </w:numPr>
        <w:tabs>
          <w:tab w:val="num" w:pos="720"/>
        </w:tabs>
        <w:spacing w:after="0" w:line="240" w:lineRule="auto"/>
        <w:jc w:val="both"/>
        <w:rPr>
          <w:rFonts w:ascii="Arial" w:eastAsia="Calibri" w:hAnsi="Arial" w:cs="Arial"/>
          <w:bCs/>
          <w:sz w:val="24"/>
          <w:szCs w:val="24"/>
        </w:rPr>
      </w:pPr>
      <w:r w:rsidRPr="000F3757">
        <w:rPr>
          <w:rFonts w:ascii="Arial" w:eastAsia="Calibri" w:hAnsi="Arial" w:cs="Arial"/>
          <w:bCs/>
          <w:sz w:val="24"/>
          <w:szCs w:val="24"/>
        </w:rPr>
        <w:t>Las reestructuras de créditos que se pacten hasta el 31</w:t>
      </w:r>
      <w:r w:rsidR="001C0C68">
        <w:rPr>
          <w:rFonts w:ascii="Arial" w:eastAsia="Calibri" w:hAnsi="Arial" w:cs="Arial"/>
          <w:bCs/>
          <w:sz w:val="24"/>
          <w:szCs w:val="24"/>
        </w:rPr>
        <w:t>/</w:t>
      </w:r>
      <w:r w:rsidR="000F3757" w:rsidRPr="000F3757">
        <w:rPr>
          <w:rFonts w:ascii="Arial" w:eastAsia="Calibri" w:hAnsi="Arial" w:cs="Arial"/>
          <w:bCs/>
          <w:sz w:val="24"/>
          <w:szCs w:val="24"/>
        </w:rPr>
        <w:t>12</w:t>
      </w:r>
      <w:r w:rsidR="001C0C68">
        <w:rPr>
          <w:rFonts w:ascii="Arial" w:eastAsia="Calibri" w:hAnsi="Arial" w:cs="Arial"/>
          <w:bCs/>
          <w:sz w:val="24"/>
          <w:szCs w:val="24"/>
        </w:rPr>
        <w:t>/</w:t>
      </w:r>
      <w:r w:rsidRPr="000F3757">
        <w:rPr>
          <w:rFonts w:ascii="Arial" w:eastAsia="Calibri" w:hAnsi="Arial" w:cs="Arial"/>
          <w:bCs/>
          <w:sz w:val="24"/>
          <w:szCs w:val="24"/>
        </w:rPr>
        <w:t>2020, por dificultades financieras originadas exclusivamente, en forma directa o indirecta, en la citada Emergencia Sanitaria, podrán no considerarse problemáticas, siempre que se cumplan determinadas condiciones.</w:t>
      </w:r>
    </w:p>
    <w:p w14:paraId="4F29FBD3" w14:textId="77777777" w:rsidR="000F3757" w:rsidRDefault="000F3757" w:rsidP="00D42E2C">
      <w:pPr>
        <w:tabs>
          <w:tab w:val="num" w:pos="720"/>
        </w:tabs>
        <w:spacing w:after="0" w:line="240" w:lineRule="auto"/>
        <w:jc w:val="both"/>
        <w:rPr>
          <w:rFonts w:ascii="Arial" w:eastAsia="Calibri" w:hAnsi="Arial" w:cs="Arial"/>
          <w:bCs/>
          <w:sz w:val="24"/>
          <w:szCs w:val="24"/>
        </w:rPr>
      </w:pPr>
    </w:p>
    <w:p w14:paraId="18AEB608" w14:textId="3F6F02A1" w:rsidR="000F3757" w:rsidRPr="000F3757" w:rsidRDefault="000F3757" w:rsidP="00D42E2C">
      <w:pPr>
        <w:pStyle w:val="Prrafodelista"/>
        <w:numPr>
          <w:ilvl w:val="0"/>
          <w:numId w:val="2"/>
        </w:numPr>
        <w:tabs>
          <w:tab w:val="num" w:pos="720"/>
        </w:tabs>
        <w:spacing w:after="0" w:line="240" w:lineRule="auto"/>
        <w:jc w:val="both"/>
        <w:rPr>
          <w:rFonts w:ascii="Arial" w:eastAsia="Calibri" w:hAnsi="Arial" w:cs="Arial"/>
          <w:bCs/>
          <w:sz w:val="24"/>
          <w:szCs w:val="24"/>
        </w:rPr>
      </w:pPr>
      <w:r w:rsidRPr="000F3757">
        <w:rPr>
          <w:rFonts w:ascii="Arial" w:eastAsia="Calibri" w:hAnsi="Arial" w:cs="Arial"/>
          <w:bCs/>
          <w:sz w:val="24"/>
          <w:szCs w:val="24"/>
        </w:rPr>
        <w:t>A efectos de evaluar la capacidad de pago de los deudores de la cartera comercial hasta el 31</w:t>
      </w:r>
      <w:r w:rsidR="001C0C68">
        <w:rPr>
          <w:rFonts w:ascii="Arial" w:eastAsia="Calibri" w:hAnsi="Arial" w:cs="Arial"/>
          <w:bCs/>
          <w:sz w:val="24"/>
          <w:szCs w:val="24"/>
        </w:rPr>
        <w:t>/</w:t>
      </w:r>
      <w:r w:rsidRPr="000F3757">
        <w:rPr>
          <w:rFonts w:ascii="Arial" w:eastAsia="Calibri" w:hAnsi="Arial" w:cs="Arial"/>
          <w:bCs/>
          <w:sz w:val="24"/>
          <w:szCs w:val="24"/>
        </w:rPr>
        <w:t>12</w:t>
      </w:r>
      <w:r w:rsidR="001C0C68">
        <w:rPr>
          <w:rFonts w:ascii="Arial" w:eastAsia="Calibri" w:hAnsi="Arial" w:cs="Arial"/>
          <w:bCs/>
          <w:sz w:val="24"/>
          <w:szCs w:val="24"/>
        </w:rPr>
        <w:t>/</w:t>
      </w:r>
      <w:r w:rsidRPr="000F3757">
        <w:rPr>
          <w:rFonts w:ascii="Arial" w:eastAsia="Calibri" w:hAnsi="Arial" w:cs="Arial"/>
          <w:bCs/>
          <w:sz w:val="24"/>
          <w:szCs w:val="24"/>
        </w:rPr>
        <w:t>2021, las instituciones financieras podrán evaluar la capacidad de pago del deudor considerando exclusivamente un escenario base que contemple los efectos económicos de la Emergencia Sanitaria, sin realizar análisis de estrés. Como contrapartida se imponen limitaciones a la mejora de la clasificación crediticia de dichos deudores.</w:t>
      </w:r>
    </w:p>
    <w:p w14:paraId="5C3B334A" w14:textId="77777777" w:rsidR="007E768F" w:rsidRPr="007E768F" w:rsidRDefault="007E768F" w:rsidP="007E768F">
      <w:pPr>
        <w:tabs>
          <w:tab w:val="num" w:pos="720"/>
        </w:tabs>
        <w:spacing w:after="0" w:line="240" w:lineRule="auto"/>
        <w:rPr>
          <w:rFonts w:ascii="Arial" w:eastAsia="Calibri" w:hAnsi="Arial" w:cs="Arial"/>
          <w:b/>
          <w:bCs/>
          <w:sz w:val="24"/>
          <w:szCs w:val="24"/>
        </w:rPr>
      </w:pPr>
    </w:p>
    <w:p w14:paraId="30B316CE" w14:textId="77777777" w:rsidR="007E768F" w:rsidRPr="007E768F" w:rsidRDefault="007E768F" w:rsidP="007E768F">
      <w:pPr>
        <w:tabs>
          <w:tab w:val="num" w:pos="720"/>
        </w:tabs>
        <w:spacing w:after="0" w:line="240" w:lineRule="auto"/>
        <w:rPr>
          <w:rFonts w:ascii="Arial" w:eastAsia="Calibri" w:hAnsi="Arial" w:cs="Arial"/>
          <w:b/>
          <w:bCs/>
          <w:sz w:val="24"/>
          <w:szCs w:val="24"/>
        </w:rPr>
      </w:pPr>
    </w:p>
    <w:p w14:paraId="617EB254" w14:textId="3BB9FD15" w:rsidR="007E768F" w:rsidRPr="007E768F" w:rsidRDefault="00696124" w:rsidP="007E768F">
      <w:pPr>
        <w:tabs>
          <w:tab w:val="num" w:pos="720"/>
        </w:tabs>
        <w:spacing w:after="0" w:line="240" w:lineRule="auto"/>
        <w:rPr>
          <w:rFonts w:ascii="Arial" w:eastAsia="Calibri" w:hAnsi="Arial" w:cs="Arial"/>
          <w:b/>
          <w:bCs/>
          <w:caps/>
          <w:sz w:val="24"/>
          <w:szCs w:val="24"/>
        </w:rPr>
      </w:pPr>
      <w:r>
        <w:rPr>
          <w:rFonts w:ascii="Arial" w:eastAsia="Calibri" w:hAnsi="Arial" w:cs="Arial"/>
          <w:b/>
          <w:bCs/>
          <w:sz w:val="24"/>
          <w:szCs w:val="24"/>
        </w:rPr>
        <w:t>2</w:t>
      </w:r>
      <w:r w:rsidR="00890193" w:rsidRPr="006139F5">
        <w:rPr>
          <w:rFonts w:ascii="Arial" w:eastAsia="Calibri" w:hAnsi="Arial" w:cs="Arial"/>
          <w:b/>
          <w:bCs/>
          <w:sz w:val="24"/>
          <w:szCs w:val="24"/>
        </w:rPr>
        <w:t xml:space="preserve">. MODELOS DE ESTADOS FINANCIEROS BASADOS EN LAS NIIF </w:t>
      </w:r>
    </w:p>
    <w:p w14:paraId="548C2405" w14:textId="77777777" w:rsidR="007E768F" w:rsidRPr="007E768F" w:rsidRDefault="007E768F" w:rsidP="007E768F">
      <w:pPr>
        <w:tabs>
          <w:tab w:val="num" w:pos="720"/>
        </w:tabs>
        <w:spacing w:after="0" w:line="240" w:lineRule="auto"/>
        <w:rPr>
          <w:rFonts w:ascii="Arial" w:eastAsia="Calibri" w:hAnsi="Arial" w:cs="Arial"/>
          <w:b/>
          <w:bCs/>
          <w:sz w:val="24"/>
          <w:szCs w:val="24"/>
        </w:rPr>
      </w:pPr>
    </w:p>
    <w:p w14:paraId="2DE4828B" w14:textId="05B027BF" w:rsidR="00162865" w:rsidRDefault="00162865" w:rsidP="00D42E2C">
      <w:pPr>
        <w:tabs>
          <w:tab w:val="num" w:pos="720"/>
        </w:tabs>
        <w:spacing w:after="0" w:line="240" w:lineRule="auto"/>
        <w:jc w:val="both"/>
        <w:rPr>
          <w:rFonts w:ascii="Arial" w:eastAsia="Calibri" w:hAnsi="Arial" w:cs="Arial"/>
          <w:bCs/>
          <w:sz w:val="24"/>
          <w:szCs w:val="24"/>
        </w:rPr>
      </w:pPr>
      <w:r w:rsidRPr="00162865">
        <w:rPr>
          <w:rFonts w:ascii="Arial" w:eastAsia="Calibri" w:hAnsi="Arial" w:cs="Arial"/>
          <w:bCs/>
          <w:sz w:val="24"/>
          <w:szCs w:val="24"/>
        </w:rPr>
        <w:t xml:space="preserve">La </w:t>
      </w:r>
      <w:r w:rsidR="001C0C68">
        <w:rPr>
          <w:rFonts w:ascii="Arial" w:eastAsia="Calibri" w:hAnsi="Arial" w:cs="Arial"/>
          <w:bCs/>
          <w:sz w:val="24"/>
          <w:szCs w:val="24"/>
        </w:rPr>
        <w:t>D</w:t>
      </w:r>
      <w:r w:rsidRPr="00162865">
        <w:rPr>
          <w:rFonts w:ascii="Arial" w:eastAsia="Calibri" w:hAnsi="Arial" w:cs="Arial"/>
          <w:bCs/>
          <w:sz w:val="24"/>
          <w:szCs w:val="24"/>
        </w:rPr>
        <w:t>elegación de Argentina realizó una exposición respecto del mecanismo de registración del impuesto diferido en el marco de la aplicación de la NIC 29 para los ejercicios económicos iniciados a partir del 01</w:t>
      </w:r>
      <w:r w:rsidR="001C0C68">
        <w:rPr>
          <w:rFonts w:ascii="Arial" w:eastAsia="Calibri" w:hAnsi="Arial" w:cs="Arial"/>
          <w:bCs/>
          <w:sz w:val="24"/>
          <w:szCs w:val="24"/>
        </w:rPr>
        <w:t>/</w:t>
      </w:r>
      <w:r w:rsidRPr="00162865">
        <w:rPr>
          <w:rFonts w:ascii="Arial" w:eastAsia="Calibri" w:hAnsi="Arial" w:cs="Arial"/>
          <w:bCs/>
          <w:sz w:val="24"/>
          <w:szCs w:val="24"/>
        </w:rPr>
        <w:t>01</w:t>
      </w:r>
      <w:r w:rsidR="001C0C68">
        <w:rPr>
          <w:rFonts w:ascii="Arial" w:eastAsia="Calibri" w:hAnsi="Arial" w:cs="Arial"/>
          <w:bCs/>
          <w:sz w:val="24"/>
          <w:szCs w:val="24"/>
        </w:rPr>
        <w:t>/</w:t>
      </w:r>
      <w:r w:rsidRPr="00162865">
        <w:rPr>
          <w:rFonts w:ascii="Arial" w:eastAsia="Calibri" w:hAnsi="Arial" w:cs="Arial"/>
          <w:bCs/>
          <w:sz w:val="24"/>
          <w:szCs w:val="24"/>
        </w:rPr>
        <w:t xml:space="preserve">2020. Se explicó que los activos y pasivos por impuesto diferido al cierre del mes bajo informe se calculan luego de practicar el ajuste de las partidas no monetarias, es decir que sus saldos surgen de la comparación entre las bases fiscales de activos y pasivos y los importes contables </w:t>
      </w:r>
      <w:proofErr w:type="spellStart"/>
      <w:r w:rsidRPr="00162865">
        <w:rPr>
          <w:rFonts w:ascii="Arial" w:eastAsia="Calibri" w:hAnsi="Arial" w:cs="Arial"/>
          <w:bCs/>
          <w:sz w:val="24"/>
          <w:szCs w:val="24"/>
        </w:rPr>
        <w:t>reexpresados</w:t>
      </w:r>
      <w:proofErr w:type="spellEnd"/>
      <w:r w:rsidRPr="00162865">
        <w:rPr>
          <w:rFonts w:ascii="Arial" w:eastAsia="Calibri" w:hAnsi="Arial" w:cs="Arial"/>
          <w:bCs/>
          <w:sz w:val="24"/>
          <w:szCs w:val="24"/>
        </w:rPr>
        <w:t xml:space="preserve">. El importe del impuesto diferido a imputar en la partida de Impuesto a las Ganancias, surge de comparar los saldos de activos y pasivos por impuesto diferido determinados el mes anterior </w:t>
      </w:r>
      <w:proofErr w:type="spellStart"/>
      <w:r w:rsidRPr="00162865">
        <w:rPr>
          <w:rFonts w:ascii="Arial" w:eastAsia="Calibri" w:hAnsi="Arial" w:cs="Arial"/>
          <w:bCs/>
          <w:sz w:val="24"/>
          <w:szCs w:val="24"/>
        </w:rPr>
        <w:t>reexpresados</w:t>
      </w:r>
      <w:proofErr w:type="spellEnd"/>
      <w:r w:rsidRPr="00162865">
        <w:rPr>
          <w:rFonts w:ascii="Arial" w:eastAsia="Calibri" w:hAnsi="Arial" w:cs="Arial"/>
          <w:bCs/>
          <w:sz w:val="24"/>
          <w:szCs w:val="24"/>
        </w:rPr>
        <w:t xml:space="preserve"> por el coeficiente mensual y los determinados al cierre del mes</w:t>
      </w:r>
      <w:r w:rsidR="00922279">
        <w:rPr>
          <w:rFonts w:ascii="Arial" w:eastAsia="Calibri" w:hAnsi="Arial" w:cs="Arial"/>
          <w:bCs/>
          <w:sz w:val="24"/>
          <w:szCs w:val="24"/>
        </w:rPr>
        <w:t>.</w:t>
      </w:r>
    </w:p>
    <w:p w14:paraId="132BB3E8" w14:textId="32642FF0" w:rsidR="00922279" w:rsidRDefault="00922279" w:rsidP="00D42E2C">
      <w:pPr>
        <w:tabs>
          <w:tab w:val="num" w:pos="720"/>
        </w:tabs>
        <w:spacing w:after="0" w:line="240" w:lineRule="auto"/>
        <w:jc w:val="both"/>
        <w:rPr>
          <w:rFonts w:ascii="Arial" w:eastAsia="Calibri" w:hAnsi="Arial" w:cs="Arial"/>
          <w:bCs/>
          <w:sz w:val="24"/>
          <w:szCs w:val="24"/>
        </w:rPr>
      </w:pPr>
    </w:p>
    <w:p w14:paraId="7DCDF27B" w14:textId="701C0751" w:rsidR="00E6410E" w:rsidRPr="00922279" w:rsidRDefault="00E6410E" w:rsidP="00E6410E">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La </w:t>
      </w:r>
      <w:r w:rsidR="00EE7F84">
        <w:rPr>
          <w:rFonts w:ascii="Arial" w:eastAsia="Calibri" w:hAnsi="Arial" w:cs="Arial"/>
          <w:bCs/>
          <w:sz w:val="24"/>
          <w:szCs w:val="24"/>
        </w:rPr>
        <w:t>D</w:t>
      </w:r>
      <w:r w:rsidRPr="00922279">
        <w:rPr>
          <w:rFonts w:ascii="Arial" w:eastAsia="Calibri" w:hAnsi="Arial" w:cs="Arial"/>
          <w:bCs/>
          <w:sz w:val="24"/>
          <w:szCs w:val="24"/>
        </w:rPr>
        <w:t xml:space="preserve">elegación del Brasil informó que, en el contexto del proceso de consolidación mencionado anteriormente, se emitió la Resolución CMN No. 4.818 de 2020, que establece que, a partir de 2022, todos los estados financieros consolidados </w:t>
      </w:r>
      <w:r w:rsidRPr="00922279">
        <w:rPr>
          <w:rFonts w:ascii="Arial" w:eastAsia="Calibri" w:hAnsi="Arial" w:cs="Arial"/>
          <w:bCs/>
          <w:sz w:val="24"/>
          <w:szCs w:val="24"/>
        </w:rPr>
        <w:lastRenderedPageBreak/>
        <w:t>divulgados o publicados, voluntariamente o en virtud de disposiciones legales, reglamentarias o contractuales deben adoptar la</w:t>
      </w:r>
      <w:r>
        <w:rPr>
          <w:rFonts w:ascii="Arial" w:eastAsia="Calibri" w:hAnsi="Arial" w:cs="Arial"/>
          <w:bCs/>
          <w:sz w:val="24"/>
          <w:szCs w:val="24"/>
        </w:rPr>
        <w:t>s</w:t>
      </w:r>
      <w:r w:rsidRPr="00922279">
        <w:rPr>
          <w:rFonts w:ascii="Arial" w:eastAsia="Calibri" w:hAnsi="Arial" w:cs="Arial"/>
          <w:bCs/>
          <w:sz w:val="24"/>
          <w:szCs w:val="24"/>
        </w:rPr>
        <w:t xml:space="preserve"> norma</w:t>
      </w:r>
      <w:r>
        <w:rPr>
          <w:rFonts w:ascii="Arial" w:eastAsia="Calibri" w:hAnsi="Arial" w:cs="Arial"/>
          <w:bCs/>
          <w:sz w:val="24"/>
          <w:szCs w:val="24"/>
        </w:rPr>
        <w:t>s</w:t>
      </w:r>
      <w:r w:rsidRPr="00922279">
        <w:rPr>
          <w:rFonts w:ascii="Arial" w:eastAsia="Calibri" w:hAnsi="Arial" w:cs="Arial"/>
          <w:bCs/>
          <w:sz w:val="24"/>
          <w:szCs w:val="24"/>
        </w:rPr>
        <w:t xml:space="preserve"> contable</w:t>
      </w:r>
      <w:r>
        <w:rPr>
          <w:rFonts w:ascii="Arial" w:eastAsia="Calibri" w:hAnsi="Arial" w:cs="Arial"/>
          <w:bCs/>
          <w:sz w:val="24"/>
          <w:szCs w:val="24"/>
        </w:rPr>
        <w:t>s</w:t>
      </w:r>
      <w:r w:rsidRPr="00922279">
        <w:rPr>
          <w:rFonts w:ascii="Arial" w:eastAsia="Calibri" w:hAnsi="Arial" w:cs="Arial"/>
          <w:bCs/>
          <w:sz w:val="24"/>
          <w:szCs w:val="24"/>
        </w:rPr>
        <w:t xml:space="preserve"> internacional.</w:t>
      </w:r>
    </w:p>
    <w:p w14:paraId="233E2522" w14:textId="77777777" w:rsidR="00922279" w:rsidRPr="00922279" w:rsidRDefault="00922279" w:rsidP="00922279">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222348E5" w14:textId="7BADBA64" w:rsidR="00922279" w:rsidRPr="00922279" w:rsidRDefault="00922279" w:rsidP="00922279">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El objetivo es racionalizar la divulgación de los estados financieros ya que, actualmente, las instituciones están obligadas a preparar y divulgar hasta tres conjuntos de estados: el consolidado según normativa prudencial, el consolidado </w:t>
      </w:r>
      <w:r w:rsidR="00D51527">
        <w:rPr>
          <w:rFonts w:ascii="Arial" w:eastAsia="Calibri" w:hAnsi="Arial" w:cs="Arial"/>
          <w:bCs/>
          <w:sz w:val="24"/>
          <w:szCs w:val="24"/>
        </w:rPr>
        <w:t>según la normativa legal</w:t>
      </w:r>
      <w:r w:rsidRPr="00922279">
        <w:rPr>
          <w:rFonts w:ascii="Arial" w:eastAsia="Calibri" w:hAnsi="Arial" w:cs="Arial"/>
          <w:bCs/>
          <w:sz w:val="24"/>
          <w:szCs w:val="24"/>
        </w:rPr>
        <w:t xml:space="preserve"> y el consolidado según NIIF.</w:t>
      </w:r>
    </w:p>
    <w:p w14:paraId="3EB02DDE" w14:textId="77777777" w:rsidR="00922279" w:rsidRPr="00922279" w:rsidRDefault="00922279" w:rsidP="00922279">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488FD8A3" w14:textId="2D47D238" w:rsidR="00922279" w:rsidRDefault="00922279" w:rsidP="00922279">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Hasta 2022, </w:t>
      </w:r>
      <w:r w:rsidR="00D51527">
        <w:rPr>
          <w:rFonts w:ascii="Arial" w:eastAsia="Calibri" w:hAnsi="Arial" w:cs="Arial"/>
          <w:bCs/>
          <w:sz w:val="24"/>
          <w:szCs w:val="24"/>
        </w:rPr>
        <w:t xml:space="preserve">sólo </w:t>
      </w:r>
      <w:r w:rsidRPr="00922279">
        <w:rPr>
          <w:rFonts w:ascii="Arial" w:eastAsia="Calibri" w:hAnsi="Arial" w:cs="Arial"/>
          <w:bCs/>
          <w:sz w:val="24"/>
          <w:szCs w:val="24"/>
        </w:rPr>
        <w:t>las instituciones registradas como empresa de base pública o que sean líderes de conglomerados prudenciales en el Segmento 1 (S1), el Segmento 2 (S2) o el Segmento 3 (S3) están obligadas a divulgar estados financieros consolidados según NIIF.</w:t>
      </w:r>
    </w:p>
    <w:p w14:paraId="29BF0460" w14:textId="79D4F584" w:rsidR="002455E6" w:rsidRDefault="002455E6" w:rsidP="00922279">
      <w:pPr>
        <w:tabs>
          <w:tab w:val="num" w:pos="720"/>
        </w:tabs>
        <w:spacing w:after="0" w:line="240" w:lineRule="auto"/>
        <w:jc w:val="both"/>
        <w:rPr>
          <w:rFonts w:ascii="Arial" w:eastAsia="Calibri" w:hAnsi="Arial" w:cs="Arial"/>
          <w:bCs/>
          <w:sz w:val="24"/>
          <w:szCs w:val="24"/>
        </w:rPr>
      </w:pPr>
    </w:p>
    <w:p w14:paraId="79DBD19E" w14:textId="1EE18572" w:rsidR="002455E6" w:rsidRDefault="002455E6" w:rsidP="00922279">
      <w:pPr>
        <w:tabs>
          <w:tab w:val="num" w:pos="720"/>
        </w:tabs>
        <w:spacing w:after="0" w:line="240" w:lineRule="auto"/>
        <w:jc w:val="both"/>
        <w:rPr>
          <w:rFonts w:ascii="Arial" w:eastAsia="Calibri" w:hAnsi="Arial" w:cs="Arial"/>
          <w:bCs/>
          <w:sz w:val="24"/>
          <w:szCs w:val="24"/>
        </w:rPr>
      </w:pPr>
      <w:r w:rsidRPr="00F41AB9">
        <w:rPr>
          <w:rFonts w:ascii="Arial" w:eastAsia="Times New Roman" w:hAnsi="Arial" w:cs="Times New Roman"/>
          <w:sz w:val="24"/>
          <w:szCs w:val="20"/>
          <w:lang w:eastAsia="ar-SA"/>
        </w:rPr>
        <w:t xml:space="preserve">La Delegación </w:t>
      </w:r>
      <w:r>
        <w:rPr>
          <w:rFonts w:ascii="Arial" w:eastAsia="Times New Roman" w:hAnsi="Arial" w:cs="Times New Roman"/>
          <w:sz w:val="24"/>
          <w:szCs w:val="20"/>
          <w:lang w:eastAsia="ar-SA"/>
        </w:rPr>
        <w:t>de Paraguay inform</w:t>
      </w:r>
      <w:r w:rsidR="00EE7F84">
        <w:rPr>
          <w:rFonts w:ascii="Arial" w:eastAsia="Times New Roman" w:hAnsi="Arial" w:cs="Times New Roman"/>
          <w:sz w:val="24"/>
          <w:szCs w:val="20"/>
          <w:lang w:eastAsia="ar-SA"/>
        </w:rPr>
        <w:t>ó</w:t>
      </w:r>
      <w:r>
        <w:rPr>
          <w:rFonts w:ascii="Arial" w:eastAsia="Times New Roman" w:hAnsi="Arial" w:cs="Times New Roman"/>
          <w:sz w:val="24"/>
          <w:szCs w:val="20"/>
          <w:lang w:eastAsia="ar-SA"/>
        </w:rPr>
        <w:t xml:space="preserve"> que no existen aún requerimientos para la presentación de estados financieros basados en NIIF.</w:t>
      </w:r>
    </w:p>
    <w:p w14:paraId="711A407D" w14:textId="77777777" w:rsidR="00162865" w:rsidRDefault="00162865" w:rsidP="00D42E2C">
      <w:pPr>
        <w:tabs>
          <w:tab w:val="num" w:pos="720"/>
        </w:tabs>
        <w:spacing w:after="0" w:line="240" w:lineRule="auto"/>
        <w:jc w:val="both"/>
        <w:rPr>
          <w:rFonts w:ascii="Arial" w:eastAsia="Calibri" w:hAnsi="Arial" w:cs="Arial"/>
          <w:bCs/>
          <w:sz w:val="24"/>
          <w:szCs w:val="24"/>
        </w:rPr>
      </w:pPr>
    </w:p>
    <w:p w14:paraId="1F4EB60D" w14:textId="545EBBC7" w:rsidR="007E768F" w:rsidRDefault="000F3757" w:rsidP="00D42E2C">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 xml:space="preserve">La </w:t>
      </w:r>
      <w:r w:rsidR="00EE7F84">
        <w:rPr>
          <w:rFonts w:ascii="Arial" w:eastAsia="Calibri" w:hAnsi="Arial" w:cs="Arial"/>
          <w:bCs/>
          <w:sz w:val="24"/>
          <w:szCs w:val="24"/>
        </w:rPr>
        <w:t>D</w:t>
      </w:r>
      <w:r>
        <w:rPr>
          <w:rFonts w:ascii="Arial" w:eastAsia="Calibri" w:hAnsi="Arial" w:cs="Arial"/>
          <w:bCs/>
          <w:sz w:val="24"/>
          <w:szCs w:val="24"/>
        </w:rPr>
        <w:t>elegación de Uruguay informó no tener novedades respecto a este tema.</w:t>
      </w:r>
    </w:p>
    <w:p w14:paraId="5156A94B" w14:textId="77777777" w:rsidR="00EE7F84" w:rsidRPr="000F3757" w:rsidRDefault="00EE7F84" w:rsidP="00D42E2C">
      <w:pPr>
        <w:tabs>
          <w:tab w:val="num" w:pos="720"/>
        </w:tabs>
        <w:spacing w:after="0" w:line="240" w:lineRule="auto"/>
        <w:jc w:val="both"/>
        <w:rPr>
          <w:rFonts w:ascii="Arial" w:eastAsia="Calibri" w:hAnsi="Arial" w:cs="Arial"/>
          <w:bCs/>
          <w:sz w:val="24"/>
          <w:szCs w:val="24"/>
        </w:rPr>
      </w:pPr>
    </w:p>
    <w:p w14:paraId="29AAC938" w14:textId="2C13D61B" w:rsidR="007E768F" w:rsidRPr="007E768F" w:rsidRDefault="00890193" w:rsidP="007E768F">
      <w:pPr>
        <w:tabs>
          <w:tab w:val="num" w:pos="720"/>
        </w:tabs>
        <w:spacing w:after="0" w:line="240" w:lineRule="auto"/>
        <w:rPr>
          <w:rFonts w:ascii="Arial" w:eastAsia="Calibri" w:hAnsi="Arial" w:cs="Arial"/>
          <w:b/>
          <w:bCs/>
          <w:sz w:val="24"/>
          <w:szCs w:val="24"/>
        </w:rPr>
      </w:pPr>
      <w:r w:rsidRPr="006139F5">
        <w:rPr>
          <w:rFonts w:ascii="Arial" w:eastAsia="Calibri" w:hAnsi="Arial" w:cs="Arial"/>
          <w:b/>
          <w:bCs/>
          <w:sz w:val="24"/>
          <w:szCs w:val="24"/>
        </w:rPr>
        <w:t xml:space="preserve"> </w:t>
      </w:r>
    </w:p>
    <w:p w14:paraId="17F6418A" w14:textId="45A20BE6" w:rsidR="007E768F" w:rsidRPr="007E768F" w:rsidRDefault="00696124" w:rsidP="007E768F">
      <w:pPr>
        <w:tabs>
          <w:tab w:val="num" w:pos="720"/>
        </w:tabs>
        <w:spacing w:after="0" w:line="240" w:lineRule="auto"/>
        <w:rPr>
          <w:rFonts w:ascii="Arial" w:eastAsia="Calibri" w:hAnsi="Arial" w:cs="Arial"/>
          <w:b/>
          <w:bCs/>
          <w:caps/>
          <w:sz w:val="24"/>
          <w:szCs w:val="24"/>
        </w:rPr>
      </w:pPr>
      <w:r>
        <w:rPr>
          <w:rFonts w:ascii="Arial" w:eastAsia="Calibri" w:hAnsi="Arial" w:cs="Arial"/>
          <w:b/>
          <w:bCs/>
          <w:sz w:val="24"/>
          <w:szCs w:val="24"/>
        </w:rPr>
        <w:t>3</w:t>
      </w:r>
      <w:r w:rsidR="00890193" w:rsidRPr="006139F5">
        <w:rPr>
          <w:rFonts w:ascii="Arial" w:eastAsia="Calibri" w:hAnsi="Arial" w:cs="Arial"/>
          <w:b/>
          <w:bCs/>
          <w:sz w:val="24"/>
          <w:szCs w:val="24"/>
        </w:rPr>
        <w:t xml:space="preserve">. TRANSPARENCIA Y CONSUMIDOR BANCARIO </w:t>
      </w:r>
    </w:p>
    <w:p w14:paraId="5D3CF697" w14:textId="77777777" w:rsidR="007E768F" w:rsidRPr="007E768F" w:rsidRDefault="007E768F" w:rsidP="007E768F">
      <w:pPr>
        <w:tabs>
          <w:tab w:val="num" w:pos="720"/>
        </w:tabs>
        <w:spacing w:after="0" w:line="240" w:lineRule="auto"/>
        <w:rPr>
          <w:rFonts w:ascii="Arial" w:eastAsia="Calibri" w:hAnsi="Arial" w:cs="Arial"/>
          <w:b/>
          <w:bCs/>
          <w:sz w:val="24"/>
          <w:szCs w:val="24"/>
        </w:rPr>
      </w:pPr>
    </w:p>
    <w:p w14:paraId="3018209F" w14:textId="0779AB83" w:rsidR="00D42E2C" w:rsidRPr="00D42E2C" w:rsidRDefault="00D42E2C" w:rsidP="00D42E2C">
      <w:pPr>
        <w:tabs>
          <w:tab w:val="num" w:pos="720"/>
        </w:tabs>
        <w:spacing w:after="0" w:line="240" w:lineRule="auto"/>
        <w:jc w:val="both"/>
        <w:rPr>
          <w:rFonts w:ascii="Arial" w:eastAsia="Calibri" w:hAnsi="Arial" w:cs="Arial"/>
          <w:bCs/>
          <w:sz w:val="24"/>
          <w:szCs w:val="24"/>
        </w:rPr>
      </w:pPr>
      <w:r w:rsidRPr="00D42E2C">
        <w:rPr>
          <w:rFonts w:ascii="Arial" w:eastAsia="Calibri" w:hAnsi="Arial" w:cs="Arial"/>
          <w:bCs/>
          <w:sz w:val="24"/>
          <w:szCs w:val="24"/>
        </w:rPr>
        <w:t xml:space="preserve">La </w:t>
      </w:r>
      <w:r w:rsidR="00EE7F84">
        <w:rPr>
          <w:rFonts w:ascii="Arial" w:eastAsia="Calibri" w:hAnsi="Arial" w:cs="Arial"/>
          <w:bCs/>
          <w:sz w:val="24"/>
          <w:szCs w:val="24"/>
        </w:rPr>
        <w:t>D</w:t>
      </w:r>
      <w:r w:rsidRPr="00D42E2C">
        <w:rPr>
          <w:rFonts w:ascii="Arial" w:eastAsia="Calibri" w:hAnsi="Arial" w:cs="Arial"/>
          <w:bCs/>
          <w:sz w:val="24"/>
          <w:szCs w:val="24"/>
        </w:rPr>
        <w:t>elegación de Argentina manif</w:t>
      </w:r>
      <w:r w:rsidR="00EE7F84">
        <w:rPr>
          <w:rFonts w:ascii="Arial" w:eastAsia="Calibri" w:hAnsi="Arial" w:cs="Arial"/>
          <w:bCs/>
          <w:sz w:val="24"/>
          <w:szCs w:val="24"/>
        </w:rPr>
        <w:t>estó</w:t>
      </w:r>
      <w:r w:rsidRPr="00D42E2C">
        <w:rPr>
          <w:rFonts w:ascii="Arial" w:eastAsia="Calibri" w:hAnsi="Arial" w:cs="Arial"/>
          <w:bCs/>
          <w:sz w:val="24"/>
          <w:szCs w:val="24"/>
        </w:rPr>
        <w:t xml:space="preserve"> que la Comunicación “A” 6859 estableció la obligación a los Proveedores de Servicios de Pago que ofrecen cuentas de pago (PSP) de inscribirse en el “Registro de Proveedores de Servicios de Pago que ofrecen cuentas de pago” de la Superintendencia de Entidades Financieras y Cambiarias (</w:t>
      </w:r>
      <w:proofErr w:type="spellStart"/>
      <w:r w:rsidRPr="00D42E2C">
        <w:rPr>
          <w:rFonts w:ascii="Arial" w:eastAsia="Calibri" w:hAnsi="Arial" w:cs="Arial"/>
          <w:bCs/>
          <w:sz w:val="24"/>
          <w:szCs w:val="24"/>
        </w:rPr>
        <w:t>SEFyC</w:t>
      </w:r>
      <w:proofErr w:type="spellEnd"/>
      <w:r w:rsidRPr="00D42E2C">
        <w:rPr>
          <w:rFonts w:ascii="Arial" w:eastAsia="Calibri" w:hAnsi="Arial" w:cs="Arial"/>
          <w:bCs/>
          <w:sz w:val="24"/>
          <w:szCs w:val="24"/>
        </w:rPr>
        <w:t>), dentro de los 30 días corridos posteriores al 01.03.2020.</w:t>
      </w:r>
    </w:p>
    <w:p w14:paraId="28A837A6" w14:textId="77777777" w:rsidR="00D42E2C" w:rsidRPr="00D42E2C" w:rsidRDefault="00D42E2C" w:rsidP="00D42E2C">
      <w:pPr>
        <w:tabs>
          <w:tab w:val="num" w:pos="720"/>
        </w:tabs>
        <w:spacing w:after="0" w:line="240" w:lineRule="auto"/>
        <w:jc w:val="both"/>
        <w:rPr>
          <w:rFonts w:ascii="Arial" w:eastAsia="Calibri" w:hAnsi="Arial" w:cs="Arial"/>
          <w:bCs/>
          <w:sz w:val="24"/>
          <w:szCs w:val="24"/>
        </w:rPr>
      </w:pPr>
    </w:p>
    <w:p w14:paraId="586BA482" w14:textId="77777777" w:rsidR="00D42E2C" w:rsidRPr="00D42E2C" w:rsidRDefault="00D42E2C" w:rsidP="00D42E2C">
      <w:pPr>
        <w:tabs>
          <w:tab w:val="num" w:pos="720"/>
        </w:tabs>
        <w:spacing w:after="0" w:line="240" w:lineRule="auto"/>
        <w:jc w:val="both"/>
        <w:rPr>
          <w:rFonts w:ascii="Arial" w:eastAsia="Calibri" w:hAnsi="Arial" w:cs="Arial"/>
          <w:bCs/>
          <w:sz w:val="24"/>
          <w:szCs w:val="24"/>
        </w:rPr>
      </w:pPr>
      <w:r w:rsidRPr="00D42E2C">
        <w:rPr>
          <w:rFonts w:ascii="Arial" w:eastAsia="Calibri" w:hAnsi="Arial" w:cs="Arial"/>
          <w:bCs/>
          <w:sz w:val="24"/>
          <w:szCs w:val="24"/>
        </w:rPr>
        <w:t>Posteriormente, a través de la Comunicación “A” 6885 se requirió a estos PSP que debían identificar e individualizar en todo momento los fondos de cada cliente y, adicionalmente, que saldos se encuentran acreditados en cuentas de pago y que podrán ser transferidos para su aplicación a la realización de operaciones con “fondos comunes de dinero” en el país, y en ese caso se requerirá que los saldos invertidos sean informados de manera separada del resto.</w:t>
      </w:r>
    </w:p>
    <w:p w14:paraId="3492FAD3" w14:textId="77777777" w:rsidR="00D42E2C" w:rsidRPr="00D42E2C" w:rsidRDefault="00D42E2C" w:rsidP="00D42E2C">
      <w:pPr>
        <w:tabs>
          <w:tab w:val="num" w:pos="720"/>
        </w:tabs>
        <w:spacing w:after="0" w:line="240" w:lineRule="auto"/>
        <w:jc w:val="both"/>
        <w:rPr>
          <w:rFonts w:ascii="Arial" w:eastAsia="Calibri" w:hAnsi="Arial" w:cs="Arial"/>
          <w:bCs/>
          <w:sz w:val="24"/>
          <w:szCs w:val="24"/>
        </w:rPr>
      </w:pPr>
    </w:p>
    <w:p w14:paraId="1BD41233" w14:textId="77777777" w:rsidR="00A337EA" w:rsidRPr="00D42E2C" w:rsidRDefault="00A337EA" w:rsidP="00A337EA">
      <w:pPr>
        <w:tabs>
          <w:tab w:val="num" w:pos="720"/>
        </w:tabs>
        <w:spacing w:after="0" w:line="240" w:lineRule="auto"/>
        <w:jc w:val="both"/>
        <w:rPr>
          <w:rFonts w:ascii="Arial" w:eastAsia="Calibri" w:hAnsi="Arial" w:cs="Arial"/>
          <w:bCs/>
          <w:sz w:val="24"/>
          <w:szCs w:val="24"/>
        </w:rPr>
      </w:pPr>
      <w:r w:rsidRPr="00D42E2C">
        <w:rPr>
          <w:rFonts w:ascii="Arial" w:eastAsia="Calibri" w:hAnsi="Arial" w:cs="Arial"/>
          <w:bCs/>
          <w:sz w:val="24"/>
          <w:szCs w:val="24"/>
        </w:rPr>
        <w:t xml:space="preserve">Con el fin de que los PSP cumplan con lo requerido por la Comunicación mencionada precedentemente, se elaboró un régimen informativo dado a conocer mediante la comunicación “A” 6929. El mismo consta de tres apartados de información: A y B que son mensuales, uno para el área encargada de la supervisión con el fin de monitorear el recorrido del dinero depositado en estas cuentas de pago por los clientes, y el otro para el área de medios de pago para realizar el seguimiento de las transferencias y en particular la evolución de estas entidades. El tercer apartado </w:t>
      </w:r>
      <w:r>
        <w:rPr>
          <w:rFonts w:ascii="Arial" w:eastAsia="Calibri" w:hAnsi="Arial" w:cs="Arial"/>
          <w:bCs/>
          <w:sz w:val="24"/>
          <w:szCs w:val="24"/>
        </w:rPr>
        <w:t xml:space="preserve">C </w:t>
      </w:r>
      <w:r w:rsidRPr="00D42E2C">
        <w:rPr>
          <w:rFonts w:ascii="Arial" w:eastAsia="Calibri" w:hAnsi="Arial" w:cs="Arial"/>
          <w:bCs/>
          <w:sz w:val="24"/>
          <w:szCs w:val="24"/>
        </w:rPr>
        <w:t>es trimestral y consta de un informe de auditor para certificar que se cumplió con la normativa vigente.</w:t>
      </w:r>
    </w:p>
    <w:p w14:paraId="631E204F" w14:textId="77777777" w:rsidR="00D42E2C" w:rsidRPr="00D42E2C" w:rsidRDefault="00D42E2C" w:rsidP="00D42E2C">
      <w:pPr>
        <w:tabs>
          <w:tab w:val="num" w:pos="720"/>
        </w:tabs>
        <w:spacing w:after="0" w:line="240" w:lineRule="auto"/>
        <w:jc w:val="both"/>
        <w:rPr>
          <w:rFonts w:ascii="Arial" w:eastAsia="Calibri" w:hAnsi="Arial" w:cs="Arial"/>
          <w:bCs/>
          <w:sz w:val="24"/>
          <w:szCs w:val="24"/>
        </w:rPr>
      </w:pPr>
    </w:p>
    <w:p w14:paraId="2896062A" w14:textId="4A49C1B3" w:rsidR="00D42E2C" w:rsidRDefault="00D42E2C" w:rsidP="00D42E2C">
      <w:pPr>
        <w:tabs>
          <w:tab w:val="num" w:pos="720"/>
        </w:tabs>
        <w:spacing w:after="0" w:line="240" w:lineRule="auto"/>
        <w:jc w:val="both"/>
        <w:rPr>
          <w:rFonts w:ascii="Arial" w:eastAsia="Calibri" w:hAnsi="Arial" w:cs="Arial"/>
          <w:bCs/>
          <w:sz w:val="24"/>
          <w:szCs w:val="24"/>
        </w:rPr>
      </w:pPr>
      <w:r w:rsidRPr="00D42E2C">
        <w:rPr>
          <w:rFonts w:ascii="Arial" w:eastAsia="Calibri" w:hAnsi="Arial" w:cs="Arial"/>
          <w:bCs/>
          <w:sz w:val="24"/>
          <w:szCs w:val="24"/>
        </w:rPr>
        <w:t>Por último, a la fecha se encuentran registradas 30 PSP las cuales ya han empezado a remitir la información requerida. Asimismo, por la cantidad de consultas recibidas, atento que estas nuevas entidades no conocen la dinámica de presentación al BCRA, se empezó a elaborar una guía de consultas frecuentes para luego evaluar su difusión para los entes que en el futuro se inscriben en el registro pertinente.</w:t>
      </w:r>
    </w:p>
    <w:p w14:paraId="0A98DD6D" w14:textId="2AB4E435" w:rsidR="00922279" w:rsidRDefault="00922279" w:rsidP="00D42E2C">
      <w:pPr>
        <w:tabs>
          <w:tab w:val="num" w:pos="720"/>
        </w:tabs>
        <w:spacing w:after="0" w:line="240" w:lineRule="auto"/>
        <w:jc w:val="both"/>
        <w:rPr>
          <w:rFonts w:ascii="Arial" w:eastAsia="Calibri" w:hAnsi="Arial" w:cs="Arial"/>
          <w:bCs/>
          <w:sz w:val="24"/>
          <w:szCs w:val="24"/>
        </w:rPr>
      </w:pPr>
    </w:p>
    <w:p w14:paraId="02954D77" w14:textId="0AA2714C" w:rsidR="00922279" w:rsidRPr="00922279" w:rsidRDefault="00922279" w:rsidP="00922279">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lastRenderedPageBreak/>
        <w:t xml:space="preserve">La </w:t>
      </w:r>
      <w:r w:rsidR="00EE7F84">
        <w:rPr>
          <w:rFonts w:ascii="Arial" w:eastAsia="Calibri" w:hAnsi="Arial" w:cs="Arial"/>
          <w:bCs/>
          <w:sz w:val="24"/>
          <w:szCs w:val="24"/>
        </w:rPr>
        <w:t>D</w:t>
      </w:r>
      <w:r w:rsidRPr="00922279">
        <w:rPr>
          <w:rFonts w:ascii="Arial" w:eastAsia="Calibri" w:hAnsi="Arial" w:cs="Arial"/>
          <w:bCs/>
          <w:sz w:val="24"/>
          <w:szCs w:val="24"/>
        </w:rPr>
        <w:t>elegación del Brasil informó que la fecha límite para que las instituciones financieras enviaran a la Central de Estados Financieros los estados financieros relacionados con las fechas base entre enero de 2014 y diciembre de 2018 expiró el 30 de junio de 2020.</w:t>
      </w:r>
    </w:p>
    <w:p w14:paraId="34C97E8F" w14:textId="77777777" w:rsidR="00922279" w:rsidRPr="00922279" w:rsidRDefault="00922279" w:rsidP="00922279">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310913DC" w14:textId="77777777" w:rsidR="00922279" w:rsidRPr="00922279" w:rsidRDefault="00922279" w:rsidP="00922279">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Así, la Central de Estados Financieros del Sistema Financiero Nacional, creados por la Circular No 3.964, 2019, ya cuentan con los estados financieros anuales a partir de 2014, semestrales e intermedios de publicación o divulgación obligatoria de todas las instituciones financieras autorizadas para operar por el Banco Central del Brasil, garantizando así una mayor transparencia y accesibilidad a los estados financieros.</w:t>
      </w:r>
    </w:p>
    <w:p w14:paraId="444BBC95" w14:textId="77777777" w:rsidR="00922279" w:rsidRPr="00922279" w:rsidRDefault="00922279" w:rsidP="00922279">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2D62A1C2" w14:textId="77777777" w:rsidR="00E6410E" w:rsidRPr="00922279" w:rsidRDefault="00E6410E" w:rsidP="00E6410E">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También sobre el tema de la transparencia y el consumidor bancario, la delegación del Brasil informó sobre la fase actual </w:t>
      </w:r>
      <w:r>
        <w:rPr>
          <w:rFonts w:ascii="Arial" w:eastAsia="Calibri" w:hAnsi="Arial" w:cs="Arial"/>
          <w:bCs/>
          <w:sz w:val="24"/>
          <w:szCs w:val="24"/>
        </w:rPr>
        <w:t xml:space="preserve">del Open </w:t>
      </w:r>
      <w:proofErr w:type="spellStart"/>
      <w:r>
        <w:rPr>
          <w:rFonts w:ascii="Arial" w:eastAsia="Calibri" w:hAnsi="Arial" w:cs="Arial"/>
          <w:bCs/>
          <w:sz w:val="24"/>
          <w:szCs w:val="24"/>
        </w:rPr>
        <w:t>Banking</w:t>
      </w:r>
      <w:proofErr w:type="spellEnd"/>
      <w:r w:rsidRPr="00922279">
        <w:rPr>
          <w:rFonts w:ascii="Arial" w:eastAsia="Calibri" w:hAnsi="Arial" w:cs="Arial"/>
          <w:bCs/>
          <w:sz w:val="24"/>
          <w:szCs w:val="24"/>
        </w:rPr>
        <w:t xml:space="preserve"> y sobre la creación del Sistema de Pago Instantáneo (PIX), que será objeto de una presentación específica por parte del Banco Central de Brasil.</w:t>
      </w:r>
    </w:p>
    <w:p w14:paraId="7D34AD66" w14:textId="77777777" w:rsidR="00922279" w:rsidRPr="00922279" w:rsidRDefault="00922279" w:rsidP="00922279">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 </w:t>
      </w:r>
    </w:p>
    <w:p w14:paraId="78A38683" w14:textId="078FD584" w:rsidR="00922279" w:rsidRDefault="00922279" w:rsidP="00922279">
      <w:pPr>
        <w:tabs>
          <w:tab w:val="num" w:pos="720"/>
        </w:tabs>
        <w:spacing w:after="0" w:line="240" w:lineRule="auto"/>
        <w:jc w:val="both"/>
        <w:rPr>
          <w:rFonts w:ascii="Arial" w:eastAsia="Calibri" w:hAnsi="Arial" w:cs="Arial"/>
          <w:bCs/>
          <w:sz w:val="24"/>
          <w:szCs w:val="24"/>
        </w:rPr>
      </w:pPr>
      <w:r w:rsidRPr="00922279">
        <w:rPr>
          <w:rFonts w:ascii="Arial" w:eastAsia="Calibri" w:hAnsi="Arial" w:cs="Arial"/>
          <w:bCs/>
          <w:sz w:val="24"/>
          <w:szCs w:val="24"/>
        </w:rPr>
        <w:t xml:space="preserve">Por último, se presentó la discusión sobre el tratamiento que se dará </w:t>
      </w:r>
      <w:r w:rsidR="00D51527">
        <w:rPr>
          <w:rFonts w:ascii="Arial" w:eastAsia="Calibri" w:hAnsi="Arial" w:cs="Arial"/>
          <w:bCs/>
          <w:sz w:val="24"/>
          <w:szCs w:val="24"/>
        </w:rPr>
        <w:t>a</w:t>
      </w:r>
      <w:r w:rsidRPr="00922279">
        <w:rPr>
          <w:rFonts w:ascii="Arial" w:eastAsia="Calibri" w:hAnsi="Arial" w:cs="Arial"/>
          <w:bCs/>
          <w:sz w:val="24"/>
          <w:szCs w:val="24"/>
        </w:rPr>
        <w:t xml:space="preserve"> las entidades </w:t>
      </w:r>
      <w:r w:rsidR="00D51527">
        <w:rPr>
          <w:rFonts w:ascii="Arial" w:eastAsia="Calibri" w:hAnsi="Arial" w:cs="Arial"/>
          <w:bCs/>
          <w:sz w:val="24"/>
          <w:szCs w:val="24"/>
        </w:rPr>
        <w:t xml:space="preserve">vinculadas a la innovación financiera </w:t>
      </w:r>
      <w:r w:rsidRPr="00922279">
        <w:rPr>
          <w:rFonts w:ascii="Arial" w:eastAsia="Calibri" w:hAnsi="Arial" w:cs="Arial"/>
          <w:bCs/>
          <w:sz w:val="24"/>
          <w:szCs w:val="24"/>
        </w:rPr>
        <w:t xml:space="preserve">que participan en el </w:t>
      </w:r>
      <w:proofErr w:type="spellStart"/>
      <w:r w:rsidRPr="00922279">
        <w:rPr>
          <w:rFonts w:ascii="Arial" w:eastAsia="Calibri" w:hAnsi="Arial" w:cs="Arial"/>
          <w:bCs/>
          <w:sz w:val="24"/>
          <w:szCs w:val="24"/>
        </w:rPr>
        <w:t>sandbox</w:t>
      </w:r>
      <w:proofErr w:type="spellEnd"/>
      <w:r w:rsidRPr="00922279">
        <w:rPr>
          <w:rFonts w:ascii="Arial" w:eastAsia="Calibri" w:hAnsi="Arial" w:cs="Arial"/>
          <w:bCs/>
          <w:sz w:val="24"/>
          <w:szCs w:val="24"/>
        </w:rPr>
        <w:t xml:space="preserve"> regulatorio. Teniendo en cuenta que las entidades participantes que no están vinculadas a una institución autorizada para operar por el Banco Central del Brasil no siguen el Plan de Cuentas del Sistema Financiero Brasileño, se discutió sobre la exclusión de las entidades participantes vinculadas a alguna institución financiera del alcance del conglomerado prudencial</w:t>
      </w:r>
      <w:r w:rsidR="00D51527">
        <w:rPr>
          <w:rFonts w:ascii="Arial" w:eastAsia="Calibri" w:hAnsi="Arial" w:cs="Arial"/>
          <w:bCs/>
          <w:sz w:val="24"/>
          <w:szCs w:val="24"/>
        </w:rPr>
        <w:t xml:space="preserve"> a efectos de homogeneizar el tratamiento regulatorio</w:t>
      </w:r>
      <w:r w:rsidRPr="00922279">
        <w:rPr>
          <w:rFonts w:ascii="Arial" w:eastAsia="Calibri" w:hAnsi="Arial" w:cs="Arial"/>
          <w:bCs/>
          <w:sz w:val="24"/>
          <w:szCs w:val="24"/>
        </w:rPr>
        <w:t>.</w:t>
      </w:r>
    </w:p>
    <w:p w14:paraId="1E774889" w14:textId="77777777" w:rsidR="00D42E2C" w:rsidRDefault="00D42E2C" w:rsidP="00D42E2C">
      <w:pPr>
        <w:tabs>
          <w:tab w:val="num" w:pos="720"/>
        </w:tabs>
        <w:spacing w:after="0" w:line="240" w:lineRule="auto"/>
        <w:jc w:val="both"/>
        <w:rPr>
          <w:rFonts w:ascii="Arial" w:eastAsia="Calibri" w:hAnsi="Arial" w:cs="Arial"/>
          <w:bCs/>
          <w:sz w:val="24"/>
          <w:szCs w:val="24"/>
        </w:rPr>
      </w:pPr>
    </w:p>
    <w:p w14:paraId="1E92342E" w14:textId="1D90E1E4" w:rsidR="000F3757" w:rsidRPr="000F3757" w:rsidRDefault="002455E6" w:rsidP="00D42E2C">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 xml:space="preserve">Las </w:t>
      </w:r>
      <w:r w:rsidR="00EE7F84">
        <w:rPr>
          <w:rFonts w:ascii="Arial" w:eastAsia="Calibri" w:hAnsi="Arial" w:cs="Arial"/>
          <w:bCs/>
          <w:sz w:val="24"/>
          <w:szCs w:val="24"/>
        </w:rPr>
        <w:t>D</w:t>
      </w:r>
      <w:r>
        <w:rPr>
          <w:rFonts w:ascii="Arial" w:eastAsia="Calibri" w:hAnsi="Arial" w:cs="Arial"/>
          <w:bCs/>
          <w:sz w:val="24"/>
          <w:szCs w:val="24"/>
        </w:rPr>
        <w:t>elegacio</w:t>
      </w:r>
      <w:r w:rsidR="000F3757">
        <w:rPr>
          <w:rFonts w:ascii="Arial" w:eastAsia="Calibri" w:hAnsi="Arial" w:cs="Arial"/>
          <w:bCs/>
          <w:sz w:val="24"/>
          <w:szCs w:val="24"/>
        </w:rPr>
        <w:t>n</w:t>
      </w:r>
      <w:r>
        <w:rPr>
          <w:rFonts w:ascii="Arial" w:eastAsia="Calibri" w:hAnsi="Arial" w:cs="Arial"/>
          <w:bCs/>
          <w:sz w:val="24"/>
          <w:szCs w:val="24"/>
        </w:rPr>
        <w:t>es</w:t>
      </w:r>
      <w:r w:rsidR="000F3757">
        <w:rPr>
          <w:rFonts w:ascii="Arial" w:eastAsia="Calibri" w:hAnsi="Arial" w:cs="Arial"/>
          <w:bCs/>
          <w:sz w:val="24"/>
          <w:szCs w:val="24"/>
        </w:rPr>
        <w:t xml:space="preserve"> de </w:t>
      </w:r>
      <w:r>
        <w:rPr>
          <w:rFonts w:ascii="Arial" w:eastAsia="Calibri" w:hAnsi="Arial" w:cs="Arial"/>
          <w:bCs/>
          <w:sz w:val="24"/>
          <w:szCs w:val="24"/>
        </w:rPr>
        <w:t xml:space="preserve">Paraguay y </w:t>
      </w:r>
      <w:r w:rsidR="00D51527">
        <w:rPr>
          <w:rFonts w:ascii="Arial" w:eastAsia="Calibri" w:hAnsi="Arial" w:cs="Arial"/>
          <w:bCs/>
          <w:sz w:val="24"/>
          <w:szCs w:val="24"/>
        </w:rPr>
        <w:t>Uruguay informaron</w:t>
      </w:r>
      <w:r w:rsidR="000F3757">
        <w:rPr>
          <w:rFonts w:ascii="Arial" w:eastAsia="Calibri" w:hAnsi="Arial" w:cs="Arial"/>
          <w:bCs/>
          <w:sz w:val="24"/>
          <w:szCs w:val="24"/>
        </w:rPr>
        <w:t xml:space="preserve"> no tener novedades respecto a este tema.</w:t>
      </w:r>
    </w:p>
    <w:p w14:paraId="7DA75F0E" w14:textId="77777777" w:rsidR="007E768F" w:rsidRPr="007E768F" w:rsidRDefault="007E768F" w:rsidP="007E768F">
      <w:pPr>
        <w:tabs>
          <w:tab w:val="num" w:pos="720"/>
        </w:tabs>
        <w:spacing w:after="0" w:line="240" w:lineRule="auto"/>
        <w:rPr>
          <w:rFonts w:ascii="Arial" w:eastAsia="Calibri" w:hAnsi="Arial" w:cs="Arial"/>
          <w:b/>
          <w:bCs/>
          <w:sz w:val="24"/>
          <w:szCs w:val="24"/>
        </w:rPr>
      </w:pPr>
    </w:p>
    <w:p w14:paraId="18F68EF4" w14:textId="0372B277" w:rsidR="007E768F" w:rsidRPr="007E768F" w:rsidRDefault="00696124" w:rsidP="007E768F">
      <w:pPr>
        <w:tabs>
          <w:tab w:val="num" w:pos="720"/>
        </w:tabs>
        <w:spacing w:after="0" w:line="240" w:lineRule="auto"/>
        <w:rPr>
          <w:rFonts w:ascii="Arial" w:eastAsia="Calibri" w:hAnsi="Arial" w:cs="Arial"/>
          <w:b/>
          <w:bCs/>
          <w:caps/>
          <w:sz w:val="24"/>
          <w:szCs w:val="24"/>
        </w:rPr>
      </w:pPr>
      <w:r>
        <w:rPr>
          <w:rFonts w:ascii="Arial" w:eastAsia="Calibri" w:hAnsi="Arial" w:cs="Arial"/>
          <w:b/>
          <w:bCs/>
          <w:sz w:val="24"/>
          <w:szCs w:val="24"/>
        </w:rPr>
        <w:t>4</w:t>
      </w:r>
      <w:r w:rsidR="00890193" w:rsidRPr="006139F5">
        <w:rPr>
          <w:rFonts w:ascii="Arial" w:eastAsia="Calibri" w:hAnsi="Arial" w:cs="Arial"/>
          <w:b/>
          <w:bCs/>
          <w:sz w:val="24"/>
          <w:szCs w:val="24"/>
        </w:rPr>
        <w:t xml:space="preserve">. PILAR III (BASILEA) – DISCIPLINA DE MERCADO </w:t>
      </w:r>
    </w:p>
    <w:p w14:paraId="45D6EBA6" w14:textId="77777777" w:rsidR="007E768F" w:rsidRPr="007E768F" w:rsidRDefault="007E768F" w:rsidP="007E768F">
      <w:pPr>
        <w:tabs>
          <w:tab w:val="num" w:pos="720"/>
        </w:tabs>
        <w:spacing w:after="0" w:line="240" w:lineRule="auto"/>
        <w:rPr>
          <w:rFonts w:ascii="Arial" w:eastAsia="Calibri" w:hAnsi="Arial" w:cs="Arial"/>
          <w:b/>
          <w:bCs/>
          <w:sz w:val="24"/>
          <w:szCs w:val="24"/>
        </w:rPr>
      </w:pPr>
    </w:p>
    <w:p w14:paraId="3EECA194" w14:textId="7B4458C4" w:rsidR="00D42E2C" w:rsidRDefault="00D42E2C" w:rsidP="00D42E2C">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La</w:t>
      </w:r>
      <w:r w:rsidR="002455E6">
        <w:rPr>
          <w:rFonts w:ascii="Arial" w:eastAsia="Calibri" w:hAnsi="Arial" w:cs="Arial"/>
          <w:bCs/>
          <w:sz w:val="24"/>
          <w:szCs w:val="24"/>
        </w:rPr>
        <w:t xml:space="preserve">s </w:t>
      </w:r>
      <w:r w:rsidR="00EE7F84">
        <w:rPr>
          <w:rFonts w:ascii="Arial" w:eastAsia="Calibri" w:hAnsi="Arial" w:cs="Arial"/>
          <w:bCs/>
          <w:sz w:val="24"/>
          <w:szCs w:val="24"/>
        </w:rPr>
        <w:t>D</w:t>
      </w:r>
      <w:r w:rsidR="002455E6">
        <w:rPr>
          <w:rFonts w:ascii="Arial" w:eastAsia="Calibri" w:hAnsi="Arial" w:cs="Arial"/>
          <w:bCs/>
          <w:sz w:val="24"/>
          <w:szCs w:val="24"/>
        </w:rPr>
        <w:t>elegacio</w:t>
      </w:r>
      <w:r>
        <w:rPr>
          <w:rFonts w:ascii="Arial" w:eastAsia="Calibri" w:hAnsi="Arial" w:cs="Arial"/>
          <w:bCs/>
          <w:sz w:val="24"/>
          <w:szCs w:val="24"/>
        </w:rPr>
        <w:t>n</w:t>
      </w:r>
      <w:r w:rsidR="002455E6">
        <w:rPr>
          <w:rFonts w:ascii="Arial" w:eastAsia="Calibri" w:hAnsi="Arial" w:cs="Arial"/>
          <w:bCs/>
          <w:sz w:val="24"/>
          <w:szCs w:val="24"/>
        </w:rPr>
        <w:t>es</w:t>
      </w:r>
      <w:r>
        <w:rPr>
          <w:rFonts w:ascii="Arial" w:eastAsia="Calibri" w:hAnsi="Arial" w:cs="Arial"/>
          <w:bCs/>
          <w:sz w:val="24"/>
          <w:szCs w:val="24"/>
        </w:rPr>
        <w:t xml:space="preserve"> de Argentina </w:t>
      </w:r>
      <w:r w:rsidR="00922279">
        <w:rPr>
          <w:rFonts w:ascii="Arial" w:eastAsia="Calibri" w:hAnsi="Arial" w:cs="Arial"/>
          <w:bCs/>
          <w:sz w:val="24"/>
          <w:szCs w:val="24"/>
        </w:rPr>
        <w:t>y Brasil informaron</w:t>
      </w:r>
      <w:r>
        <w:rPr>
          <w:rFonts w:ascii="Arial" w:eastAsia="Calibri" w:hAnsi="Arial" w:cs="Arial"/>
          <w:bCs/>
          <w:sz w:val="24"/>
          <w:szCs w:val="24"/>
        </w:rPr>
        <w:t xml:space="preserve"> no tener novedades respecto a este tema.</w:t>
      </w:r>
    </w:p>
    <w:p w14:paraId="2AE16761" w14:textId="27D29E41" w:rsidR="002455E6" w:rsidRDefault="002455E6" w:rsidP="00D42E2C">
      <w:pPr>
        <w:tabs>
          <w:tab w:val="num" w:pos="720"/>
        </w:tabs>
        <w:spacing w:after="0" w:line="240" w:lineRule="auto"/>
        <w:jc w:val="both"/>
        <w:rPr>
          <w:rFonts w:ascii="Arial" w:eastAsia="Calibri" w:hAnsi="Arial" w:cs="Arial"/>
          <w:bCs/>
          <w:sz w:val="24"/>
          <w:szCs w:val="24"/>
        </w:rPr>
      </w:pPr>
    </w:p>
    <w:p w14:paraId="560DFC07" w14:textId="25FA6809" w:rsidR="002455E6" w:rsidRDefault="002455E6" w:rsidP="00D42E2C">
      <w:pPr>
        <w:tabs>
          <w:tab w:val="num" w:pos="720"/>
        </w:tabs>
        <w:spacing w:after="0" w:line="240" w:lineRule="auto"/>
        <w:jc w:val="both"/>
        <w:rPr>
          <w:rFonts w:ascii="Arial" w:eastAsia="Calibri" w:hAnsi="Arial" w:cs="Arial"/>
          <w:bCs/>
          <w:sz w:val="24"/>
          <w:szCs w:val="24"/>
        </w:rPr>
      </w:pPr>
      <w:r>
        <w:rPr>
          <w:rFonts w:ascii="Arial" w:eastAsia="Times New Roman" w:hAnsi="Arial" w:cs="Times New Roman"/>
          <w:sz w:val="24"/>
          <w:szCs w:val="20"/>
          <w:lang w:eastAsia="ar-SA"/>
        </w:rPr>
        <w:t xml:space="preserve">La </w:t>
      </w:r>
      <w:r w:rsidR="00EE7F84">
        <w:rPr>
          <w:rFonts w:ascii="Arial" w:eastAsia="Times New Roman" w:hAnsi="Arial" w:cs="Times New Roman"/>
          <w:sz w:val="24"/>
          <w:szCs w:val="20"/>
          <w:lang w:eastAsia="ar-SA"/>
        </w:rPr>
        <w:t>D</w:t>
      </w:r>
      <w:r w:rsidRPr="00F41AB9">
        <w:rPr>
          <w:rFonts w:ascii="Arial" w:eastAsia="Times New Roman" w:hAnsi="Arial" w:cs="Times New Roman"/>
          <w:sz w:val="24"/>
          <w:szCs w:val="20"/>
          <w:lang w:eastAsia="ar-SA"/>
        </w:rPr>
        <w:t xml:space="preserve">elegación </w:t>
      </w:r>
      <w:r>
        <w:rPr>
          <w:rFonts w:ascii="Arial" w:eastAsia="Times New Roman" w:hAnsi="Arial" w:cs="Times New Roman"/>
          <w:sz w:val="24"/>
          <w:szCs w:val="20"/>
          <w:lang w:eastAsia="ar-SA"/>
        </w:rPr>
        <w:t xml:space="preserve">de Paraguay informó que se encuentra en proceso de emisión una norma </w:t>
      </w:r>
      <w:r>
        <w:rPr>
          <w:rFonts w:ascii="Arial" w:hAnsi="Arial" w:cs="Arial"/>
          <w:sz w:val="24"/>
          <w:szCs w:val="24"/>
          <w:lang w:val="es-PY"/>
        </w:rPr>
        <w:t xml:space="preserve">que trata de disciplina de </w:t>
      </w:r>
      <w:r>
        <w:rPr>
          <w:rFonts w:ascii="Arial" w:hAnsi="Arial" w:cs="Arial"/>
          <w:sz w:val="23"/>
          <w:szCs w:val="23"/>
          <w:lang w:val="es-PY"/>
        </w:rPr>
        <w:t>mercado, en el cual los bancos de importancia sistémicas deberán divulgar información sobre la solvencia, riesgo de liquidez, activos ponderados por riesgos y políticas de remuneración</w:t>
      </w:r>
    </w:p>
    <w:p w14:paraId="2A55D5DE" w14:textId="670A2D56" w:rsidR="00922279" w:rsidRDefault="00922279" w:rsidP="00D42E2C">
      <w:pPr>
        <w:tabs>
          <w:tab w:val="num" w:pos="720"/>
        </w:tabs>
        <w:spacing w:after="0" w:line="240" w:lineRule="auto"/>
        <w:jc w:val="both"/>
        <w:rPr>
          <w:rFonts w:ascii="Arial" w:eastAsia="Calibri" w:hAnsi="Arial" w:cs="Arial"/>
          <w:bCs/>
          <w:sz w:val="24"/>
          <w:szCs w:val="24"/>
        </w:rPr>
      </w:pPr>
    </w:p>
    <w:p w14:paraId="611B244E" w14:textId="402AA784" w:rsidR="007E768F" w:rsidRDefault="00CF232A" w:rsidP="00D42E2C">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 xml:space="preserve">La </w:t>
      </w:r>
      <w:r w:rsidR="00EE7F84">
        <w:rPr>
          <w:rFonts w:ascii="Arial" w:eastAsia="Calibri" w:hAnsi="Arial" w:cs="Arial"/>
          <w:bCs/>
          <w:sz w:val="24"/>
          <w:szCs w:val="24"/>
        </w:rPr>
        <w:t>D</w:t>
      </w:r>
      <w:r>
        <w:rPr>
          <w:rFonts w:ascii="Arial" w:eastAsia="Calibri" w:hAnsi="Arial" w:cs="Arial"/>
          <w:bCs/>
          <w:sz w:val="24"/>
          <w:szCs w:val="24"/>
        </w:rPr>
        <w:t>elegación de Uruguay inform</w:t>
      </w:r>
      <w:r w:rsidR="00EE7F84">
        <w:rPr>
          <w:rFonts w:ascii="Arial" w:eastAsia="Calibri" w:hAnsi="Arial" w:cs="Arial"/>
          <w:bCs/>
          <w:sz w:val="24"/>
          <w:szCs w:val="24"/>
        </w:rPr>
        <w:t>ó</w:t>
      </w:r>
      <w:r>
        <w:rPr>
          <w:rFonts w:ascii="Arial" w:eastAsia="Calibri" w:hAnsi="Arial" w:cs="Arial"/>
          <w:bCs/>
          <w:sz w:val="24"/>
          <w:szCs w:val="24"/>
        </w:rPr>
        <w:t xml:space="preserve"> que se ha sustituido la Comunicación 2019/17 por la Comunicación 2020/104 en materia de </w:t>
      </w:r>
      <w:r w:rsidRPr="00CF232A">
        <w:rPr>
          <w:rFonts w:ascii="Arial" w:eastAsia="Calibri" w:hAnsi="Arial" w:cs="Arial"/>
          <w:bCs/>
          <w:sz w:val="24"/>
          <w:szCs w:val="24"/>
        </w:rPr>
        <w:t>divulgación de información al mercado sobre capital, gestión de riesgos y otros requerimientos prudenciales</w:t>
      </w:r>
      <w:r>
        <w:rPr>
          <w:rFonts w:ascii="Arial" w:eastAsia="Calibri" w:hAnsi="Arial" w:cs="Arial"/>
          <w:bCs/>
          <w:sz w:val="24"/>
          <w:szCs w:val="24"/>
        </w:rPr>
        <w:t>. El motivo de dicha sustitución fue la necesidad de incorporar información cuantitativa en relación al riesgo operativo, debido a la adopción del nuevo método de cálculo del requerimiento de capital por riesgo operativo establecido por Basilea.</w:t>
      </w:r>
    </w:p>
    <w:p w14:paraId="3F694D64" w14:textId="77777777" w:rsidR="00EE7F84" w:rsidRPr="00CF232A" w:rsidRDefault="00EE7F84" w:rsidP="00D42E2C">
      <w:pPr>
        <w:tabs>
          <w:tab w:val="num" w:pos="720"/>
        </w:tabs>
        <w:spacing w:after="0" w:line="240" w:lineRule="auto"/>
        <w:jc w:val="both"/>
        <w:rPr>
          <w:rFonts w:ascii="Arial" w:eastAsia="Calibri" w:hAnsi="Arial" w:cs="Arial"/>
          <w:bCs/>
          <w:sz w:val="24"/>
          <w:szCs w:val="24"/>
        </w:rPr>
      </w:pPr>
    </w:p>
    <w:p w14:paraId="694CBED7" w14:textId="77777777" w:rsidR="007E768F" w:rsidRPr="007E768F" w:rsidRDefault="007E768F" w:rsidP="007E768F">
      <w:pPr>
        <w:tabs>
          <w:tab w:val="num" w:pos="720"/>
        </w:tabs>
        <w:spacing w:after="0" w:line="240" w:lineRule="auto"/>
        <w:rPr>
          <w:rFonts w:ascii="Arial" w:eastAsia="Calibri" w:hAnsi="Arial" w:cs="Arial"/>
          <w:b/>
          <w:bCs/>
          <w:sz w:val="24"/>
          <w:szCs w:val="24"/>
        </w:rPr>
      </w:pPr>
    </w:p>
    <w:p w14:paraId="40423DA2" w14:textId="2C2C6F58" w:rsidR="007E768F" w:rsidRPr="007E768F" w:rsidRDefault="00696124" w:rsidP="007E768F">
      <w:pPr>
        <w:tabs>
          <w:tab w:val="num" w:pos="720"/>
        </w:tabs>
        <w:spacing w:after="0" w:line="240" w:lineRule="auto"/>
        <w:rPr>
          <w:rFonts w:ascii="Arial" w:eastAsia="Calibri" w:hAnsi="Arial" w:cs="Arial"/>
          <w:b/>
          <w:bCs/>
          <w:caps/>
          <w:sz w:val="24"/>
          <w:szCs w:val="24"/>
        </w:rPr>
      </w:pPr>
      <w:r>
        <w:rPr>
          <w:rFonts w:ascii="Arial" w:eastAsia="Calibri" w:hAnsi="Arial" w:cs="Arial"/>
          <w:b/>
          <w:bCs/>
          <w:sz w:val="24"/>
          <w:szCs w:val="24"/>
        </w:rPr>
        <w:t>5</w:t>
      </w:r>
      <w:r w:rsidR="00890193" w:rsidRPr="006139F5">
        <w:rPr>
          <w:rFonts w:ascii="Arial" w:eastAsia="Calibri" w:hAnsi="Arial" w:cs="Arial"/>
          <w:b/>
          <w:bCs/>
          <w:sz w:val="24"/>
          <w:szCs w:val="24"/>
        </w:rPr>
        <w:t xml:space="preserve">. NORMAS RELATIVAS A AUDITORES EXTERNOS </w:t>
      </w:r>
    </w:p>
    <w:p w14:paraId="48434F89" w14:textId="77777777" w:rsidR="007E768F" w:rsidRPr="007E768F" w:rsidRDefault="007E768F" w:rsidP="007E768F">
      <w:pPr>
        <w:tabs>
          <w:tab w:val="num" w:pos="720"/>
        </w:tabs>
        <w:spacing w:after="0" w:line="240" w:lineRule="auto"/>
        <w:rPr>
          <w:rFonts w:ascii="Arial" w:eastAsia="Calibri" w:hAnsi="Arial" w:cs="Arial"/>
          <w:b/>
          <w:bCs/>
          <w:sz w:val="24"/>
          <w:szCs w:val="24"/>
        </w:rPr>
      </w:pPr>
    </w:p>
    <w:p w14:paraId="1838134A" w14:textId="11DC0664" w:rsidR="00922279" w:rsidRDefault="00922279" w:rsidP="00922279">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La</w:t>
      </w:r>
      <w:r w:rsidR="002455E6">
        <w:rPr>
          <w:rFonts w:ascii="Arial" w:eastAsia="Calibri" w:hAnsi="Arial" w:cs="Arial"/>
          <w:bCs/>
          <w:sz w:val="24"/>
          <w:szCs w:val="24"/>
        </w:rPr>
        <w:t xml:space="preserve">s </w:t>
      </w:r>
      <w:r w:rsidR="00EE7F84">
        <w:rPr>
          <w:rFonts w:ascii="Arial" w:eastAsia="Calibri" w:hAnsi="Arial" w:cs="Arial"/>
          <w:bCs/>
          <w:sz w:val="24"/>
          <w:szCs w:val="24"/>
        </w:rPr>
        <w:t>D</w:t>
      </w:r>
      <w:r w:rsidR="002455E6">
        <w:rPr>
          <w:rFonts w:ascii="Arial" w:eastAsia="Calibri" w:hAnsi="Arial" w:cs="Arial"/>
          <w:bCs/>
          <w:sz w:val="24"/>
          <w:szCs w:val="24"/>
        </w:rPr>
        <w:t>elegacio</w:t>
      </w:r>
      <w:r>
        <w:rPr>
          <w:rFonts w:ascii="Arial" w:eastAsia="Calibri" w:hAnsi="Arial" w:cs="Arial"/>
          <w:bCs/>
          <w:sz w:val="24"/>
          <w:szCs w:val="24"/>
        </w:rPr>
        <w:t>n</w:t>
      </w:r>
      <w:r w:rsidR="002455E6">
        <w:rPr>
          <w:rFonts w:ascii="Arial" w:eastAsia="Calibri" w:hAnsi="Arial" w:cs="Arial"/>
          <w:bCs/>
          <w:sz w:val="24"/>
          <w:szCs w:val="24"/>
        </w:rPr>
        <w:t>es</w:t>
      </w:r>
      <w:r>
        <w:rPr>
          <w:rFonts w:ascii="Arial" w:eastAsia="Calibri" w:hAnsi="Arial" w:cs="Arial"/>
          <w:bCs/>
          <w:sz w:val="24"/>
          <w:szCs w:val="24"/>
        </w:rPr>
        <w:t xml:space="preserve"> de Argentina</w:t>
      </w:r>
      <w:r w:rsidR="002455E6">
        <w:rPr>
          <w:rFonts w:ascii="Arial" w:eastAsia="Calibri" w:hAnsi="Arial" w:cs="Arial"/>
          <w:bCs/>
          <w:sz w:val="24"/>
          <w:szCs w:val="24"/>
        </w:rPr>
        <w:t>,</w:t>
      </w:r>
      <w:r>
        <w:rPr>
          <w:rFonts w:ascii="Arial" w:eastAsia="Calibri" w:hAnsi="Arial" w:cs="Arial"/>
          <w:bCs/>
          <w:sz w:val="24"/>
          <w:szCs w:val="24"/>
        </w:rPr>
        <w:t xml:space="preserve"> Brasil </w:t>
      </w:r>
      <w:r w:rsidR="002455E6">
        <w:rPr>
          <w:rFonts w:ascii="Arial" w:eastAsia="Calibri" w:hAnsi="Arial" w:cs="Arial"/>
          <w:bCs/>
          <w:sz w:val="24"/>
          <w:szCs w:val="24"/>
        </w:rPr>
        <w:t xml:space="preserve">y Paraguay </w:t>
      </w:r>
      <w:r>
        <w:rPr>
          <w:rFonts w:ascii="Arial" w:eastAsia="Calibri" w:hAnsi="Arial" w:cs="Arial"/>
          <w:bCs/>
          <w:sz w:val="24"/>
          <w:szCs w:val="24"/>
        </w:rPr>
        <w:t>informaron no tener novedades respecto a este tema.</w:t>
      </w:r>
    </w:p>
    <w:p w14:paraId="3A35677A" w14:textId="77777777" w:rsidR="00D42E2C" w:rsidRDefault="00D42E2C" w:rsidP="00D42E2C">
      <w:pPr>
        <w:tabs>
          <w:tab w:val="num" w:pos="720"/>
        </w:tabs>
        <w:spacing w:after="0" w:line="240" w:lineRule="auto"/>
        <w:jc w:val="both"/>
        <w:rPr>
          <w:rFonts w:ascii="Arial" w:eastAsia="Calibri" w:hAnsi="Arial" w:cs="Arial"/>
          <w:bCs/>
          <w:sz w:val="24"/>
          <w:szCs w:val="24"/>
        </w:rPr>
      </w:pPr>
    </w:p>
    <w:p w14:paraId="594F12E2" w14:textId="2BA9C5AB" w:rsidR="007E768F" w:rsidRDefault="00696124" w:rsidP="00D42E2C">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lastRenderedPageBreak/>
        <w:t xml:space="preserve">La </w:t>
      </w:r>
      <w:r w:rsidR="00EE7F84">
        <w:rPr>
          <w:rFonts w:ascii="Arial" w:eastAsia="Calibri" w:hAnsi="Arial" w:cs="Arial"/>
          <w:bCs/>
          <w:sz w:val="24"/>
          <w:szCs w:val="24"/>
        </w:rPr>
        <w:t>D</w:t>
      </w:r>
      <w:r>
        <w:rPr>
          <w:rFonts w:ascii="Arial" w:eastAsia="Calibri" w:hAnsi="Arial" w:cs="Arial"/>
          <w:bCs/>
          <w:sz w:val="24"/>
          <w:szCs w:val="24"/>
        </w:rPr>
        <w:t xml:space="preserve">elegación de Uruguay </w:t>
      </w:r>
      <w:r w:rsidR="00CF232A">
        <w:rPr>
          <w:rFonts w:ascii="Arial" w:eastAsia="Calibri" w:hAnsi="Arial" w:cs="Arial"/>
          <w:bCs/>
          <w:sz w:val="24"/>
          <w:szCs w:val="24"/>
        </w:rPr>
        <w:t>p</w:t>
      </w:r>
      <w:r w:rsidR="00EE7F84">
        <w:rPr>
          <w:rFonts w:ascii="Arial" w:eastAsia="Calibri" w:hAnsi="Arial" w:cs="Arial"/>
          <w:bCs/>
          <w:sz w:val="24"/>
          <w:szCs w:val="24"/>
        </w:rPr>
        <w:t>uso</w:t>
      </w:r>
      <w:r w:rsidR="00CF232A">
        <w:rPr>
          <w:rFonts w:ascii="Arial" w:eastAsia="Calibri" w:hAnsi="Arial" w:cs="Arial"/>
          <w:bCs/>
          <w:sz w:val="24"/>
          <w:szCs w:val="24"/>
        </w:rPr>
        <w:t xml:space="preserve"> en conocimiento de los demás participantes</w:t>
      </w:r>
      <w:r>
        <w:rPr>
          <w:rFonts w:ascii="Arial" w:eastAsia="Calibri" w:hAnsi="Arial" w:cs="Arial"/>
          <w:bCs/>
          <w:sz w:val="24"/>
          <w:szCs w:val="24"/>
        </w:rPr>
        <w:t xml:space="preserve"> que se ha emitido la Comunicación 2020/101 que incorpora al elenco de informaciones que deben presentar </w:t>
      </w:r>
      <w:r w:rsidR="00CF232A">
        <w:rPr>
          <w:rFonts w:ascii="Arial" w:eastAsia="Calibri" w:hAnsi="Arial" w:cs="Arial"/>
          <w:bCs/>
          <w:sz w:val="24"/>
          <w:szCs w:val="24"/>
        </w:rPr>
        <w:t>los auditores externos el dato del porcentaje de participación de cada uno de los socios en las firmas de auditoría.</w:t>
      </w:r>
    </w:p>
    <w:p w14:paraId="13982025" w14:textId="77777777" w:rsidR="00CF232A" w:rsidRDefault="00CF232A" w:rsidP="00D42E2C">
      <w:pPr>
        <w:tabs>
          <w:tab w:val="num" w:pos="720"/>
        </w:tabs>
        <w:spacing w:after="0" w:line="240" w:lineRule="auto"/>
        <w:jc w:val="both"/>
        <w:rPr>
          <w:rFonts w:ascii="Arial" w:eastAsia="Calibri" w:hAnsi="Arial" w:cs="Arial"/>
          <w:bCs/>
          <w:sz w:val="24"/>
          <w:szCs w:val="24"/>
        </w:rPr>
      </w:pPr>
    </w:p>
    <w:p w14:paraId="3C17E0E0" w14:textId="2B10FE73" w:rsidR="00CF232A" w:rsidRDefault="00CF232A" w:rsidP="00D42E2C">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La citada Comunicación también le da a esta información la calidad de relevante, lo que tiene impacto en el tipo de sanciones que se podrán aplicar frente a un incumplimiento del deber de informar este dato.</w:t>
      </w:r>
    </w:p>
    <w:p w14:paraId="45FE46A3" w14:textId="77777777" w:rsidR="00EE7F84" w:rsidRPr="00696124" w:rsidRDefault="00EE7F84" w:rsidP="00D42E2C">
      <w:pPr>
        <w:tabs>
          <w:tab w:val="num" w:pos="720"/>
        </w:tabs>
        <w:spacing w:after="0" w:line="240" w:lineRule="auto"/>
        <w:jc w:val="both"/>
        <w:rPr>
          <w:rFonts w:ascii="Arial" w:eastAsia="Calibri" w:hAnsi="Arial" w:cs="Arial"/>
          <w:bCs/>
          <w:sz w:val="24"/>
          <w:szCs w:val="24"/>
        </w:rPr>
      </w:pPr>
    </w:p>
    <w:p w14:paraId="49945951" w14:textId="77777777" w:rsidR="007E768F" w:rsidRPr="007E768F" w:rsidRDefault="007E768F" w:rsidP="007E768F">
      <w:pPr>
        <w:tabs>
          <w:tab w:val="num" w:pos="720"/>
        </w:tabs>
        <w:spacing w:after="0" w:line="240" w:lineRule="auto"/>
        <w:rPr>
          <w:rFonts w:ascii="Arial" w:eastAsia="Calibri" w:hAnsi="Arial" w:cs="Arial"/>
          <w:b/>
          <w:bCs/>
          <w:sz w:val="24"/>
          <w:szCs w:val="24"/>
        </w:rPr>
      </w:pPr>
    </w:p>
    <w:p w14:paraId="5B3363DF" w14:textId="1C1B61E9" w:rsidR="007E768F" w:rsidRPr="007E768F" w:rsidRDefault="00696124" w:rsidP="007E768F">
      <w:pPr>
        <w:tabs>
          <w:tab w:val="num" w:pos="720"/>
        </w:tabs>
        <w:spacing w:after="0" w:line="240" w:lineRule="auto"/>
        <w:rPr>
          <w:rFonts w:ascii="Arial" w:eastAsia="Calibri" w:hAnsi="Arial" w:cs="Arial"/>
          <w:b/>
          <w:bCs/>
          <w:caps/>
          <w:sz w:val="24"/>
          <w:szCs w:val="24"/>
        </w:rPr>
      </w:pPr>
      <w:r>
        <w:rPr>
          <w:rFonts w:ascii="Arial" w:eastAsia="Calibri" w:hAnsi="Arial" w:cs="Arial"/>
          <w:b/>
          <w:bCs/>
          <w:sz w:val="24"/>
          <w:szCs w:val="24"/>
        </w:rPr>
        <w:t>6</w:t>
      </w:r>
      <w:r w:rsidR="00890193" w:rsidRPr="006139F5">
        <w:rPr>
          <w:rFonts w:ascii="Arial" w:eastAsia="Calibri" w:hAnsi="Arial" w:cs="Arial"/>
          <w:b/>
          <w:bCs/>
          <w:sz w:val="24"/>
          <w:szCs w:val="24"/>
        </w:rPr>
        <w:t xml:space="preserve">. PRESENTACIÓN DE UN TEMA ESPECÍFICO </w:t>
      </w:r>
    </w:p>
    <w:p w14:paraId="5D8B4DFB" w14:textId="77777777" w:rsidR="007E768F" w:rsidRPr="007E768F" w:rsidRDefault="007E768F" w:rsidP="007E768F">
      <w:pPr>
        <w:tabs>
          <w:tab w:val="num" w:pos="720"/>
        </w:tabs>
        <w:spacing w:after="0" w:line="240" w:lineRule="auto"/>
        <w:rPr>
          <w:rFonts w:ascii="Arial" w:eastAsia="Calibri" w:hAnsi="Arial" w:cs="Arial"/>
          <w:b/>
          <w:bCs/>
          <w:sz w:val="24"/>
          <w:szCs w:val="24"/>
        </w:rPr>
      </w:pPr>
    </w:p>
    <w:p w14:paraId="443B8C92" w14:textId="680C508A" w:rsidR="007E768F" w:rsidRPr="009C1D96" w:rsidRDefault="009C1D96" w:rsidP="00D42E2C">
      <w:pPr>
        <w:tabs>
          <w:tab w:val="num" w:pos="720"/>
        </w:tabs>
        <w:spacing w:after="0" w:line="240" w:lineRule="auto"/>
        <w:jc w:val="both"/>
        <w:rPr>
          <w:rFonts w:ascii="Arial" w:eastAsia="Calibri" w:hAnsi="Arial" w:cs="Arial"/>
          <w:bCs/>
          <w:sz w:val="24"/>
          <w:szCs w:val="24"/>
        </w:rPr>
      </w:pPr>
      <w:r>
        <w:rPr>
          <w:rFonts w:ascii="Arial" w:eastAsia="Calibri" w:hAnsi="Arial" w:cs="Arial"/>
          <w:bCs/>
          <w:sz w:val="24"/>
          <w:szCs w:val="24"/>
        </w:rPr>
        <w:t xml:space="preserve">La </w:t>
      </w:r>
      <w:r w:rsidR="00EE7F84">
        <w:rPr>
          <w:rFonts w:ascii="Arial" w:eastAsia="Calibri" w:hAnsi="Arial" w:cs="Arial"/>
          <w:bCs/>
          <w:sz w:val="24"/>
          <w:szCs w:val="24"/>
        </w:rPr>
        <w:t>D</w:t>
      </w:r>
      <w:r>
        <w:rPr>
          <w:rFonts w:ascii="Arial" w:eastAsia="Calibri" w:hAnsi="Arial" w:cs="Arial"/>
          <w:bCs/>
          <w:sz w:val="24"/>
          <w:szCs w:val="24"/>
        </w:rPr>
        <w:t xml:space="preserve">elegación de Uruguay llevó adelante una presentación donde se realizó una </w:t>
      </w:r>
      <w:r w:rsidRPr="009C1D96">
        <w:rPr>
          <w:rFonts w:ascii="Arial" w:eastAsia="Calibri" w:hAnsi="Arial" w:cs="Arial"/>
          <w:bCs/>
          <w:sz w:val="24"/>
          <w:szCs w:val="24"/>
        </w:rPr>
        <w:t xml:space="preserve">comparativa entre la norma de deterioro de créditos propia de la </w:t>
      </w:r>
      <w:r>
        <w:rPr>
          <w:rFonts w:ascii="Arial" w:eastAsia="Calibri" w:hAnsi="Arial" w:cs="Arial"/>
          <w:bCs/>
          <w:sz w:val="24"/>
          <w:szCs w:val="24"/>
        </w:rPr>
        <w:t>S</w:t>
      </w:r>
      <w:r w:rsidRPr="009C1D96">
        <w:rPr>
          <w:rFonts w:ascii="Arial" w:eastAsia="Calibri" w:hAnsi="Arial" w:cs="Arial"/>
          <w:bCs/>
          <w:sz w:val="24"/>
          <w:szCs w:val="24"/>
        </w:rPr>
        <w:t xml:space="preserve">uperintendencia de </w:t>
      </w:r>
      <w:r>
        <w:rPr>
          <w:rFonts w:ascii="Arial" w:eastAsia="Calibri" w:hAnsi="Arial" w:cs="Arial"/>
          <w:bCs/>
          <w:sz w:val="24"/>
          <w:szCs w:val="24"/>
        </w:rPr>
        <w:t>S</w:t>
      </w:r>
      <w:r w:rsidRPr="009C1D96">
        <w:rPr>
          <w:rFonts w:ascii="Arial" w:eastAsia="Calibri" w:hAnsi="Arial" w:cs="Arial"/>
          <w:bCs/>
          <w:sz w:val="24"/>
          <w:szCs w:val="24"/>
        </w:rPr>
        <w:t xml:space="preserve">ervicios </w:t>
      </w:r>
      <w:r>
        <w:rPr>
          <w:rFonts w:ascii="Arial" w:eastAsia="Calibri" w:hAnsi="Arial" w:cs="Arial"/>
          <w:bCs/>
          <w:sz w:val="24"/>
          <w:szCs w:val="24"/>
        </w:rPr>
        <w:t>F</w:t>
      </w:r>
      <w:r w:rsidRPr="009C1D96">
        <w:rPr>
          <w:rFonts w:ascii="Arial" w:eastAsia="Calibri" w:hAnsi="Arial" w:cs="Arial"/>
          <w:bCs/>
          <w:sz w:val="24"/>
          <w:szCs w:val="24"/>
        </w:rPr>
        <w:t xml:space="preserve">inancieros y el punto 5.5 de la NIIF </w:t>
      </w:r>
      <w:r>
        <w:rPr>
          <w:rFonts w:ascii="Arial" w:eastAsia="Calibri" w:hAnsi="Arial" w:cs="Arial"/>
          <w:bCs/>
          <w:sz w:val="24"/>
          <w:szCs w:val="24"/>
        </w:rPr>
        <w:t>9 a efectos de discutir las brechas existentes y sus posibles impactos.</w:t>
      </w:r>
    </w:p>
    <w:p w14:paraId="3B8C9694" w14:textId="77777777" w:rsidR="007E768F" w:rsidRDefault="007E768F" w:rsidP="007E768F">
      <w:pPr>
        <w:tabs>
          <w:tab w:val="num" w:pos="720"/>
        </w:tabs>
        <w:spacing w:after="0" w:line="240" w:lineRule="auto"/>
        <w:rPr>
          <w:rFonts w:ascii="Arial" w:eastAsia="Calibri" w:hAnsi="Arial" w:cs="Arial"/>
          <w:b/>
          <w:bCs/>
          <w:sz w:val="24"/>
          <w:szCs w:val="24"/>
        </w:rPr>
      </w:pPr>
    </w:p>
    <w:p w14:paraId="577019E0" w14:textId="77777777" w:rsidR="00574D32" w:rsidRPr="007E768F" w:rsidRDefault="00574D32" w:rsidP="007E768F">
      <w:pPr>
        <w:tabs>
          <w:tab w:val="num" w:pos="720"/>
        </w:tabs>
        <w:spacing w:after="0" w:line="240" w:lineRule="auto"/>
        <w:rPr>
          <w:rFonts w:ascii="Arial" w:eastAsia="Calibri" w:hAnsi="Arial" w:cs="Arial"/>
          <w:b/>
          <w:bCs/>
          <w:sz w:val="24"/>
          <w:szCs w:val="24"/>
        </w:rPr>
      </w:pPr>
    </w:p>
    <w:p w14:paraId="1B7987EE" w14:textId="385A92FB" w:rsidR="007E768F" w:rsidRPr="007E768F" w:rsidRDefault="00696124" w:rsidP="007E768F">
      <w:pPr>
        <w:tabs>
          <w:tab w:val="num" w:pos="720"/>
        </w:tabs>
        <w:spacing w:after="0" w:line="240" w:lineRule="auto"/>
        <w:rPr>
          <w:rFonts w:ascii="Arial" w:eastAsia="Calibri" w:hAnsi="Arial" w:cs="Arial"/>
          <w:b/>
          <w:bCs/>
          <w:caps/>
          <w:sz w:val="24"/>
          <w:szCs w:val="24"/>
        </w:rPr>
      </w:pPr>
      <w:r>
        <w:rPr>
          <w:rFonts w:ascii="Arial" w:eastAsia="Calibri" w:hAnsi="Arial" w:cs="Arial"/>
          <w:b/>
          <w:bCs/>
          <w:sz w:val="24"/>
          <w:szCs w:val="24"/>
        </w:rPr>
        <w:t>7</w:t>
      </w:r>
      <w:r w:rsidR="00890193" w:rsidRPr="006139F5">
        <w:rPr>
          <w:rFonts w:ascii="Arial" w:eastAsia="Calibri" w:hAnsi="Arial" w:cs="Arial"/>
          <w:b/>
          <w:bCs/>
          <w:sz w:val="24"/>
          <w:szCs w:val="24"/>
        </w:rPr>
        <w:t xml:space="preserve">. OTROS ASUNTOS </w:t>
      </w:r>
    </w:p>
    <w:p w14:paraId="206078F9" w14:textId="77777777" w:rsidR="007E768F" w:rsidRDefault="007E768F" w:rsidP="007E768F">
      <w:pPr>
        <w:tabs>
          <w:tab w:val="num" w:pos="720"/>
        </w:tabs>
        <w:spacing w:after="0" w:line="240" w:lineRule="auto"/>
        <w:rPr>
          <w:rFonts w:ascii="Arial" w:eastAsia="Calibri" w:hAnsi="Arial" w:cs="Arial"/>
          <w:b/>
          <w:bCs/>
          <w:sz w:val="24"/>
          <w:szCs w:val="24"/>
        </w:rPr>
      </w:pPr>
    </w:p>
    <w:p w14:paraId="2D1345F9" w14:textId="77777777" w:rsidR="00574D32" w:rsidRPr="007E768F" w:rsidRDefault="00574D32" w:rsidP="007E768F">
      <w:pPr>
        <w:tabs>
          <w:tab w:val="num" w:pos="720"/>
        </w:tabs>
        <w:spacing w:after="0" w:line="240" w:lineRule="auto"/>
        <w:rPr>
          <w:rFonts w:ascii="Arial" w:eastAsia="Calibri" w:hAnsi="Arial" w:cs="Arial"/>
          <w:b/>
          <w:bCs/>
          <w:sz w:val="24"/>
          <w:szCs w:val="24"/>
        </w:rPr>
      </w:pPr>
    </w:p>
    <w:p w14:paraId="300DB52F" w14:textId="03052B1A" w:rsidR="007E768F" w:rsidRDefault="00696124" w:rsidP="007E768F">
      <w:pPr>
        <w:tabs>
          <w:tab w:val="num" w:pos="720"/>
        </w:tabs>
        <w:spacing w:after="0" w:line="240" w:lineRule="auto"/>
        <w:rPr>
          <w:rFonts w:ascii="Arial" w:eastAsia="Calibri" w:hAnsi="Arial" w:cs="Arial"/>
          <w:b/>
          <w:bCs/>
          <w:sz w:val="24"/>
          <w:szCs w:val="24"/>
        </w:rPr>
      </w:pPr>
      <w:r>
        <w:rPr>
          <w:rFonts w:ascii="Arial" w:eastAsia="Calibri" w:hAnsi="Arial" w:cs="Arial"/>
          <w:b/>
          <w:bCs/>
          <w:sz w:val="24"/>
          <w:szCs w:val="24"/>
        </w:rPr>
        <w:t>7</w:t>
      </w:r>
      <w:r w:rsidR="00890193" w:rsidRPr="006139F5">
        <w:rPr>
          <w:rFonts w:ascii="Arial" w:eastAsia="Calibri" w:hAnsi="Arial" w:cs="Arial"/>
          <w:b/>
          <w:bCs/>
          <w:sz w:val="24"/>
          <w:szCs w:val="24"/>
        </w:rPr>
        <w:t xml:space="preserve">.1 </w:t>
      </w:r>
      <w:r w:rsidR="006139F5">
        <w:rPr>
          <w:rFonts w:ascii="Arial" w:eastAsia="Calibri" w:hAnsi="Arial" w:cs="Arial"/>
          <w:b/>
          <w:bCs/>
          <w:sz w:val="24"/>
          <w:szCs w:val="24"/>
        </w:rPr>
        <w:t>INFORME DE CUMPLIMIENTO</w:t>
      </w:r>
      <w:r w:rsidR="00890193" w:rsidRPr="006139F5">
        <w:rPr>
          <w:rFonts w:ascii="Arial" w:eastAsia="Calibri" w:hAnsi="Arial" w:cs="Arial"/>
          <w:b/>
          <w:bCs/>
          <w:sz w:val="24"/>
          <w:szCs w:val="24"/>
        </w:rPr>
        <w:t xml:space="preserve"> DEL PROGRAMA DE TRABAJO 2019 – 2020 </w:t>
      </w:r>
    </w:p>
    <w:p w14:paraId="1A84212F" w14:textId="77777777" w:rsidR="009C1D96" w:rsidRDefault="009C1D96" w:rsidP="007E768F">
      <w:pPr>
        <w:tabs>
          <w:tab w:val="num" w:pos="720"/>
        </w:tabs>
        <w:spacing w:after="0" w:line="240" w:lineRule="auto"/>
        <w:rPr>
          <w:rFonts w:ascii="Arial" w:eastAsia="Calibri" w:hAnsi="Arial" w:cs="Arial"/>
          <w:b/>
          <w:bCs/>
          <w:sz w:val="24"/>
          <w:szCs w:val="24"/>
        </w:rPr>
      </w:pPr>
    </w:p>
    <w:p w14:paraId="11A8BB6B" w14:textId="77777777" w:rsidR="00574D32" w:rsidRDefault="00574D32" w:rsidP="007E768F">
      <w:pPr>
        <w:tabs>
          <w:tab w:val="num" w:pos="720"/>
        </w:tabs>
        <w:spacing w:after="0" w:line="240" w:lineRule="auto"/>
        <w:rPr>
          <w:rFonts w:ascii="Arial" w:eastAsia="Calibri" w:hAnsi="Arial" w:cs="Arial"/>
          <w:b/>
          <w:bCs/>
          <w:sz w:val="24"/>
          <w:szCs w:val="24"/>
        </w:rPr>
      </w:pPr>
    </w:p>
    <w:p w14:paraId="112AABF3" w14:textId="77777777" w:rsidR="00574D32" w:rsidRDefault="00574D32" w:rsidP="007E768F">
      <w:pPr>
        <w:tabs>
          <w:tab w:val="num" w:pos="720"/>
        </w:tabs>
        <w:spacing w:after="0" w:line="240" w:lineRule="auto"/>
        <w:rPr>
          <w:rFonts w:ascii="Arial" w:eastAsia="Calibri" w:hAnsi="Arial" w:cs="Arial"/>
          <w:b/>
          <w:bCs/>
          <w:sz w:val="24"/>
          <w:szCs w:val="24"/>
        </w:rPr>
      </w:pPr>
    </w:p>
    <w:tbl>
      <w:tblPr>
        <w:tblW w:w="0" w:type="auto"/>
        <w:tblInd w:w="12" w:type="dxa"/>
        <w:tblLayout w:type="fixed"/>
        <w:tblLook w:val="0000" w:firstRow="0" w:lastRow="0" w:firstColumn="0" w:lastColumn="0" w:noHBand="0" w:noVBand="0"/>
      </w:tblPr>
      <w:tblGrid>
        <w:gridCol w:w="1794"/>
        <w:gridCol w:w="1810"/>
        <w:gridCol w:w="1826"/>
        <w:gridCol w:w="1810"/>
        <w:gridCol w:w="1811"/>
      </w:tblGrid>
      <w:tr w:rsidR="009C1D96" w:rsidRPr="009C1D96" w14:paraId="2C600923" w14:textId="77777777" w:rsidTr="0088144A">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062B670" w14:textId="77777777" w:rsidR="009C1D96" w:rsidRPr="009C1D96" w:rsidRDefault="009C1D96" w:rsidP="0088144A">
            <w:pPr>
              <w:jc w:val="center"/>
              <w:rPr>
                <w:rFonts w:ascii="Arial" w:hAnsi="Arial" w:cs="Arial"/>
                <w:b/>
                <w:bCs/>
                <w:color w:val="000000"/>
              </w:rPr>
            </w:pPr>
            <w:r w:rsidRPr="009C1D96">
              <w:rPr>
                <w:rFonts w:ascii="Arial" w:hAnsi="Arial" w:cs="Arial"/>
                <w:b/>
                <w:bCs/>
                <w:color w:val="000000"/>
              </w:rPr>
              <w:t>Tema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5FDE2D8" w14:textId="77777777" w:rsidR="009C1D96" w:rsidRPr="009C1D96" w:rsidRDefault="009C1D96" w:rsidP="0088144A">
            <w:pPr>
              <w:jc w:val="center"/>
              <w:rPr>
                <w:rFonts w:ascii="Arial" w:hAnsi="Arial" w:cs="Arial"/>
                <w:b/>
                <w:bCs/>
                <w:color w:val="000000"/>
              </w:rPr>
            </w:pPr>
            <w:r w:rsidRPr="009C1D96">
              <w:rPr>
                <w:rFonts w:ascii="Arial" w:hAnsi="Arial" w:cs="Arial"/>
                <w:b/>
                <w:bCs/>
                <w:color w:val="000000"/>
              </w:rPr>
              <w:t>Actividad</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37F4517C" w14:textId="77777777" w:rsidR="009C1D96" w:rsidRPr="009C1D96" w:rsidRDefault="009C1D96" w:rsidP="0088144A">
            <w:pPr>
              <w:jc w:val="center"/>
              <w:rPr>
                <w:rFonts w:ascii="Arial" w:hAnsi="Arial" w:cs="Arial"/>
                <w:b/>
                <w:bCs/>
                <w:color w:val="000000"/>
              </w:rPr>
            </w:pPr>
            <w:r w:rsidRPr="009C1D96">
              <w:rPr>
                <w:rFonts w:ascii="Arial" w:hAnsi="Arial" w:cs="Arial"/>
                <w:b/>
                <w:bCs/>
                <w:color w:val="000000"/>
              </w:rPr>
              <w:t>Tipo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2E6D3CB" w14:textId="77777777" w:rsidR="009C1D96" w:rsidRPr="009C1D96" w:rsidRDefault="009C1D96" w:rsidP="0088144A">
            <w:pPr>
              <w:jc w:val="center"/>
              <w:rPr>
                <w:rFonts w:ascii="Arial" w:hAnsi="Arial" w:cs="Arial"/>
                <w:b/>
                <w:bCs/>
                <w:color w:val="000000"/>
              </w:rPr>
            </w:pPr>
            <w:r w:rsidRPr="009C1D96">
              <w:rPr>
                <w:rFonts w:ascii="Arial" w:hAnsi="Arial" w:cs="Arial"/>
                <w:b/>
                <w:bCs/>
                <w:color w:val="000000"/>
              </w:rPr>
              <w:t>Origen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5C57F31A" w14:textId="77777777" w:rsidR="009C1D96" w:rsidRPr="009C1D96" w:rsidRDefault="009C1D96" w:rsidP="0088144A">
            <w:pPr>
              <w:jc w:val="center"/>
              <w:rPr>
                <w:rFonts w:ascii="Arial" w:hAnsi="Arial" w:cs="Arial"/>
                <w:b/>
                <w:bCs/>
                <w:color w:val="000000"/>
              </w:rPr>
            </w:pPr>
            <w:r w:rsidRPr="009C1D96">
              <w:rPr>
                <w:rFonts w:ascii="Arial" w:hAnsi="Arial" w:cs="Arial"/>
                <w:b/>
                <w:bCs/>
                <w:color w:val="000000"/>
              </w:rPr>
              <w:t>Estado de situación</w:t>
            </w:r>
          </w:p>
          <w:p w14:paraId="35161CEA" w14:textId="77777777" w:rsidR="009C1D96" w:rsidRPr="009C1D96" w:rsidRDefault="009C1D96" w:rsidP="0088144A">
            <w:pPr>
              <w:jc w:val="center"/>
              <w:rPr>
                <w:rFonts w:ascii="Arial" w:hAnsi="Arial" w:cs="Arial"/>
              </w:rPr>
            </w:pPr>
          </w:p>
        </w:tc>
      </w:tr>
      <w:tr w:rsidR="009C1D96" w:rsidRPr="009C1D96" w14:paraId="573EB3AE" w14:textId="77777777" w:rsidTr="0088144A">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B4B4C2B" w14:textId="77777777" w:rsidR="009C1D96" w:rsidRPr="009C1D96" w:rsidRDefault="009C1D96" w:rsidP="0088144A">
            <w:pPr>
              <w:rPr>
                <w:rFonts w:ascii="Arial" w:hAnsi="Arial" w:cs="Arial"/>
                <w:b/>
                <w:bCs/>
                <w:color w:val="000000"/>
              </w:rPr>
            </w:pPr>
            <w:r w:rsidRPr="009C1D96">
              <w:rPr>
                <w:rFonts w:ascii="Arial" w:hAnsi="Arial" w:cs="Arial"/>
                <w:b/>
                <w:bCs/>
                <w:color w:val="000000"/>
              </w:rPr>
              <w:t>1. Novedades y avances registrados en la adopción de las Normas Internaciones de Información</w:t>
            </w:r>
          </w:p>
          <w:p w14:paraId="12B60044" w14:textId="77777777" w:rsidR="009C1D96" w:rsidRPr="009C1D96" w:rsidRDefault="009C1D96" w:rsidP="0088144A">
            <w:pPr>
              <w:rPr>
                <w:rFonts w:ascii="Arial" w:hAnsi="Arial" w:cs="Arial"/>
                <w:b/>
                <w:bCs/>
                <w:color w:val="000000"/>
              </w:rPr>
            </w:pPr>
            <w:r w:rsidRPr="009C1D96">
              <w:rPr>
                <w:rFonts w:ascii="Arial" w:hAnsi="Arial" w:cs="Arial"/>
                <w:b/>
                <w:bCs/>
                <w:color w:val="000000"/>
              </w:rPr>
              <w:t>Financiera (NIIF).</w:t>
            </w:r>
          </w:p>
          <w:p w14:paraId="6B34E0BB" w14:textId="77777777" w:rsidR="009C1D96" w:rsidRPr="009C1D96" w:rsidRDefault="009C1D96" w:rsidP="0088144A">
            <w:pPr>
              <w:rPr>
                <w:rFonts w:ascii="Arial" w:hAnsi="Arial" w:cs="Arial"/>
                <w:b/>
                <w:bCs/>
                <w:color w:val="00000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69E5054" w14:textId="77777777" w:rsidR="009C1D96" w:rsidRPr="009C1D96" w:rsidRDefault="009C1D96" w:rsidP="0088144A">
            <w:pPr>
              <w:rPr>
                <w:rFonts w:ascii="Arial" w:hAnsi="Arial" w:cs="Arial"/>
                <w:color w:val="000000"/>
              </w:rPr>
            </w:pPr>
            <w:r w:rsidRPr="009C1D96">
              <w:rPr>
                <w:rFonts w:ascii="Arial" w:hAnsi="Arial" w:cs="Arial"/>
                <w:color w:val="000000"/>
              </w:rPr>
              <w:t>Comentarios y análisis de los avances registrados en la adopción de las IFRS por los integrantes</w:t>
            </w:r>
          </w:p>
          <w:p w14:paraId="627CA405" w14:textId="77777777" w:rsidR="009C1D96" w:rsidRPr="009C1D96" w:rsidRDefault="009C1D96" w:rsidP="0088144A">
            <w:pPr>
              <w:rPr>
                <w:rFonts w:ascii="Arial" w:hAnsi="Arial" w:cs="Arial"/>
                <w:color w:val="000000"/>
              </w:rPr>
            </w:pPr>
            <w:r w:rsidRPr="009C1D96">
              <w:rPr>
                <w:rFonts w:ascii="Arial" w:hAnsi="Arial" w:cs="Arial"/>
                <w:color w:val="000000"/>
              </w:rPr>
              <w:t>de la Subcomisión</w:t>
            </w:r>
          </w:p>
          <w:p w14:paraId="62AD372B" w14:textId="77777777" w:rsidR="009C1D96" w:rsidRPr="009C1D96" w:rsidRDefault="009C1D96" w:rsidP="0088144A">
            <w:pPr>
              <w:rPr>
                <w:rFonts w:ascii="Arial" w:hAnsi="Arial" w:cs="Arial"/>
                <w:b/>
                <w:bCs/>
                <w:color w:val="000000"/>
              </w:rPr>
            </w:pPr>
          </w:p>
          <w:p w14:paraId="2A2A6748" w14:textId="77777777" w:rsidR="009C1D96" w:rsidRPr="009C1D96" w:rsidRDefault="009C1D96" w:rsidP="0088144A">
            <w:pPr>
              <w:rPr>
                <w:rFonts w:ascii="Arial" w:hAnsi="Arial" w:cs="Arial"/>
                <w:b/>
                <w:bCs/>
                <w:color w:val="000000"/>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37C8F5E5" w14:textId="77777777" w:rsidR="009C1D96" w:rsidRPr="009C1D96" w:rsidRDefault="009C1D96" w:rsidP="0088144A">
            <w:pPr>
              <w:rPr>
                <w:rFonts w:ascii="Arial" w:hAnsi="Arial" w:cs="Arial"/>
                <w:color w:val="000000"/>
              </w:rPr>
            </w:pPr>
            <w:r w:rsidRPr="009C1D96">
              <w:rPr>
                <w:rFonts w:ascii="Arial" w:hAnsi="Arial" w:cs="Arial"/>
                <w:color w:val="000000"/>
              </w:rPr>
              <w:t>Permanente</w:t>
            </w:r>
          </w:p>
          <w:p w14:paraId="338E29A2" w14:textId="77777777" w:rsidR="009C1D96" w:rsidRPr="009C1D96" w:rsidRDefault="009C1D96" w:rsidP="0088144A">
            <w:pPr>
              <w:rPr>
                <w:rFonts w:ascii="Arial" w:hAnsi="Arial" w:cs="Arial"/>
                <w:b/>
                <w:bCs/>
                <w:color w:val="000000"/>
              </w:rPr>
            </w:pPr>
            <w:r w:rsidRPr="009C1D96">
              <w:rPr>
                <w:rFonts w:ascii="Arial" w:hAnsi="Arial" w:cs="Arial"/>
                <w:color w:val="000000"/>
              </w:rPr>
              <w:t>D- Seguimiento</w:t>
            </w:r>
          </w:p>
          <w:p w14:paraId="6FE004B7" w14:textId="77777777" w:rsidR="009C1D96" w:rsidRPr="009C1D96" w:rsidRDefault="009C1D96" w:rsidP="0088144A">
            <w:pPr>
              <w:rPr>
                <w:rFonts w:ascii="Arial" w:hAnsi="Arial" w:cs="Arial"/>
                <w:b/>
                <w:bCs/>
                <w:color w:val="00000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021CAA8" w14:textId="77777777" w:rsidR="009C1D96" w:rsidRPr="009C1D96" w:rsidRDefault="009C1D96" w:rsidP="0088144A">
            <w:pPr>
              <w:rPr>
                <w:rFonts w:ascii="Arial" w:hAnsi="Arial" w:cs="Arial"/>
                <w:b/>
                <w:bCs/>
                <w:color w:val="000000"/>
              </w:rPr>
            </w:pPr>
            <w:r w:rsidRPr="009C1D96">
              <w:rPr>
                <w:rFonts w:ascii="Arial" w:hAnsi="Arial" w:cs="Arial"/>
                <w:color w:val="000000"/>
              </w:rPr>
              <w:t>SGT N° 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B685158" w14:textId="77777777" w:rsidR="009C1D96" w:rsidRPr="009C1D96" w:rsidRDefault="009C1D96" w:rsidP="0088144A">
            <w:pPr>
              <w:rPr>
                <w:rFonts w:ascii="Arial" w:hAnsi="Arial" w:cs="Arial"/>
                <w:b/>
                <w:bCs/>
                <w:color w:val="000000"/>
              </w:rPr>
            </w:pPr>
            <w:r w:rsidRPr="009C1D96">
              <w:rPr>
                <w:rFonts w:ascii="Arial" w:hAnsi="Arial" w:cs="Arial"/>
                <w:b/>
                <w:bCs/>
                <w:color w:val="000000"/>
              </w:rPr>
              <w:t>Realizado</w:t>
            </w:r>
            <w:r w:rsidRPr="009C1D96">
              <w:rPr>
                <w:rFonts w:ascii="Arial" w:hAnsi="Arial" w:cs="Arial"/>
                <w:color w:val="000000"/>
              </w:rPr>
              <w:t>: Se verificaron avances significativos en la convergencia a NIIF.</w:t>
            </w:r>
          </w:p>
          <w:p w14:paraId="5C056D4B" w14:textId="77777777" w:rsidR="009C1D96" w:rsidRPr="009C1D96" w:rsidRDefault="009C1D96" w:rsidP="0088144A">
            <w:pPr>
              <w:rPr>
                <w:rFonts w:ascii="Arial" w:hAnsi="Arial" w:cs="Arial"/>
                <w:b/>
                <w:bCs/>
                <w:color w:val="000000"/>
              </w:rPr>
            </w:pPr>
          </w:p>
        </w:tc>
      </w:tr>
      <w:tr w:rsidR="009C1D96" w:rsidRPr="009C1D96" w14:paraId="4731F606" w14:textId="77777777" w:rsidTr="0088144A">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B800775" w14:textId="77777777" w:rsidR="009C1D96" w:rsidRPr="009C1D96" w:rsidRDefault="009C1D96" w:rsidP="0088144A">
            <w:pPr>
              <w:rPr>
                <w:rFonts w:ascii="Arial" w:hAnsi="Arial" w:cs="Arial"/>
              </w:rPr>
            </w:pPr>
            <w:r w:rsidRPr="009C1D96">
              <w:rPr>
                <w:rFonts w:ascii="Arial" w:hAnsi="Arial" w:cs="Arial"/>
                <w:b/>
                <w:bCs/>
                <w:color w:val="000000"/>
              </w:rPr>
              <w:t>2. R</w:t>
            </w:r>
            <w:r w:rsidRPr="009C1D96">
              <w:rPr>
                <w:rFonts w:ascii="Arial" w:hAnsi="Arial" w:cs="Arial"/>
                <w:b/>
                <w:bCs/>
              </w:rPr>
              <w:t>eingeniería de los Regímenes Informativos</w:t>
            </w:r>
            <w:r w:rsidRPr="009C1D96">
              <w:rPr>
                <w:rFonts w:ascii="Arial" w:hAnsi="Arial" w:cs="Arial"/>
                <w:b/>
                <w:bCs/>
                <w:color w:val="000000"/>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9AAE6E7" w14:textId="77777777" w:rsidR="009C1D96" w:rsidRPr="009C1D96" w:rsidRDefault="009C1D96" w:rsidP="0088144A">
            <w:pPr>
              <w:rPr>
                <w:rFonts w:ascii="Arial" w:hAnsi="Arial" w:cs="Arial"/>
              </w:rPr>
            </w:pPr>
            <w:r w:rsidRPr="009C1D96">
              <w:rPr>
                <w:rFonts w:ascii="Arial" w:hAnsi="Arial" w:cs="Arial"/>
              </w:rPr>
              <w:t>Comentarios y</w:t>
            </w:r>
          </w:p>
          <w:p w14:paraId="4C68E5C3" w14:textId="77777777" w:rsidR="009C1D96" w:rsidRPr="009C1D96" w:rsidRDefault="009C1D96" w:rsidP="0088144A">
            <w:pPr>
              <w:rPr>
                <w:rFonts w:ascii="Arial" w:hAnsi="Arial" w:cs="Arial"/>
                <w:color w:val="000000"/>
              </w:rPr>
            </w:pPr>
            <w:r w:rsidRPr="009C1D96">
              <w:rPr>
                <w:rFonts w:ascii="Arial" w:hAnsi="Arial" w:cs="Arial"/>
              </w:rPr>
              <w:t xml:space="preserve">análisis de la situación de cada país participante en materia de definición de </w:t>
            </w:r>
            <w:r w:rsidRPr="009C1D96">
              <w:rPr>
                <w:rFonts w:ascii="Arial" w:hAnsi="Arial" w:cs="Arial"/>
              </w:rPr>
              <w:lastRenderedPageBreak/>
              <w:t>requerimientos de información</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6F434C5E" w14:textId="77777777" w:rsidR="009C1D96" w:rsidRPr="009C1D96" w:rsidRDefault="009C1D96" w:rsidP="0088144A">
            <w:pPr>
              <w:rPr>
                <w:rFonts w:ascii="Arial" w:hAnsi="Arial" w:cs="Arial"/>
                <w:color w:val="000000"/>
              </w:rPr>
            </w:pPr>
            <w:r w:rsidRPr="009C1D96">
              <w:rPr>
                <w:rFonts w:ascii="Arial" w:hAnsi="Arial" w:cs="Arial"/>
                <w:color w:val="000000"/>
              </w:rPr>
              <w:lastRenderedPageBreak/>
              <w:t>Permanente</w:t>
            </w:r>
          </w:p>
          <w:p w14:paraId="03D5ACE3" w14:textId="77777777" w:rsidR="009C1D96" w:rsidRPr="009C1D96" w:rsidRDefault="009C1D96" w:rsidP="0088144A">
            <w:pPr>
              <w:rPr>
                <w:rFonts w:ascii="Arial" w:hAnsi="Arial" w:cs="Arial"/>
                <w:b/>
                <w:bCs/>
                <w:color w:val="000000"/>
              </w:rPr>
            </w:pPr>
            <w:r w:rsidRPr="009C1D96">
              <w:rPr>
                <w:rFonts w:ascii="Arial" w:hAnsi="Arial" w:cs="Arial"/>
                <w:color w:val="000000"/>
              </w:rPr>
              <w:t>D- Seguimiento</w:t>
            </w:r>
          </w:p>
          <w:p w14:paraId="375621CF" w14:textId="77777777" w:rsidR="009C1D96" w:rsidRPr="009C1D96" w:rsidRDefault="009C1D96" w:rsidP="0088144A">
            <w:pPr>
              <w:rPr>
                <w:rFonts w:ascii="Arial" w:hAnsi="Arial" w:cs="Arial"/>
                <w:b/>
                <w:bCs/>
                <w:color w:val="00000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E5BD584" w14:textId="77777777" w:rsidR="009C1D96" w:rsidRPr="009C1D96" w:rsidRDefault="009C1D96" w:rsidP="0088144A">
            <w:pPr>
              <w:rPr>
                <w:rFonts w:ascii="Arial" w:hAnsi="Arial" w:cs="Arial"/>
                <w:b/>
                <w:bCs/>
                <w:color w:val="000000"/>
              </w:rPr>
            </w:pPr>
            <w:r w:rsidRPr="009C1D96">
              <w:rPr>
                <w:rFonts w:ascii="Arial" w:hAnsi="Arial" w:cs="Arial"/>
                <w:color w:val="000000"/>
              </w:rPr>
              <w:t>SGT N° 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41B288F" w14:textId="77777777" w:rsidR="009C1D96" w:rsidRPr="009C1D96" w:rsidRDefault="009C1D96" w:rsidP="0088144A">
            <w:pPr>
              <w:rPr>
                <w:rFonts w:ascii="Arial" w:hAnsi="Arial" w:cs="Arial"/>
                <w:b/>
                <w:bCs/>
                <w:color w:val="000000"/>
              </w:rPr>
            </w:pPr>
            <w:r w:rsidRPr="009C1D96">
              <w:rPr>
                <w:rFonts w:ascii="Arial" w:hAnsi="Arial" w:cs="Arial"/>
                <w:b/>
                <w:bCs/>
                <w:color w:val="000000"/>
              </w:rPr>
              <w:t>Realizado</w:t>
            </w:r>
            <w:r w:rsidRPr="009C1D96">
              <w:rPr>
                <w:rFonts w:ascii="Arial" w:hAnsi="Arial" w:cs="Arial"/>
                <w:color w:val="000000"/>
              </w:rPr>
              <w:t xml:space="preserve">: Se verificaron avances significativos en la reingeniería de los </w:t>
            </w:r>
            <w:r w:rsidRPr="009C1D96">
              <w:rPr>
                <w:rFonts w:ascii="Arial" w:hAnsi="Arial" w:cs="Arial"/>
                <w:color w:val="000000"/>
              </w:rPr>
              <w:lastRenderedPageBreak/>
              <w:t>regímenes informativos.</w:t>
            </w:r>
          </w:p>
          <w:p w14:paraId="40EFB650" w14:textId="77777777" w:rsidR="009C1D96" w:rsidRPr="009C1D96" w:rsidRDefault="009C1D96" w:rsidP="0088144A">
            <w:pPr>
              <w:rPr>
                <w:rFonts w:ascii="Arial" w:hAnsi="Arial" w:cs="Arial"/>
                <w:b/>
                <w:bCs/>
                <w:color w:val="000000"/>
              </w:rPr>
            </w:pPr>
          </w:p>
        </w:tc>
      </w:tr>
      <w:tr w:rsidR="009C1D96" w:rsidRPr="009C1D96" w14:paraId="5865F0EA" w14:textId="77777777" w:rsidTr="0088144A">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2B831A6" w14:textId="77777777" w:rsidR="009C1D96" w:rsidRPr="009C1D96" w:rsidRDefault="009C1D96" w:rsidP="0088144A">
            <w:pPr>
              <w:rPr>
                <w:rFonts w:ascii="Arial" w:hAnsi="Arial" w:cs="Arial"/>
              </w:rPr>
            </w:pPr>
            <w:r w:rsidRPr="009C1D96">
              <w:rPr>
                <w:rFonts w:ascii="Arial" w:hAnsi="Arial" w:cs="Arial"/>
                <w:b/>
                <w:bCs/>
                <w:color w:val="000000"/>
              </w:rPr>
              <w:lastRenderedPageBreak/>
              <w:t>3. Modelos de Estados Financieros basados en NIIF</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F55959B" w14:textId="77777777" w:rsidR="009C1D96" w:rsidRPr="009C1D96" w:rsidRDefault="009C1D96" w:rsidP="0088144A">
            <w:pPr>
              <w:rPr>
                <w:rFonts w:ascii="Arial" w:hAnsi="Arial" w:cs="Arial"/>
              </w:rPr>
            </w:pPr>
            <w:r w:rsidRPr="009C1D96">
              <w:rPr>
                <w:rFonts w:ascii="Arial" w:hAnsi="Arial" w:cs="Arial"/>
              </w:rPr>
              <w:t>Comentarios y</w:t>
            </w:r>
          </w:p>
          <w:p w14:paraId="21592F28" w14:textId="77777777" w:rsidR="009C1D96" w:rsidRPr="009C1D96" w:rsidRDefault="009C1D96" w:rsidP="0088144A">
            <w:pPr>
              <w:rPr>
                <w:rFonts w:ascii="Arial" w:hAnsi="Arial" w:cs="Arial"/>
                <w:color w:val="000000"/>
              </w:rPr>
            </w:pPr>
            <w:r w:rsidRPr="009C1D96">
              <w:rPr>
                <w:rFonts w:ascii="Arial" w:hAnsi="Arial" w:cs="Arial"/>
              </w:rPr>
              <w:t>análisis de los avances registrados en la elaboración de Estados Financieros para Publicación y Supervisión</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7572CED2" w14:textId="77777777" w:rsidR="009C1D96" w:rsidRPr="009C1D96" w:rsidRDefault="009C1D96" w:rsidP="0088144A">
            <w:pPr>
              <w:rPr>
                <w:rFonts w:ascii="Arial" w:hAnsi="Arial" w:cs="Arial"/>
                <w:color w:val="000000"/>
              </w:rPr>
            </w:pPr>
            <w:r w:rsidRPr="009C1D96">
              <w:rPr>
                <w:rFonts w:ascii="Arial" w:hAnsi="Arial" w:cs="Arial"/>
                <w:color w:val="000000"/>
              </w:rPr>
              <w:t>Permanente</w:t>
            </w:r>
          </w:p>
          <w:p w14:paraId="50753E75" w14:textId="77777777" w:rsidR="009C1D96" w:rsidRPr="009C1D96" w:rsidRDefault="009C1D96" w:rsidP="0088144A">
            <w:pPr>
              <w:rPr>
                <w:rFonts w:ascii="Arial" w:hAnsi="Arial" w:cs="Arial"/>
                <w:b/>
                <w:bCs/>
                <w:color w:val="000000"/>
              </w:rPr>
            </w:pPr>
            <w:r w:rsidRPr="009C1D96">
              <w:rPr>
                <w:rFonts w:ascii="Arial" w:hAnsi="Arial" w:cs="Arial"/>
                <w:color w:val="000000"/>
              </w:rPr>
              <w:t>D- Seguimiento</w:t>
            </w:r>
          </w:p>
          <w:p w14:paraId="3CE9E532" w14:textId="77777777" w:rsidR="009C1D96" w:rsidRPr="009C1D96" w:rsidRDefault="009C1D96" w:rsidP="0088144A">
            <w:pPr>
              <w:rPr>
                <w:rFonts w:ascii="Arial" w:hAnsi="Arial" w:cs="Arial"/>
                <w:b/>
                <w:bCs/>
                <w:color w:val="00000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40A8F12" w14:textId="77777777" w:rsidR="009C1D96" w:rsidRPr="009C1D96" w:rsidRDefault="009C1D96" w:rsidP="0088144A">
            <w:pPr>
              <w:rPr>
                <w:rFonts w:ascii="Arial" w:hAnsi="Arial" w:cs="Arial"/>
                <w:b/>
                <w:bCs/>
                <w:color w:val="000000"/>
              </w:rPr>
            </w:pPr>
            <w:r w:rsidRPr="009C1D96">
              <w:rPr>
                <w:rFonts w:ascii="Arial" w:hAnsi="Arial" w:cs="Arial"/>
                <w:color w:val="000000"/>
              </w:rPr>
              <w:t>SGT N° 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541F928F" w14:textId="77777777" w:rsidR="009C1D96" w:rsidRPr="009C1D96" w:rsidRDefault="009C1D96" w:rsidP="0088144A">
            <w:pPr>
              <w:rPr>
                <w:rFonts w:ascii="Arial" w:hAnsi="Arial" w:cs="Arial"/>
                <w:b/>
                <w:bCs/>
                <w:color w:val="000000"/>
              </w:rPr>
            </w:pPr>
            <w:r w:rsidRPr="009C1D96">
              <w:rPr>
                <w:rFonts w:ascii="Arial" w:hAnsi="Arial" w:cs="Arial"/>
                <w:b/>
                <w:bCs/>
                <w:color w:val="000000"/>
              </w:rPr>
              <w:t>Realizado</w:t>
            </w:r>
            <w:r w:rsidRPr="009C1D96">
              <w:rPr>
                <w:rFonts w:ascii="Arial" w:hAnsi="Arial" w:cs="Arial"/>
                <w:color w:val="000000"/>
              </w:rPr>
              <w:t>: Se verificaron avances significativos en la confección de modelos de estados financieros basados en NIIF.</w:t>
            </w:r>
          </w:p>
          <w:p w14:paraId="5A465CE0" w14:textId="77777777" w:rsidR="009C1D96" w:rsidRPr="009C1D96" w:rsidRDefault="009C1D96" w:rsidP="0088144A">
            <w:pPr>
              <w:rPr>
                <w:rFonts w:ascii="Arial" w:hAnsi="Arial" w:cs="Arial"/>
                <w:b/>
                <w:bCs/>
                <w:color w:val="000000"/>
              </w:rPr>
            </w:pPr>
          </w:p>
        </w:tc>
      </w:tr>
      <w:tr w:rsidR="009C1D96" w:rsidRPr="009C1D96" w14:paraId="65EA6F79" w14:textId="77777777" w:rsidTr="0088144A">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9D81E4B" w14:textId="77777777" w:rsidR="009C1D96" w:rsidRPr="009C1D96" w:rsidRDefault="009C1D96" w:rsidP="0088144A">
            <w:pPr>
              <w:rPr>
                <w:rFonts w:ascii="Arial" w:hAnsi="Arial" w:cs="Arial"/>
                <w:b/>
                <w:bCs/>
                <w:color w:val="000000"/>
              </w:rPr>
            </w:pPr>
            <w:r w:rsidRPr="009C1D96">
              <w:rPr>
                <w:rFonts w:ascii="Arial" w:hAnsi="Arial" w:cs="Arial"/>
                <w:b/>
                <w:bCs/>
                <w:color w:val="000000"/>
              </w:rPr>
              <w:t>4. Transparencia y Consumidor Bancario.</w:t>
            </w:r>
          </w:p>
          <w:p w14:paraId="530F028E" w14:textId="77777777" w:rsidR="009C1D96" w:rsidRPr="009C1D96" w:rsidRDefault="009C1D96" w:rsidP="0088144A">
            <w:pPr>
              <w:rPr>
                <w:rFonts w:ascii="Arial" w:hAnsi="Arial" w:cs="Arial"/>
                <w:b/>
                <w:bCs/>
                <w:color w:val="00000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902489A" w14:textId="3AC35C40" w:rsidR="009C1D96" w:rsidRPr="009C1D96" w:rsidRDefault="009C1D96" w:rsidP="0088144A">
            <w:pPr>
              <w:rPr>
                <w:rFonts w:ascii="Arial" w:hAnsi="Arial" w:cs="Arial"/>
                <w:b/>
                <w:bCs/>
                <w:color w:val="000000"/>
              </w:rPr>
            </w:pPr>
            <w:r w:rsidRPr="009C1D96">
              <w:rPr>
                <w:rFonts w:ascii="Arial" w:hAnsi="Arial" w:cs="Arial"/>
                <w:color w:val="000000"/>
              </w:rPr>
              <w:t>Actualización de las</w:t>
            </w:r>
            <w:r>
              <w:rPr>
                <w:rFonts w:ascii="Arial" w:hAnsi="Arial" w:cs="Arial"/>
                <w:color w:val="000000"/>
              </w:rPr>
              <w:t xml:space="preserve"> </w:t>
            </w:r>
            <w:r w:rsidRPr="009C1D96">
              <w:rPr>
                <w:rFonts w:ascii="Arial" w:hAnsi="Arial" w:cs="Arial"/>
                <w:color w:val="000000"/>
              </w:rPr>
              <w:t>informaciones que se</w:t>
            </w:r>
            <w:r>
              <w:rPr>
                <w:rFonts w:ascii="Arial" w:hAnsi="Arial" w:cs="Arial"/>
                <w:color w:val="000000"/>
              </w:rPr>
              <w:t xml:space="preserve"> </w:t>
            </w:r>
            <w:r w:rsidRPr="009C1D96">
              <w:rPr>
                <w:rFonts w:ascii="Arial" w:hAnsi="Arial" w:cs="Arial"/>
                <w:color w:val="000000"/>
              </w:rPr>
              <w:t>brindan al consumidor</w:t>
            </w:r>
            <w:r>
              <w:rPr>
                <w:rFonts w:ascii="Arial" w:hAnsi="Arial" w:cs="Arial"/>
                <w:color w:val="000000"/>
              </w:rPr>
              <w:t xml:space="preserve"> </w:t>
            </w:r>
            <w:r w:rsidRPr="009C1D96">
              <w:rPr>
                <w:rFonts w:ascii="Arial" w:hAnsi="Arial" w:cs="Arial"/>
                <w:color w:val="000000"/>
              </w:rPr>
              <w:t>bancario; así como de otras actividades relacionadas.</w:t>
            </w:r>
          </w:p>
          <w:p w14:paraId="07A7F6D8" w14:textId="77777777" w:rsidR="009C1D96" w:rsidRPr="009C1D96" w:rsidRDefault="009C1D96" w:rsidP="0088144A">
            <w:pPr>
              <w:rPr>
                <w:rFonts w:ascii="Arial" w:hAnsi="Arial" w:cs="Arial"/>
                <w:b/>
                <w:bCs/>
                <w:color w:val="000000"/>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51B5671A" w14:textId="77777777" w:rsidR="009C1D96" w:rsidRPr="009C1D96" w:rsidRDefault="009C1D96" w:rsidP="0088144A">
            <w:pPr>
              <w:rPr>
                <w:rFonts w:ascii="Arial" w:hAnsi="Arial" w:cs="Arial"/>
                <w:color w:val="000000"/>
              </w:rPr>
            </w:pPr>
            <w:r w:rsidRPr="009C1D96">
              <w:rPr>
                <w:rFonts w:ascii="Arial" w:hAnsi="Arial" w:cs="Arial"/>
                <w:color w:val="000000"/>
              </w:rPr>
              <w:t>Permanente</w:t>
            </w:r>
          </w:p>
          <w:p w14:paraId="374137D9" w14:textId="77777777" w:rsidR="009C1D96" w:rsidRPr="009C1D96" w:rsidRDefault="009C1D96" w:rsidP="0088144A">
            <w:pPr>
              <w:rPr>
                <w:rFonts w:ascii="Arial" w:hAnsi="Arial" w:cs="Arial"/>
                <w:b/>
                <w:bCs/>
                <w:color w:val="000000"/>
              </w:rPr>
            </w:pPr>
            <w:r w:rsidRPr="009C1D96">
              <w:rPr>
                <w:rFonts w:ascii="Arial" w:hAnsi="Arial" w:cs="Arial"/>
                <w:color w:val="000000"/>
              </w:rPr>
              <w:t>D- Seguimiento</w:t>
            </w:r>
          </w:p>
          <w:p w14:paraId="5C084CC8" w14:textId="77777777" w:rsidR="009C1D96" w:rsidRPr="009C1D96" w:rsidRDefault="009C1D96" w:rsidP="0088144A">
            <w:pPr>
              <w:rPr>
                <w:rFonts w:ascii="Arial" w:hAnsi="Arial" w:cs="Arial"/>
                <w:b/>
                <w:bCs/>
                <w:color w:val="00000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5768366" w14:textId="77777777" w:rsidR="009C1D96" w:rsidRPr="009C1D96" w:rsidRDefault="009C1D96" w:rsidP="0088144A">
            <w:pPr>
              <w:rPr>
                <w:rFonts w:ascii="Arial" w:hAnsi="Arial" w:cs="Arial"/>
                <w:b/>
                <w:bCs/>
              </w:rPr>
            </w:pPr>
            <w:r w:rsidRPr="009C1D96">
              <w:rPr>
                <w:rFonts w:ascii="Arial" w:hAnsi="Arial" w:cs="Arial"/>
                <w:color w:val="000000"/>
              </w:rPr>
              <w:t>SGT N° 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D245555" w14:textId="564DADC4" w:rsidR="009C1D96" w:rsidRPr="009C1D96" w:rsidRDefault="009C1D96" w:rsidP="009C1D96">
            <w:pPr>
              <w:rPr>
                <w:rFonts w:ascii="Arial" w:hAnsi="Arial" w:cs="Arial"/>
                <w:b/>
                <w:bCs/>
                <w:color w:val="000000"/>
              </w:rPr>
            </w:pPr>
            <w:r w:rsidRPr="009C1D96">
              <w:rPr>
                <w:rFonts w:ascii="Arial" w:hAnsi="Arial" w:cs="Arial"/>
                <w:b/>
                <w:bCs/>
              </w:rPr>
              <w:t xml:space="preserve">Realizado: </w:t>
            </w:r>
            <w:r w:rsidRPr="009C1D96">
              <w:rPr>
                <w:rFonts w:ascii="Arial" w:hAnsi="Arial" w:cs="Arial"/>
              </w:rPr>
              <w:t>Análisis</w:t>
            </w:r>
            <w:r>
              <w:rPr>
                <w:rFonts w:ascii="Arial" w:hAnsi="Arial" w:cs="Arial"/>
              </w:rPr>
              <w:t xml:space="preserve"> </w:t>
            </w:r>
            <w:r w:rsidRPr="009C1D96">
              <w:rPr>
                <w:rFonts w:ascii="Arial" w:hAnsi="Arial" w:cs="Arial"/>
              </w:rPr>
              <w:t>continuo, con la</w:t>
            </w:r>
            <w:r>
              <w:rPr>
                <w:rFonts w:ascii="Arial" w:hAnsi="Arial" w:cs="Arial"/>
              </w:rPr>
              <w:t xml:space="preserve"> </w:t>
            </w:r>
            <w:r w:rsidRPr="009C1D96">
              <w:rPr>
                <w:rFonts w:ascii="Arial" w:hAnsi="Arial" w:cs="Arial"/>
              </w:rPr>
              <w:t>presentación de los</w:t>
            </w:r>
            <w:r>
              <w:rPr>
                <w:rFonts w:ascii="Arial" w:hAnsi="Arial" w:cs="Arial"/>
              </w:rPr>
              <w:t xml:space="preserve"> </w:t>
            </w:r>
            <w:r w:rsidRPr="009C1D96">
              <w:rPr>
                <w:rFonts w:ascii="Arial" w:hAnsi="Arial" w:cs="Arial"/>
              </w:rPr>
              <w:t>avances registrados en cada uno de los países miembros.</w:t>
            </w:r>
          </w:p>
        </w:tc>
      </w:tr>
      <w:tr w:rsidR="009C1D96" w:rsidRPr="009C1D96" w14:paraId="23B82955" w14:textId="77777777" w:rsidTr="0088144A">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DC36DBD" w14:textId="77777777" w:rsidR="009C1D96" w:rsidRPr="009C1D96" w:rsidRDefault="009C1D96" w:rsidP="0088144A">
            <w:pPr>
              <w:rPr>
                <w:rFonts w:ascii="Arial" w:hAnsi="Arial" w:cs="Arial"/>
                <w:b/>
                <w:bCs/>
                <w:color w:val="000000"/>
              </w:rPr>
            </w:pPr>
            <w:r w:rsidRPr="009C1D96">
              <w:rPr>
                <w:rFonts w:ascii="Arial" w:hAnsi="Arial" w:cs="Arial"/>
                <w:b/>
                <w:bCs/>
                <w:color w:val="000000"/>
              </w:rPr>
              <w:t>5. Basilea – Pilar III –</w:t>
            </w:r>
          </w:p>
          <w:p w14:paraId="7D55E45E" w14:textId="77777777" w:rsidR="009C1D96" w:rsidRPr="009C1D96" w:rsidRDefault="009C1D96" w:rsidP="0088144A">
            <w:pPr>
              <w:rPr>
                <w:rFonts w:ascii="Arial" w:hAnsi="Arial" w:cs="Arial"/>
                <w:b/>
                <w:bCs/>
                <w:color w:val="000000"/>
              </w:rPr>
            </w:pPr>
            <w:r w:rsidRPr="009C1D96">
              <w:rPr>
                <w:rFonts w:ascii="Arial" w:hAnsi="Arial" w:cs="Arial"/>
                <w:b/>
                <w:bCs/>
                <w:color w:val="000000"/>
              </w:rPr>
              <w:t>Disciplina de mercado.</w:t>
            </w:r>
          </w:p>
          <w:p w14:paraId="6326DBF6" w14:textId="77777777" w:rsidR="009C1D96" w:rsidRPr="009C1D96" w:rsidRDefault="009C1D96" w:rsidP="0088144A">
            <w:pPr>
              <w:rPr>
                <w:rFonts w:ascii="Arial" w:hAnsi="Arial" w:cs="Arial"/>
                <w:b/>
                <w:bCs/>
                <w:color w:val="00000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50C07467" w14:textId="4801FBE6" w:rsidR="009C1D96" w:rsidRPr="009C1D96" w:rsidRDefault="009C1D96" w:rsidP="0088144A">
            <w:pPr>
              <w:rPr>
                <w:rFonts w:ascii="Arial" w:hAnsi="Arial" w:cs="Arial"/>
                <w:b/>
                <w:bCs/>
                <w:color w:val="000000"/>
              </w:rPr>
            </w:pPr>
            <w:r w:rsidRPr="009C1D96">
              <w:rPr>
                <w:rFonts w:ascii="Arial" w:hAnsi="Arial" w:cs="Arial"/>
                <w:color w:val="000000"/>
              </w:rPr>
              <w:t>Actualización del grado</w:t>
            </w:r>
            <w:r>
              <w:rPr>
                <w:rFonts w:ascii="Arial" w:hAnsi="Arial" w:cs="Arial"/>
                <w:color w:val="000000"/>
              </w:rPr>
              <w:t xml:space="preserve"> </w:t>
            </w:r>
            <w:r w:rsidRPr="009C1D96">
              <w:rPr>
                <w:rFonts w:ascii="Arial" w:hAnsi="Arial" w:cs="Arial"/>
                <w:color w:val="000000"/>
              </w:rPr>
              <w:t>de avance en la materia y vínculo con las reglas prudenciales vigentes en cada país.</w:t>
            </w:r>
          </w:p>
          <w:p w14:paraId="023E6252" w14:textId="77777777" w:rsidR="009C1D96" w:rsidRPr="009C1D96" w:rsidRDefault="009C1D96" w:rsidP="0088144A">
            <w:pPr>
              <w:rPr>
                <w:rFonts w:ascii="Arial" w:hAnsi="Arial" w:cs="Arial"/>
                <w:b/>
                <w:bCs/>
                <w:color w:val="000000"/>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2E4EA188" w14:textId="77777777" w:rsidR="009C1D96" w:rsidRPr="009C1D96" w:rsidRDefault="009C1D96" w:rsidP="0088144A">
            <w:pPr>
              <w:rPr>
                <w:rFonts w:ascii="Arial" w:hAnsi="Arial" w:cs="Arial"/>
                <w:color w:val="000000"/>
              </w:rPr>
            </w:pPr>
            <w:r w:rsidRPr="009C1D96">
              <w:rPr>
                <w:rFonts w:ascii="Arial" w:hAnsi="Arial" w:cs="Arial"/>
                <w:color w:val="000000"/>
              </w:rPr>
              <w:t>Permanente</w:t>
            </w:r>
          </w:p>
          <w:p w14:paraId="1997ABAA" w14:textId="77777777" w:rsidR="009C1D96" w:rsidRPr="009C1D96" w:rsidRDefault="009C1D96" w:rsidP="0088144A">
            <w:pPr>
              <w:rPr>
                <w:rFonts w:ascii="Arial" w:hAnsi="Arial" w:cs="Arial"/>
                <w:b/>
                <w:bCs/>
                <w:color w:val="000000"/>
              </w:rPr>
            </w:pPr>
            <w:r w:rsidRPr="009C1D96">
              <w:rPr>
                <w:rFonts w:ascii="Arial" w:hAnsi="Arial" w:cs="Arial"/>
                <w:color w:val="000000"/>
              </w:rPr>
              <w:t>D- Seguimiento</w:t>
            </w:r>
          </w:p>
          <w:p w14:paraId="6AA14749" w14:textId="77777777" w:rsidR="009C1D96" w:rsidRPr="009C1D96" w:rsidRDefault="009C1D96" w:rsidP="0088144A">
            <w:pPr>
              <w:rPr>
                <w:rFonts w:ascii="Arial" w:hAnsi="Arial" w:cs="Arial"/>
                <w:b/>
                <w:bCs/>
                <w:color w:val="00000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838B401" w14:textId="77777777" w:rsidR="009C1D96" w:rsidRPr="009C1D96" w:rsidRDefault="009C1D96" w:rsidP="0088144A">
            <w:pPr>
              <w:rPr>
                <w:rFonts w:ascii="Arial" w:hAnsi="Arial" w:cs="Arial"/>
                <w:b/>
                <w:bCs/>
                <w:color w:val="000000"/>
              </w:rPr>
            </w:pPr>
            <w:r w:rsidRPr="009C1D96">
              <w:rPr>
                <w:rFonts w:ascii="Arial" w:hAnsi="Arial" w:cs="Arial"/>
                <w:color w:val="000000"/>
              </w:rPr>
              <w:t>SGT N° 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425E6733" w14:textId="77777777" w:rsidR="009C1D96" w:rsidRPr="009C1D96" w:rsidRDefault="009C1D96" w:rsidP="0088144A">
            <w:pPr>
              <w:rPr>
                <w:rFonts w:ascii="Arial" w:hAnsi="Arial" w:cs="Arial"/>
                <w:b/>
                <w:bCs/>
                <w:color w:val="000000"/>
              </w:rPr>
            </w:pPr>
            <w:r w:rsidRPr="009C1D96">
              <w:rPr>
                <w:rFonts w:ascii="Arial" w:hAnsi="Arial" w:cs="Arial"/>
                <w:b/>
                <w:bCs/>
                <w:color w:val="000000"/>
              </w:rPr>
              <w:t xml:space="preserve">Realizado: </w:t>
            </w:r>
            <w:r w:rsidRPr="009C1D96">
              <w:rPr>
                <w:rFonts w:ascii="Arial" w:hAnsi="Arial" w:cs="Arial"/>
                <w:color w:val="000000"/>
              </w:rPr>
              <w:t>Cada país miembro destacó los esfuerzos para el aumento de la transparencia y disponibilidad de información al mercado</w:t>
            </w:r>
            <w:r w:rsidRPr="009C1D96">
              <w:rPr>
                <w:rFonts w:ascii="Arial" w:hAnsi="Arial" w:cs="Arial"/>
                <w:b/>
                <w:bCs/>
                <w:color w:val="000000"/>
              </w:rPr>
              <w:t>.</w:t>
            </w:r>
          </w:p>
          <w:p w14:paraId="3AA9EB64" w14:textId="77777777" w:rsidR="009C1D96" w:rsidRPr="009C1D96" w:rsidRDefault="009C1D96" w:rsidP="0088144A">
            <w:pPr>
              <w:rPr>
                <w:rFonts w:ascii="Arial" w:hAnsi="Arial" w:cs="Arial"/>
                <w:b/>
                <w:bCs/>
                <w:color w:val="000000"/>
              </w:rPr>
            </w:pPr>
          </w:p>
        </w:tc>
      </w:tr>
      <w:tr w:rsidR="009C1D96" w:rsidRPr="009C1D96" w14:paraId="0400A4DD" w14:textId="77777777" w:rsidTr="0088144A">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356AFE9" w14:textId="029D9DF7" w:rsidR="009C1D96" w:rsidRPr="001C0C68" w:rsidRDefault="009C1D96" w:rsidP="00574D32">
            <w:pPr>
              <w:rPr>
                <w:rFonts w:ascii="Arial" w:hAnsi="Arial" w:cs="Arial"/>
                <w:b/>
                <w:bCs/>
                <w:color w:val="000000"/>
                <w:lang w:val="pt-BR"/>
              </w:rPr>
            </w:pPr>
            <w:r w:rsidRPr="001C0C68">
              <w:rPr>
                <w:rFonts w:ascii="Arial" w:hAnsi="Arial" w:cs="Arial"/>
                <w:b/>
                <w:bCs/>
                <w:color w:val="000000"/>
                <w:lang w:val="pt-BR"/>
              </w:rPr>
              <w:t>6. Normas Relativas a Auditores Externos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FA75D7A" w14:textId="77777777" w:rsidR="009C1D96" w:rsidRPr="009C1D96" w:rsidRDefault="009C1D96" w:rsidP="0088144A">
            <w:pPr>
              <w:rPr>
                <w:rFonts w:ascii="Arial" w:hAnsi="Arial" w:cs="Arial"/>
                <w:b/>
                <w:bCs/>
                <w:color w:val="000000"/>
              </w:rPr>
            </w:pPr>
            <w:r w:rsidRPr="009C1D96">
              <w:rPr>
                <w:rFonts w:ascii="Arial" w:hAnsi="Arial" w:cs="Arial"/>
                <w:color w:val="000000"/>
              </w:rPr>
              <w:t>Actualización de la normativa.</w:t>
            </w:r>
          </w:p>
          <w:p w14:paraId="12B9F760" w14:textId="77777777" w:rsidR="009C1D96" w:rsidRPr="009C1D96" w:rsidRDefault="009C1D96" w:rsidP="0088144A">
            <w:pPr>
              <w:rPr>
                <w:rFonts w:ascii="Arial" w:hAnsi="Arial" w:cs="Arial"/>
                <w:b/>
                <w:bCs/>
                <w:color w:val="000000"/>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0353E07E" w14:textId="77777777" w:rsidR="009C1D96" w:rsidRPr="009C1D96" w:rsidRDefault="009C1D96" w:rsidP="0088144A">
            <w:pPr>
              <w:rPr>
                <w:rFonts w:ascii="Arial" w:hAnsi="Arial" w:cs="Arial"/>
                <w:color w:val="000000"/>
              </w:rPr>
            </w:pPr>
            <w:r w:rsidRPr="009C1D96">
              <w:rPr>
                <w:rFonts w:ascii="Arial" w:hAnsi="Arial" w:cs="Arial"/>
                <w:color w:val="000000"/>
              </w:rPr>
              <w:t>Permanente</w:t>
            </w:r>
          </w:p>
          <w:p w14:paraId="43D7E13E" w14:textId="77777777" w:rsidR="009C1D96" w:rsidRPr="009C1D96" w:rsidRDefault="009C1D96" w:rsidP="0088144A">
            <w:pPr>
              <w:rPr>
                <w:rFonts w:ascii="Arial" w:hAnsi="Arial" w:cs="Arial"/>
                <w:b/>
                <w:bCs/>
                <w:color w:val="000000"/>
              </w:rPr>
            </w:pPr>
            <w:r w:rsidRPr="009C1D96">
              <w:rPr>
                <w:rFonts w:ascii="Arial" w:hAnsi="Arial" w:cs="Arial"/>
                <w:color w:val="000000"/>
              </w:rPr>
              <w:t>D- Seguimiento</w:t>
            </w:r>
          </w:p>
          <w:p w14:paraId="4BE8EC74" w14:textId="77777777" w:rsidR="009C1D96" w:rsidRPr="009C1D96" w:rsidRDefault="009C1D96" w:rsidP="0088144A">
            <w:pPr>
              <w:rPr>
                <w:rFonts w:ascii="Arial" w:hAnsi="Arial" w:cs="Arial"/>
                <w:b/>
                <w:bCs/>
                <w:color w:val="00000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1C40252" w14:textId="77777777" w:rsidR="009C1D96" w:rsidRPr="009C1D96" w:rsidRDefault="009C1D96" w:rsidP="0088144A">
            <w:pPr>
              <w:rPr>
                <w:rFonts w:ascii="Arial" w:hAnsi="Arial" w:cs="Arial"/>
                <w:b/>
                <w:bCs/>
                <w:color w:val="000000"/>
              </w:rPr>
            </w:pPr>
            <w:r w:rsidRPr="009C1D96">
              <w:rPr>
                <w:rFonts w:ascii="Arial" w:hAnsi="Arial" w:cs="Arial"/>
                <w:color w:val="000000"/>
              </w:rPr>
              <w:t>SGT N° 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1799D803" w14:textId="6201C942" w:rsidR="009C1D96" w:rsidRPr="009C1D96" w:rsidRDefault="009C1D96" w:rsidP="009C1D96">
            <w:pPr>
              <w:rPr>
                <w:rFonts w:ascii="Arial" w:hAnsi="Arial" w:cs="Arial"/>
                <w:b/>
                <w:bCs/>
                <w:color w:val="000000"/>
              </w:rPr>
            </w:pPr>
            <w:r w:rsidRPr="009C1D96">
              <w:rPr>
                <w:rFonts w:ascii="Arial" w:hAnsi="Arial" w:cs="Arial"/>
                <w:b/>
                <w:bCs/>
                <w:color w:val="000000"/>
              </w:rPr>
              <w:t xml:space="preserve">Realizado: </w:t>
            </w:r>
            <w:r w:rsidRPr="009C1D96">
              <w:rPr>
                <w:rFonts w:ascii="Arial" w:hAnsi="Arial" w:cs="Arial"/>
                <w:color w:val="000000"/>
              </w:rPr>
              <w:t>Análisis</w:t>
            </w:r>
            <w:r>
              <w:rPr>
                <w:rFonts w:ascii="Arial" w:hAnsi="Arial" w:cs="Arial"/>
                <w:color w:val="000000"/>
              </w:rPr>
              <w:t xml:space="preserve"> </w:t>
            </w:r>
            <w:r w:rsidRPr="009C1D96">
              <w:rPr>
                <w:rFonts w:ascii="Arial" w:hAnsi="Arial" w:cs="Arial"/>
                <w:color w:val="000000"/>
              </w:rPr>
              <w:t>continuo del tema.</w:t>
            </w:r>
          </w:p>
        </w:tc>
      </w:tr>
      <w:tr w:rsidR="009C1D96" w:rsidRPr="009C1D96" w14:paraId="1007E01E" w14:textId="77777777" w:rsidTr="0088144A">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7C1677C" w14:textId="77777777" w:rsidR="009C1D96" w:rsidRPr="009C1D96" w:rsidRDefault="009C1D96" w:rsidP="0088144A">
            <w:pPr>
              <w:rPr>
                <w:rFonts w:ascii="Arial" w:hAnsi="Arial" w:cs="Arial"/>
                <w:b/>
                <w:bCs/>
                <w:color w:val="000000"/>
              </w:rPr>
            </w:pPr>
            <w:r w:rsidRPr="009C1D96">
              <w:rPr>
                <w:rFonts w:ascii="Arial" w:hAnsi="Arial" w:cs="Arial"/>
                <w:b/>
                <w:bCs/>
                <w:color w:val="000000"/>
              </w:rPr>
              <w:t>7. Presentación de un tema específico</w:t>
            </w:r>
          </w:p>
          <w:p w14:paraId="41ABD88A" w14:textId="77777777" w:rsidR="009C1D96" w:rsidRPr="009C1D96" w:rsidRDefault="009C1D96" w:rsidP="0088144A">
            <w:pPr>
              <w:rPr>
                <w:rFonts w:ascii="Arial" w:hAnsi="Arial" w:cs="Arial"/>
                <w:b/>
                <w:bCs/>
                <w:color w:val="00000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408C514" w14:textId="48295D9A" w:rsidR="009C1D96" w:rsidRPr="009C1D96" w:rsidRDefault="009C1D96" w:rsidP="009C1D96">
            <w:pPr>
              <w:rPr>
                <w:rFonts w:ascii="Arial" w:hAnsi="Arial" w:cs="Arial"/>
                <w:color w:val="000000"/>
              </w:rPr>
            </w:pPr>
            <w:r w:rsidRPr="009C1D96">
              <w:rPr>
                <w:rFonts w:ascii="Arial" w:hAnsi="Arial" w:cs="Arial"/>
                <w:color w:val="000000"/>
              </w:rPr>
              <w:t>Presentación por parte del país sede, de un tema específico sobre NIIF de</w:t>
            </w:r>
            <w:r>
              <w:rPr>
                <w:rFonts w:ascii="Arial" w:hAnsi="Arial" w:cs="Arial"/>
                <w:color w:val="000000"/>
              </w:rPr>
              <w:t xml:space="preserve"> </w:t>
            </w:r>
            <w:r w:rsidRPr="009C1D96">
              <w:rPr>
                <w:rFonts w:ascii="Arial" w:hAnsi="Arial" w:cs="Arial"/>
                <w:color w:val="000000"/>
              </w:rPr>
              <w:lastRenderedPageBreak/>
              <w:t>interés de los países miembros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5F7D3175" w14:textId="77777777" w:rsidR="009C1D96" w:rsidRPr="009C1D96" w:rsidRDefault="009C1D96" w:rsidP="0088144A">
            <w:pPr>
              <w:rPr>
                <w:rFonts w:ascii="Arial" w:hAnsi="Arial" w:cs="Arial"/>
                <w:color w:val="000000"/>
              </w:rPr>
            </w:pPr>
            <w:r w:rsidRPr="009C1D96">
              <w:rPr>
                <w:rFonts w:ascii="Arial" w:hAnsi="Arial" w:cs="Arial"/>
                <w:color w:val="000000"/>
              </w:rPr>
              <w:lastRenderedPageBreak/>
              <w:t>Permanente</w:t>
            </w:r>
          </w:p>
          <w:p w14:paraId="60DF4140" w14:textId="77777777" w:rsidR="009C1D96" w:rsidRPr="009C1D96" w:rsidRDefault="009C1D96" w:rsidP="0088144A">
            <w:pPr>
              <w:rPr>
                <w:rFonts w:ascii="Arial" w:hAnsi="Arial" w:cs="Arial"/>
                <w:b/>
                <w:bCs/>
                <w:color w:val="000000"/>
              </w:rPr>
            </w:pPr>
            <w:r w:rsidRPr="009C1D96">
              <w:rPr>
                <w:rFonts w:ascii="Arial" w:hAnsi="Arial" w:cs="Arial"/>
                <w:color w:val="000000"/>
              </w:rPr>
              <w:t>C- Diagnóstico</w:t>
            </w:r>
          </w:p>
          <w:p w14:paraId="6FD715BB" w14:textId="77777777" w:rsidR="009C1D96" w:rsidRPr="009C1D96" w:rsidRDefault="009C1D96" w:rsidP="0088144A">
            <w:pPr>
              <w:rPr>
                <w:rFonts w:ascii="Arial" w:hAnsi="Arial" w:cs="Arial"/>
                <w:b/>
                <w:bCs/>
                <w:color w:val="00000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9698CD6" w14:textId="77777777" w:rsidR="009C1D96" w:rsidRPr="009C1D96" w:rsidRDefault="009C1D96" w:rsidP="0088144A">
            <w:pPr>
              <w:rPr>
                <w:rFonts w:ascii="Arial" w:hAnsi="Arial" w:cs="Arial"/>
                <w:b/>
                <w:bCs/>
                <w:color w:val="000000"/>
              </w:rPr>
            </w:pPr>
            <w:r w:rsidRPr="009C1D96">
              <w:rPr>
                <w:rFonts w:ascii="Arial" w:hAnsi="Arial" w:cs="Arial"/>
                <w:color w:val="000000"/>
              </w:rPr>
              <w:t>SGT N° 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514CC8C8" w14:textId="77777777" w:rsidR="009C1D96" w:rsidRPr="009C1D96" w:rsidRDefault="009C1D96" w:rsidP="0088144A">
            <w:pPr>
              <w:rPr>
                <w:rFonts w:ascii="Arial" w:hAnsi="Arial" w:cs="Arial"/>
                <w:b/>
                <w:bCs/>
                <w:color w:val="000000"/>
              </w:rPr>
            </w:pPr>
            <w:r w:rsidRPr="009C1D96">
              <w:rPr>
                <w:rFonts w:ascii="Arial" w:hAnsi="Arial" w:cs="Arial"/>
                <w:b/>
                <w:bCs/>
                <w:color w:val="000000"/>
              </w:rPr>
              <w:t xml:space="preserve">Realizado: </w:t>
            </w:r>
            <w:r w:rsidRPr="009C1D96">
              <w:rPr>
                <w:rFonts w:ascii="Arial" w:hAnsi="Arial" w:cs="Arial"/>
                <w:color w:val="000000"/>
              </w:rPr>
              <w:t xml:space="preserve">en las reuniones celebradas fueron realizadas presentaciones </w:t>
            </w:r>
            <w:r w:rsidRPr="009C1D96">
              <w:rPr>
                <w:rFonts w:ascii="Arial" w:hAnsi="Arial" w:cs="Arial"/>
                <w:color w:val="000000"/>
              </w:rPr>
              <w:lastRenderedPageBreak/>
              <w:t>sobre temas relevantes.</w:t>
            </w:r>
          </w:p>
          <w:p w14:paraId="09BF6EBC" w14:textId="77777777" w:rsidR="009C1D96" w:rsidRPr="009C1D96" w:rsidRDefault="009C1D96" w:rsidP="0088144A">
            <w:pPr>
              <w:rPr>
                <w:rFonts w:ascii="Arial" w:hAnsi="Arial" w:cs="Arial"/>
                <w:b/>
                <w:bCs/>
                <w:color w:val="000000"/>
              </w:rPr>
            </w:pPr>
          </w:p>
        </w:tc>
      </w:tr>
    </w:tbl>
    <w:p w14:paraId="59F9D4B9" w14:textId="77777777" w:rsidR="009C1D96" w:rsidRDefault="009C1D96" w:rsidP="007E768F">
      <w:pPr>
        <w:tabs>
          <w:tab w:val="num" w:pos="720"/>
        </w:tabs>
        <w:spacing w:after="0" w:line="240" w:lineRule="auto"/>
        <w:rPr>
          <w:rFonts w:ascii="Arial" w:eastAsia="Calibri" w:hAnsi="Arial" w:cs="Arial"/>
          <w:b/>
          <w:bCs/>
          <w:sz w:val="24"/>
          <w:szCs w:val="24"/>
        </w:rPr>
      </w:pPr>
    </w:p>
    <w:p w14:paraId="36BDB285" w14:textId="77777777" w:rsidR="00574D32" w:rsidRDefault="00574D32" w:rsidP="007E768F">
      <w:pPr>
        <w:tabs>
          <w:tab w:val="num" w:pos="720"/>
        </w:tabs>
        <w:spacing w:after="0" w:line="240" w:lineRule="auto"/>
        <w:rPr>
          <w:rFonts w:ascii="Arial" w:eastAsia="Calibri" w:hAnsi="Arial" w:cs="Arial"/>
          <w:b/>
          <w:bCs/>
          <w:sz w:val="24"/>
          <w:szCs w:val="24"/>
        </w:rPr>
      </w:pPr>
    </w:p>
    <w:p w14:paraId="26766053" w14:textId="77777777" w:rsidR="00574D32" w:rsidRDefault="00574D32" w:rsidP="007E768F">
      <w:pPr>
        <w:tabs>
          <w:tab w:val="num" w:pos="720"/>
        </w:tabs>
        <w:spacing w:after="0" w:line="240" w:lineRule="auto"/>
        <w:rPr>
          <w:rFonts w:ascii="Arial" w:eastAsia="Calibri" w:hAnsi="Arial" w:cs="Arial"/>
          <w:b/>
          <w:bCs/>
          <w:sz w:val="24"/>
          <w:szCs w:val="24"/>
        </w:rPr>
      </w:pPr>
    </w:p>
    <w:p w14:paraId="73C1BC4F" w14:textId="77777777" w:rsidR="00574D32" w:rsidRPr="007E768F" w:rsidRDefault="00574D32" w:rsidP="007E768F">
      <w:pPr>
        <w:tabs>
          <w:tab w:val="num" w:pos="720"/>
        </w:tabs>
        <w:spacing w:after="0" w:line="240" w:lineRule="auto"/>
        <w:rPr>
          <w:rFonts w:ascii="Arial" w:eastAsia="Calibri" w:hAnsi="Arial" w:cs="Arial"/>
          <w:b/>
          <w:bCs/>
          <w:sz w:val="24"/>
          <w:szCs w:val="24"/>
        </w:rPr>
      </w:pPr>
    </w:p>
    <w:p w14:paraId="18ECA5EA" w14:textId="28818DD8" w:rsidR="007E768F" w:rsidRPr="007E768F" w:rsidRDefault="00696124" w:rsidP="007E768F">
      <w:pPr>
        <w:tabs>
          <w:tab w:val="num" w:pos="720"/>
        </w:tabs>
        <w:spacing w:after="0" w:line="240" w:lineRule="auto"/>
        <w:rPr>
          <w:rFonts w:ascii="Arial" w:eastAsia="Calibri" w:hAnsi="Arial" w:cs="Arial"/>
          <w:b/>
          <w:bCs/>
          <w:sz w:val="24"/>
          <w:szCs w:val="24"/>
        </w:rPr>
      </w:pPr>
      <w:r>
        <w:rPr>
          <w:rFonts w:ascii="Arial" w:eastAsia="Calibri" w:hAnsi="Arial" w:cs="Arial"/>
          <w:b/>
          <w:bCs/>
          <w:sz w:val="24"/>
          <w:szCs w:val="24"/>
        </w:rPr>
        <w:t>7</w:t>
      </w:r>
      <w:r w:rsidR="00890193" w:rsidRPr="006139F5">
        <w:rPr>
          <w:rFonts w:ascii="Arial" w:eastAsia="Calibri" w:hAnsi="Arial" w:cs="Arial"/>
          <w:b/>
          <w:bCs/>
          <w:sz w:val="24"/>
          <w:szCs w:val="24"/>
        </w:rPr>
        <w:t xml:space="preserve">.2 PROGRAMA DE TRABAJO 2021 – 2022 </w:t>
      </w:r>
    </w:p>
    <w:p w14:paraId="49A5D3AE" w14:textId="77777777" w:rsidR="007E768F" w:rsidRDefault="007E768F" w:rsidP="007E768F">
      <w:pPr>
        <w:tabs>
          <w:tab w:val="num" w:pos="720"/>
        </w:tabs>
        <w:spacing w:after="0" w:line="240" w:lineRule="auto"/>
        <w:rPr>
          <w:rFonts w:ascii="Arial" w:eastAsia="Calibri" w:hAnsi="Arial" w:cs="Arial"/>
          <w:b/>
          <w:bCs/>
          <w:sz w:val="24"/>
          <w:szCs w:val="24"/>
        </w:rPr>
      </w:pPr>
    </w:p>
    <w:p w14:paraId="6A6209A7" w14:textId="77777777" w:rsidR="00574D32" w:rsidRDefault="00574D32" w:rsidP="007E768F">
      <w:pPr>
        <w:tabs>
          <w:tab w:val="num" w:pos="720"/>
        </w:tabs>
        <w:spacing w:after="0" w:line="240" w:lineRule="auto"/>
        <w:rPr>
          <w:rFonts w:ascii="Arial" w:eastAsia="Calibri" w:hAnsi="Arial" w:cs="Arial"/>
          <w:b/>
          <w:bCs/>
          <w:sz w:val="24"/>
          <w:szCs w:val="24"/>
        </w:rPr>
      </w:pPr>
    </w:p>
    <w:p w14:paraId="265A18FC" w14:textId="77777777" w:rsidR="00574D32" w:rsidRDefault="00574D32" w:rsidP="007E768F">
      <w:pPr>
        <w:tabs>
          <w:tab w:val="num" w:pos="720"/>
        </w:tabs>
        <w:spacing w:after="0" w:line="240" w:lineRule="auto"/>
        <w:rPr>
          <w:rFonts w:ascii="Arial" w:eastAsia="Calibri" w:hAnsi="Arial" w:cs="Arial"/>
          <w:b/>
          <w:bCs/>
          <w:sz w:val="24"/>
          <w:szCs w:val="24"/>
        </w:rPr>
      </w:pPr>
    </w:p>
    <w:p w14:paraId="4E192C1A" w14:textId="77777777" w:rsidR="00574D32" w:rsidRPr="007E768F" w:rsidRDefault="00574D32" w:rsidP="007E768F">
      <w:pPr>
        <w:tabs>
          <w:tab w:val="num" w:pos="720"/>
        </w:tabs>
        <w:spacing w:after="0" w:line="240" w:lineRule="auto"/>
        <w:rPr>
          <w:rFonts w:ascii="Arial" w:eastAsia="Calibri" w:hAnsi="Arial" w:cs="Arial"/>
          <w:b/>
          <w:bCs/>
          <w:sz w:val="24"/>
          <w:szCs w:val="24"/>
        </w:rPr>
      </w:pPr>
    </w:p>
    <w:tbl>
      <w:tblPr>
        <w:tblW w:w="0" w:type="auto"/>
        <w:tblLayout w:type="fixed"/>
        <w:tblLook w:val="0000" w:firstRow="0" w:lastRow="0" w:firstColumn="0" w:lastColumn="0" w:noHBand="0" w:noVBand="0"/>
      </w:tblPr>
      <w:tblGrid>
        <w:gridCol w:w="1727"/>
        <w:gridCol w:w="1729"/>
        <w:gridCol w:w="1729"/>
        <w:gridCol w:w="1729"/>
        <w:gridCol w:w="1731"/>
      </w:tblGrid>
      <w:tr w:rsidR="0094796F" w:rsidRPr="0094796F" w14:paraId="2FFA88EC" w14:textId="77777777" w:rsidTr="0088144A">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4AE8B70A" w14:textId="77777777" w:rsidR="0094796F" w:rsidRPr="0094796F" w:rsidRDefault="0094796F" w:rsidP="0088144A">
            <w:pPr>
              <w:jc w:val="center"/>
              <w:rPr>
                <w:rFonts w:ascii="Arial" w:hAnsi="Arial" w:cs="Arial"/>
                <w:b/>
                <w:bCs/>
                <w:color w:val="000000"/>
              </w:rPr>
            </w:pPr>
            <w:r w:rsidRPr="0094796F">
              <w:rPr>
                <w:rFonts w:ascii="Arial" w:hAnsi="Arial" w:cs="Arial"/>
                <w:b/>
                <w:bCs/>
                <w:color w:val="000000"/>
              </w:rPr>
              <w:t>Tema</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5CC2D6CB" w14:textId="77777777" w:rsidR="0094796F" w:rsidRPr="0094796F" w:rsidRDefault="0094796F" w:rsidP="0088144A">
            <w:pPr>
              <w:jc w:val="center"/>
              <w:rPr>
                <w:rFonts w:ascii="Arial" w:hAnsi="Arial" w:cs="Arial"/>
                <w:b/>
                <w:bCs/>
                <w:color w:val="000000"/>
              </w:rPr>
            </w:pPr>
            <w:r w:rsidRPr="0094796F">
              <w:rPr>
                <w:rFonts w:ascii="Arial" w:hAnsi="Arial" w:cs="Arial"/>
                <w:b/>
                <w:bCs/>
                <w:color w:val="000000"/>
              </w:rPr>
              <w:t>Actividad</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39B7139F" w14:textId="77777777" w:rsidR="0094796F" w:rsidRPr="0094796F" w:rsidRDefault="0094796F" w:rsidP="0088144A">
            <w:pPr>
              <w:jc w:val="center"/>
              <w:rPr>
                <w:rFonts w:ascii="Arial" w:hAnsi="Arial" w:cs="Arial"/>
                <w:b/>
                <w:bCs/>
                <w:color w:val="000000"/>
              </w:rPr>
            </w:pPr>
            <w:r w:rsidRPr="0094796F">
              <w:rPr>
                <w:rFonts w:ascii="Arial" w:hAnsi="Arial" w:cs="Arial"/>
                <w:b/>
                <w:bCs/>
                <w:color w:val="000000"/>
              </w:rPr>
              <w:t>Tipo</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3F78877D" w14:textId="77777777" w:rsidR="0094796F" w:rsidRPr="0094796F" w:rsidRDefault="0094796F" w:rsidP="0088144A">
            <w:pPr>
              <w:jc w:val="center"/>
              <w:rPr>
                <w:rFonts w:ascii="Arial" w:hAnsi="Arial" w:cs="Arial"/>
                <w:b/>
                <w:bCs/>
                <w:color w:val="000000"/>
              </w:rPr>
            </w:pPr>
            <w:r w:rsidRPr="0094796F">
              <w:rPr>
                <w:rFonts w:ascii="Arial" w:hAnsi="Arial" w:cs="Arial"/>
                <w:b/>
                <w:bCs/>
                <w:color w:val="000000"/>
              </w:rPr>
              <w:t>Origen</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0DF2A041" w14:textId="77777777" w:rsidR="0094796F" w:rsidRPr="0094796F" w:rsidRDefault="0094796F" w:rsidP="0088144A">
            <w:pPr>
              <w:jc w:val="center"/>
              <w:rPr>
                <w:rFonts w:ascii="Arial" w:hAnsi="Arial" w:cs="Arial"/>
              </w:rPr>
            </w:pPr>
            <w:r w:rsidRPr="0094796F">
              <w:rPr>
                <w:rFonts w:ascii="Arial" w:hAnsi="Arial" w:cs="Arial"/>
                <w:b/>
                <w:bCs/>
                <w:color w:val="000000"/>
              </w:rPr>
              <w:t>Fecha de conclusión estimada</w:t>
            </w:r>
          </w:p>
        </w:tc>
      </w:tr>
      <w:tr w:rsidR="0094796F" w:rsidRPr="0094796F" w14:paraId="51A60D01" w14:textId="77777777" w:rsidTr="0088144A">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DDC5CDA" w14:textId="0D25D446" w:rsidR="0094796F" w:rsidRPr="0094796F" w:rsidRDefault="0094796F" w:rsidP="0088144A">
            <w:pPr>
              <w:rPr>
                <w:rFonts w:ascii="Arial" w:hAnsi="Arial" w:cs="Arial"/>
                <w:b/>
                <w:bCs/>
                <w:color w:val="000000"/>
              </w:rPr>
            </w:pPr>
            <w:r w:rsidRPr="0094796F">
              <w:rPr>
                <w:rFonts w:ascii="Arial" w:hAnsi="Arial" w:cs="Arial"/>
                <w:b/>
                <w:bCs/>
                <w:color w:val="000000"/>
              </w:rPr>
              <w:t>1. Novedades y avances registrados en la adopción de las Normas Internaciones de</w:t>
            </w:r>
            <w:r>
              <w:rPr>
                <w:rFonts w:ascii="Arial" w:hAnsi="Arial" w:cs="Arial"/>
                <w:b/>
                <w:bCs/>
                <w:color w:val="000000"/>
              </w:rPr>
              <w:t xml:space="preserve"> </w:t>
            </w:r>
            <w:r w:rsidRPr="0094796F">
              <w:rPr>
                <w:rFonts w:ascii="Arial" w:hAnsi="Arial" w:cs="Arial"/>
                <w:b/>
                <w:bCs/>
                <w:color w:val="000000"/>
              </w:rPr>
              <w:t>Información</w:t>
            </w:r>
            <w:r>
              <w:rPr>
                <w:rFonts w:ascii="Arial" w:hAnsi="Arial" w:cs="Arial"/>
                <w:b/>
                <w:bCs/>
                <w:color w:val="000000"/>
              </w:rPr>
              <w:t xml:space="preserve"> </w:t>
            </w:r>
            <w:r w:rsidRPr="0094796F">
              <w:rPr>
                <w:rFonts w:ascii="Arial" w:hAnsi="Arial" w:cs="Arial"/>
                <w:b/>
                <w:bCs/>
                <w:color w:val="000000"/>
              </w:rPr>
              <w:t>Financiera (NIIF).</w:t>
            </w:r>
          </w:p>
          <w:p w14:paraId="49E2E2F3" w14:textId="77777777" w:rsidR="0094796F" w:rsidRPr="0094796F" w:rsidRDefault="0094796F" w:rsidP="0088144A">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5F7C93ED" w14:textId="6A06BDAA" w:rsidR="0094796F" w:rsidRPr="0094796F" w:rsidRDefault="0094796F" w:rsidP="0094796F">
            <w:pPr>
              <w:rPr>
                <w:rFonts w:ascii="Arial" w:hAnsi="Arial" w:cs="Arial"/>
                <w:color w:val="000000"/>
              </w:rPr>
            </w:pPr>
            <w:r w:rsidRPr="0094796F">
              <w:rPr>
                <w:rFonts w:ascii="Arial" w:hAnsi="Arial" w:cs="Arial"/>
              </w:rPr>
              <w:t>Seguimiento – Comentarios y</w:t>
            </w:r>
            <w:r>
              <w:rPr>
                <w:rFonts w:ascii="Arial" w:hAnsi="Arial" w:cs="Arial"/>
              </w:rPr>
              <w:t xml:space="preserve"> </w:t>
            </w:r>
            <w:r w:rsidRPr="0094796F">
              <w:rPr>
                <w:rFonts w:ascii="Arial" w:hAnsi="Arial" w:cs="Arial"/>
              </w:rPr>
              <w:t>análisis de los avances</w:t>
            </w:r>
            <w:r>
              <w:rPr>
                <w:rFonts w:ascii="Arial" w:hAnsi="Arial" w:cs="Arial"/>
              </w:rPr>
              <w:t xml:space="preserve"> </w:t>
            </w:r>
            <w:r w:rsidRPr="0094796F">
              <w:rPr>
                <w:rFonts w:ascii="Arial" w:hAnsi="Arial" w:cs="Arial"/>
              </w:rPr>
              <w:t>registrados en la adopción de las</w:t>
            </w:r>
            <w:r>
              <w:rPr>
                <w:rFonts w:ascii="Arial" w:hAnsi="Arial" w:cs="Arial"/>
              </w:rPr>
              <w:t xml:space="preserve"> </w:t>
            </w:r>
            <w:r w:rsidRPr="0094796F">
              <w:rPr>
                <w:rFonts w:ascii="Arial" w:hAnsi="Arial" w:cs="Arial"/>
              </w:rPr>
              <w:t>NIIF por los integrantes de la</w:t>
            </w:r>
            <w:r>
              <w:rPr>
                <w:rFonts w:ascii="Arial" w:hAnsi="Arial" w:cs="Arial"/>
              </w:rPr>
              <w:t xml:space="preserve"> </w:t>
            </w:r>
            <w:r w:rsidRPr="0094796F">
              <w:rPr>
                <w:rFonts w:ascii="Arial" w:hAnsi="Arial" w:cs="Arial"/>
              </w:rPr>
              <w:t>Subcomisión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4943C516" w14:textId="77777777" w:rsidR="0094796F" w:rsidRPr="0094796F" w:rsidRDefault="0094796F" w:rsidP="0088144A">
            <w:pPr>
              <w:rPr>
                <w:rFonts w:ascii="Arial" w:hAnsi="Arial" w:cs="Arial"/>
                <w:b/>
                <w:bCs/>
                <w:color w:val="000000"/>
              </w:rPr>
            </w:pPr>
            <w:r w:rsidRPr="0094796F">
              <w:rPr>
                <w:rFonts w:ascii="Arial" w:hAnsi="Arial" w:cs="Arial"/>
                <w:color w:val="000000"/>
              </w:rPr>
              <w:t>Permanente</w:t>
            </w:r>
          </w:p>
          <w:p w14:paraId="47ECBC9A" w14:textId="77777777" w:rsidR="0094796F" w:rsidRPr="0094796F" w:rsidRDefault="0094796F" w:rsidP="0088144A">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600C3117" w14:textId="77777777" w:rsidR="0094796F" w:rsidRPr="0094796F" w:rsidRDefault="0094796F" w:rsidP="0088144A">
            <w:pPr>
              <w:rPr>
                <w:rFonts w:ascii="Arial" w:hAnsi="Arial" w:cs="Arial"/>
              </w:rPr>
            </w:pPr>
            <w:r w:rsidRPr="0094796F">
              <w:rPr>
                <w:rFonts w:ascii="Arial" w:hAnsi="Arial" w:cs="Arial"/>
                <w:color w:val="000000"/>
              </w:rPr>
              <w:t>SGT N° 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4EC434B1" w14:textId="77777777" w:rsidR="0094796F" w:rsidRPr="0094796F" w:rsidRDefault="0094796F" w:rsidP="0088144A">
            <w:pPr>
              <w:rPr>
                <w:rFonts w:ascii="Arial" w:hAnsi="Arial" w:cs="Arial"/>
                <w:b/>
                <w:bCs/>
                <w:color w:val="000000"/>
              </w:rPr>
            </w:pPr>
            <w:r w:rsidRPr="0094796F">
              <w:rPr>
                <w:rFonts w:ascii="Arial" w:hAnsi="Arial" w:cs="Arial"/>
              </w:rPr>
              <w:t>-</w:t>
            </w:r>
          </w:p>
          <w:p w14:paraId="5826555F" w14:textId="77777777" w:rsidR="0094796F" w:rsidRPr="0094796F" w:rsidRDefault="0094796F" w:rsidP="0088144A">
            <w:pPr>
              <w:rPr>
                <w:rFonts w:ascii="Arial" w:hAnsi="Arial" w:cs="Arial"/>
                <w:b/>
                <w:bCs/>
                <w:color w:val="000000"/>
              </w:rPr>
            </w:pPr>
          </w:p>
        </w:tc>
      </w:tr>
      <w:tr w:rsidR="0094796F" w:rsidRPr="0094796F" w14:paraId="40856104" w14:textId="77777777" w:rsidTr="0088144A">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A4DC3FD" w14:textId="77777777" w:rsidR="0094796F" w:rsidRPr="0094796F" w:rsidRDefault="0094796F" w:rsidP="0088144A">
            <w:pPr>
              <w:rPr>
                <w:rFonts w:ascii="Arial" w:hAnsi="Arial" w:cs="Arial"/>
              </w:rPr>
            </w:pPr>
            <w:r w:rsidRPr="0094796F">
              <w:rPr>
                <w:rFonts w:ascii="Arial" w:hAnsi="Arial" w:cs="Arial"/>
                <w:b/>
                <w:bCs/>
                <w:color w:val="000000"/>
              </w:rPr>
              <w:t>2. Consultas normativas vinculadas a la temática NIIF.</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4464BEF1" w14:textId="77777777" w:rsidR="0094796F" w:rsidRPr="0094796F" w:rsidRDefault="0094796F" w:rsidP="0088144A">
            <w:pPr>
              <w:rPr>
                <w:rFonts w:ascii="Arial" w:hAnsi="Arial" w:cs="Arial"/>
              </w:rPr>
            </w:pPr>
            <w:r w:rsidRPr="0094796F">
              <w:rPr>
                <w:rFonts w:ascii="Arial" w:hAnsi="Arial" w:cs="Arial"/>
              </w:rPr>
              <w:t>Seguimiento –Puesta en común y análisis de consultas normativas que los distintos países participantes han tenido que atender sobre esta temática</w:t>
            </w:r>
          </w:p>
          <w:p w14:paraId="67FDEAF5" w14:textId="77777777" w:rsidR="0094796F" w:rsidRPr="0094796F" w:rsidRDefault="0094796F" w:rsidP="0088144A">
            <w:pPr>
              <w:rPr>
                <w:rFonts w:ascii="Arial" w:hAnsi="Arial" w:cs="Arial"/>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132B96D1" w14:textId="77777777" w:rsidR="0094796F" w:rsidRPr="0094796F" w:rsidRDefault="0094796F" w:rsidP="0088144A">
            <w:pPr>
              <w:rPr>
                <w:rFonts w:ascii="Arial" w:hAnsi="Arial" w:cs="Arial"/>
                <w:b/>
                <w:bCs/>
                <w:color w:val="000000"/>
              </w:rPr>
            </w:pPr>
            <w:r w:rsidRPr="0094796F">
              <w:rPr>
                <w:rFonts w:ascii="Arial" w:hAnsi="Arial" w:cs="Arial"/>
                <w:color w:val="000000"/>
              </w:rPr>
              <w:t>Permanente</w:t>
            </w:r>
          </w:p>
          <w:p w14:paraId="0A45934A" w14:textId="77777777" w:rsidR="0094796F" w:rsidRPr="0094796F" w:rsidRDefault="0094796F" w:rsidP="0088144A">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2A303CAD" w14:textId="77777777" w:rsidR="0094796F" w:rsidRPr="0094796F" w:rsidRDefault="0094796F" w:rsidP="0088144A">
            <w:pPr>
              <w:rPr>
                <w:rFonts w:ascii="Arial" w:hAnsi="Arial" w:cs="Arial"/>
              </w:rPr>
            </w:pPr>
            <w:r w:rsidRPr="0094796F">
              <w:rPr>
                <w:rFonts w:ascii="Arial" w:hAnsi="Arial" w:cs="Arial"/>
                <w:color w:val="000000"/>
              </w:rPr>
              <w:t>SGT N° 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17947491" w14:textId="77777777" w:rsidR="0094796F" w:rsidRPr="0094796F" w:rsidRDefault="0094796F" w:rsidP="0088144A">
            <w:pPr>
              <w:rPr>
                <w:rFonts w:ascii="Arial" w:hAnsi="Arial" w:cs="Arial"/>
                <w:b/>
                <w:bCs/>
                <w:color w:val="000000"/>
              </w:rPr>
            </w:pPr>
            <w:r w:rsidRPr="0094796F">
              <w:rPr>
                <w:rFonts w:ascii="Arial" w:hAnsi="Arial" w:cs="Arial"/>
              </w:rPr>
              <w:t>-</w:t>
            </w:r>
          </w:p>
          <w:p w14:paraId="3548AF99" w14:textId="77777777" w:rsidR="0094796F" w:rsidRPr="0094796F" w:rsidRDefault="0094796F" w:rsidP="0088144A">
            <w:pPr>
              <w:rPr>
                <w:rFonts w:ascii="Arial" w:hAnsi="Arial" w:cs="Arial"/>
                <w:b/>
                <w:bCs/>
                <w:color w:val="000000"/>
              </w:rPr>
            </w:pPr>
          </w:p>
        </w:tc>
      </w:tr>
      <w:tr w:rsidR="0094796F" w:rsidRPr="0094796F" w14:paraId="68B9D444" w14:textId="77777777" w:rsidTr="0088144A">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57E7A786" w14:textId="77777777" w:rsidR="0094796F" w:rsidRPr="0094796F" w:rsidRDefault="0094796F" w:rsidP="0088144A">
            <w:pPr>
              <w:rPr>
                <w:rFonts w:ascii="Arial" w:hAnsi="Arial" w:cs="Arial"/>
              </w:rPr>
            </w:pPr>
            <w:r w:rsidRPr="0094796F">
              <w:rPr>
                <w:rFonts w:ascii="Arial" w:hAnsi="Arial" w:cs="Arial"/>
                <w:b/>
                <w:bCs/>
                <w:color w:val="000000"/>
              </w:rPr>
              <w:t>3. Modelos de Estados Financieros basados en NIIF</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00ABF18F" w14:textId="68236974" w:rsidR="0094796F" w:rsidRPr="0094796F" w:rsidRDefault="0094796F" w:rsidP="0094796F">
            <w:pPr>
              <w:rPr>
                <w:rFonts w:ascii="Arial" w:hAnsi="Arial" w:cs="Arial"/>
                <w:color w:val="000000"/>
              </w:rPr>
            </w:pPr>
            <w:r w:rsidRPr="0094796F">
              <w:rPr>
                <w:rFonts w:ascii="Arial" w:hAnsi="Arial" w:cs="Arial"/>
              </w:rPr>
              <w:t>Seguimiento - Comentarios y</w:t>
            </w:r>
            <w:r>
              <w:rPr>
                <w:rFonts w:ascii="Arial" w:hAnsi="Arial" w:cs="Arial"/>
              </w:rPr>
              <w:t xml:space="preserve"> </w:t>
            </w:r>
            <w:r w:rsidRPr="0094796F">
              <w:rPr>
                <w:rFonts w:ascii="Arial" w:hAnsi="Arial" w:cs="Arial"/>
              </w:rPr>
              <w:t xml:space="preserve">análisis de los avances registrados en la elaboración </w:t>
            </w:r>
            <w:r w:rsidRPr="0094796F">
              <w:rPr>
                <w:rFonts w:ascii="Arial" w:hAnsi="Arial" w:cs="Arial"/>
              </w:rPr>
              <w:lastRenderedPageBreak/>
              <w:t>de Estados Financieros para Publicación y Supervisión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5F5E9D57" w14:textId="77777777" w:rsidR="0094796F" w:rsidRPr="0094796F" w:rsidRDefault="0094796F" w:rsidP="0088144A">
            <w:pPr>
              <w:rPr>
                <w:rFonts w:ascii="Arial" w:hAnsi="Arial" w:cs="Arial"/>
                <w:b/>
                <w:bCs/>
                <w:color w:val="000000"/>
              </w:rPr>
            </w:pPr>
            <w:r w:rsidRPr="0094796F">
              <w:rPr>
                <w:rFonts w:ascii="Arial" w:hAnsi="Arial" w:cs="Arial"/>
                <w:color w:val="000000"/>
              </w:rPr>
              <w:lastRenderedPageBreak/>
              <w:t>Permanente</w:t>
            </w:r>
          </w:p>
          <w:p w14:paraId="4BC6FAC2" w14:textId="77777777" w:rsidR="0094796F" w:rsidRPr="0094796F" w:rsidRDefault="0094796F" w:rsidP="0088144A">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2B8EB5DA" w14:textId="77777777" w:rsidR="0094796F" w:rsidRPr="0094796F" w:rsidRDefault="0094796F" w:rsidP="0088144A">
            <w:pPr>
              <w:rPr>
                <w:rFonts w:ascii="Arial" w:hAnsi="Arial" w:cs="Arial"/>
              </w:rPr>
            </w:pPr>
            <w:r w:rsidRPr="0094796F">
              <w:rPr>
                <w:rFonts w:ascii="Arial" w:hAnsi="Arial" w:cs="Arial"/>
                <w:color w:val="000000"/>
              </w:rPr>
              <w:t>SGT N° 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1CE329B7" w14:textId="77777777" w:rsidR="0094796F" w:rsidRPr="0094796F" w:rsidRDefault="0094796F" w:rsidP="0088144A">
            <w:pPr>
              <w:rPr>
                <w:rFonts w:ascii="Arial" w:hAnsi="Arial" w:cs="Arial"/>
                <w:b/>
                <w:bCs/>
                <w:color w:val="000000"/>
              </w:rPr>
            </w:pPr>
            <w:r w:rsidRPr="0094796F">
              <w:rPr>
                <w:rFonts w:ascii="Arial" w:hAnsi="Arial" w:cs="Arial"/>
              </w:rPr>
              <w:t>-</w:t>
            </w:r>
          </w:p>
          <w:p w14:paraId="51C409D3" w14:textId="77777777" w:rsidR="0094796F" w:rsidRPr="0094796F" w:rsidRDefault="0094796F" w:rsidP="0088144A">
            <w:pPr>
              <w:rPr>
                <w:rFonts w:ascii="Arial" w:hAnsi="Arial" w:cs="Arial"/>
                <w:b/>
                <w:bCs/>
                <w:color w:val="000000"/>
              </w:rPr>
            </w:pPr>
          </w:p>
        </w:tc>
      </w:tr>
      <w:tr w:rsidR="0094796F" w:rsidRPr="0094796F" w14:paraId="53115566" w14:textId="77777777" w:rsidTr="0088144A">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B301990" w14:textId="05AFC01C" w:rsidR="0094796F" w:rsidRPr="0094796F" w:rsidRDefault="00A337EA" w:rsidP="00A337EA">
            <w:pPr>
              <w:rPr>
                <w:rFonts w:ascii="Arial" w:hAnsi="Arial" w:cs="Arial"/>
                <w:b/>
                <w:bCs/>
                <w:color w:val="000000"/>
              </w:rPr>
            </w:pPr>
            <w:r w:rsidRPr="00A337EA">
              <w:rPr>
                <w:rFonts w:ascii="Arial" w:hAnsi="Arial" w:cs="Arial"/>
                <w:b/>
                <w:bCs/>
                <w:color w:val="000000"/>
              </w:rPr>
              <w:t>4. Transparencia, Inclusión e Innovación Financiera y Consumidor Bancario.</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78F574BD" w14:textId="1248E5E8" w:rsidR="0094796F" w:rsidRPr="0094796F" w:rsidRDefault="00574D32" w:rsidP="0088144A">
            <w:pPr>
              <w:rPr>
                <w:rFonts w:ascii="Arial" w:hAnsi="Arial" w:cs="Arial"/>
                <w:b/>
                <w:bCs/>
                <w:color w:val="000000"/>
              </w:rPr>
            </w:pPr>
            <w:r w:rsidRPr="00574D32">
              <w:rPr>
                <w:rFonts w:ascii="Arial" w:hAnsi="Arial" w:cs="Arial"/>
                <w:color w:val="000000"/>
              </w:rPr>
              <w:t>Seguimiento - Actualización de las informaciones que se brindan al consumidor bancario; así como de medidas vinculadas con la inclusión e innovación financiera.</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7B8C5E48" w14:textId="77777777" w:rsidR="0094796F" w:rsidRPr="0094796F" w:rsidRDefault="0094796F" w:rsidP="0088144A">
            <w:pPr>
              <w:rPr>
                <w:rFonts w:ascii="Arial" w:hAnsi="Arial" w:cs="Arial"/>
                <w:b/>
                <w:bCs/>
                <w:color w:val="000000"/>
              </w:rPr>
            </w:pPr>
            <w:r w:rsidRPr="0094796F">
              <w:rPr>
                <w:rFonts w:ascii="Arial" w:hAnsi="Arial" w:cs="Arial"/>
                <w:color w:val="000000"/>
              </w:rPr>
              <w:t>Permanente</w:t>
            </w:r>
          </w:p>
          <w:p w14:paraId="5309F873" w14:textId="77777777" w:rsidR="0094796F" w:rsidRPr="0094796F" w:rsidRDefault="0094796F" w:rsidP="0088144A">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408D3D34" w14:textId="77777777" w:rsidR="0094796F" w:rsidRPr="0094796F" w:rsidRDefault="0094796F" w:rsidP="0088144A">
            <w:pPr>
              <w:rPr>
                <w:rFonts w:ascii="Arial" w:hAnsi="Arial" w:cs="Arial"/>
              </w:rPr>
            </w:pPr>
            <w:r w:rsidRPr="0094796F">
              <w:rPr>
                <w:rFonts w:ascii="Arial" w:hAnsi="Arial" w:cs="Arial"/>
                <w:color w:val="000000"/>
              </w:rPr>
              <w:t>SGT N° 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0571BD2D" w14:textId="77777777" w:rsidR="0094796F" w:rsidRPr="0094796F" w:rsidRDefault="0094796F" w:rsidP="0088144A">
            <w:pPr>
              <w:rPr>
                <w:rFonts w:ascii="Arial" w:hAnsi="Arial" w:cs="Arial"/>
                <w:b/>
                <w:bCs/>
                <w:color w:val="000000"/>
              </w:rPr>
            </w:pPr>
            <w:r w:rsidRPr="0094796F">
              <w:rPr>
                <w:rFonts w:ascii="Arial" w:hAnsi="Arial" w:cs="Arial"/>
              </w:rPr>
              <w:t>-</w:t>
            </w:r>
          </w:p>
          <w:p w14:paraId="77730D2F" w14:textId="77777777" w:rsidR="0094796F" w:rsidRPr="0094796F" w:rsidRDefault="0094796F" w:rsidP="0088144A">
            <w:pPr>
              <w:rPr>
                <w:rFonts w:ascii="Arial" w:hAnsi="Arial" w:cs="Arial"/>
                <w:b/>
                <w:bCs/>
                <w:color w:val="000000"/>
              </w:rPr>
            </w:pPr>
          </w:p>
          <w:p w14:paraId="13CDB9DD" w14:textId="77777777" w:rsidR="0094796F" w:rsidRPr="0094796F" w:rsidRDefault="0094796F" w:rsidP="0088144A">
            <w:pPr>
              <w:rPr>
                <w:rFonts w:ascii="Arial" w:hAnsi="Arial" w:cs="Arial"/>
                <w:b/>
                <w:bCs/>
                <w:color w:val="000000"/>
              </w:rPr>
            </w:pPr>
          </w:p>
          <w:p w14:paraId="56601B71" w14:textId="77777777" w:rsidR="0094796F" w:rsidRPr="0094796F" w:rsidRDefault="0094796F" w:rsidP="0088144A">
            <w:pPr>
              <w:rPr>
                <w:rFonts w:ascii="Arial" w:hAnsi="Arial" w:cs="Arial"/>
                <w:b/>
                <w:bCs/>
                <w:color w:val="000000"/>
              </w:rPr>
            </w:pPr>
          </w:p>
          <w:p w14:paraId="400994D1" w14:textId="77777777" w:rsidR="0094796F" w:rsidRPr="0094796F" w:rsidRDefault="0094796F" w:rsidP="0088144A">
            <w:pPr>
              <w:rPr>
                <w:rFonts w:ascii="Arial" w:hAnsi="Arial" w:cs="Arial"/>
                <w:b/>
                <w:bCs/>
                <w:color w:val="000000"/>
              </w:rPr>
            </w:pPr>
          </w:p>
          <w:p w14:paraId="4A9EFCCD" w14:textId="77777777" w:rsidR="0094796F" w:rsidRPr="0094796F" w:rsidRDefault="0094796F" w:rsidP="0088144A">
            <w:pPr>
              <w:rPr>
                <w:rFonts w:ascii="Arial" w:hAnsi="Arial" w:cs="Arial"/>
                <w:b/>
                <w:bCs/>
                <w:color w:val="000000"/>
              </w:rPr>
            </w:pPr>
          </w:p>
          <w:p w14:paraId="50552D5F" w14:textId="77777777" w:rsidR="0094796F" w:rsidRPr="0094796F" w:rsidRDefault="0094796F" w:rsidP="0088144A">
            <w:pPr>
              <w:rPr>
                <w:rFonts w:ascii="Arial" w:hAnsi="Arial" w:cs="Arial"/>
                <w:b/>
                <w:bCs/>
                <w:color w:val="000000"/>
              </w:rPr>
            </w:pPr>
          </w:p>
          <w:p w14:paraId="6EBA7ABD" w14:textId="77777777" w:rsidR="0094796F" w:rsidRPr="0094796F" w:rsidRDefault="0094796F" w:rsidP="0088144A">
            <w:pPr>
              <w:rPr>
                <w:rFonts w:ascii="Arial" w:hAnsi="Arial" w:cs="Arial"/>
                <w:b/>
                <w:bCs/>
                <w:color w:val="000000"/>
              </w:rPr>
            </w:pPr>
          </w:p>
          <w:p w14:paraId="03038DB7" w14:textId="77777777" w:rsidR="0094796F" w:rsidRPr="0094796F" w:rsidRDefault="0094796F" w:rsidP="0088144A">
            <w:pPr>
              <w:rPr>
                <w:rFonts w:ascii="Arial" w:hAnsi="Arial" w:cs="Arial"/>
                <w:b/>
                <w:bCs/>
                <w:color w:val="000000"/>
              </w:rPr>
            </w:pPr>
          </w:p>
          <w:p w14:paraId="3A604BEB" w14:textId="77777777" w:rsidR="0094796F" w:rsidRPr="0094796F" w:rsidRDefault="0094796F" w:rsidP="0088144A">
            <w:pPr>
              <w:rPr>
                <w:rFonts w:ascii="Arial" w:hAnsi="Arial" w:cs="Arial"/>
                <w:b/>
                <w:bCs/>
                <w:color w:val="000000"/>
              </w:rPr>
            </w:pPr>
          </w:p>
          <w:p w14:paraId="1B4D572F" w14:textId="77777777" w:rsidR="0094796F" w:rsidRPr="0094796F" w:rsidRDefault="0094796F" w:rsidP="0088144A">
            <w:pPr>
              <w:rPr>
                <w:rFonts w:ascii="Arial" w:hAnsi="Arial" w:cs="Arial"/>
                <w:b/>
                <w:bCs/>
                <w:color w:val="000000"/>
              </w:rPr>
            </w:pPr>
          </w:p>
          <w:p w14:paraId="01166445" w14:textId="77777777" w:rsidR="0094796F" w:rsidRPr="0094796F" w:rsidRDefault="0094796F" w:rsidP="0088144A">
            <w:pPr>
              <w:rPr>
                <w:rFonts w:ascii="Arial" w:hAnsi="Arial" w:cs="Arial"/>
                <w:b/>
                <w:bCs/>
                <w:color w:val="000000"/>
              </w:rPr>
            </w:pPr>
          </w:p>
        </w:tc>
      </w:tr>
      <w:tr w:rsidR="0094796F" w:rsidRPr="0094796F" w14:paraId="4C15EF3E" w14:textId="77777777" w:rsidTr="0088144A">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5B061BF2" w14:textId="163BA9E2" w:rsidR="0094796F" w:rsidRPr="0094796F" w:rsidRDefault="0094796F" w:rsidP="0088144A">
            <w:pPr>
              <w:rPr>
                <w:rFonts w:ascii="Arial" w:hAnsi="Arial" w:cs="Arial"/>
                <w:b/>
                <w:bCs/>
                <w:color w:val="000000"/>
              </w:rPr>
            </w:pPr>
            <w:r w:rsidRPr="0094796F">
              <w:rPr>
                <w:rFonts w:ascii="Arial" w:hAnsi="Arial" w:cs="Arial"/>
                <w:b/>
                <w:bCs/>
                <w:color w:val="000000"/>
              </w:rPr>
              <w:t xml:space="preserve">5. </w:t>
            </w:r>
            <w:r w:rsidR="00CF44B1">
              <w:rPr>
                <w:rFonts w:ascii="Arial" w:hAnsi="Arial" w:cs="Arial"/>
                <w:b/>
                <w:bCs/>
                <w:color w:val="000000"/>
              </w:rPr>
              <w:t>Adecuaciones</w:t>
            </w:r>
            <w:r w:rsidRPr="0094796F">
              <w:rPr>
                <w:rFonts w:ascii="Arial" w:hAnsi="Arial" w:cs="Arial"/>
                <w:b/>
                <w:bCs/>
                <w:color w:val="000000"/>
              </w:rPr>
              <w:t xml:space="preserve"> </w:t>
            </w:r>
            <w:r w:rsidR="00861EBC">
              <w:rPr>
                <w:rFonts w:ascii="Arial" w:hAnsi="Arial" w:cs="Arial"/>
                <w:b/>
                <w:bCs/>
                <w:color w:val="000000"/>
              </w:rPr>
              <w:t>contable</w:t>
            </w:r>
            <w:r w:rsidR="00CF44B1">
              <w:rPr>
                <w:rFonts w:ascii="Arial" w:hAnsi="Arial" w:cs="Arial"/>
                <w:b/>
                <w:bCs/>
                <w:color w:val="000000"/>
              </w:rPr>
              <w:t>s</w:t>
            </w:r>
            <w:r w:rsidR="00861EBC">
              <w:rPr>
                <w:rFonts w:ascii="Arial" w:hAnsi="Arial" w:cs="Arial"/>
                <w:b/>
                <w:bCs/>
                <w:color w:val="000000"/>
              </w:rPr>
              <w:t xml:space="preserve"> producto de regulación de</w:t>
            </w:r>
            <w:r w:rsidR="00CF44B1">
              <w:rPr>
                <w:rFonts w:ascii="Arial" w:hAnsi="Arial" w:cs="Arial"/>
                <w:b/>
                <w:bCs/>
                <w:color w:val="000000"/>
              </w:rPr>
              <w:t>l Comité de</w:t>
            </w:r>
            <w:r w:rsidR="00861EBC">
              <w:rPr>
                <w:rFonts w:ascii="Arial" w:hAnsi="Arial" w:cs="Arial"/>
                <w:b/>
                <w:bCs/>
                <w:color w:val="000000"/>
              </w:rPr>
              <w:t xml:space="preserve"> Basilea</w:t>
            </w:r>
            <w:r w:rsidRPr="0094796F">
              <w:rPr>
                <w:rFonts w:ascii="Arial" w:hAnsi="Arial" w:cs="Arial"/>
                <w:b/>
                <w:bCs/>
                <w:color w:val="000000"/>
              </w:rPr>
              <w:t>.</w:t>
            </w:r>
          </w:p>
          <w:p w14:paraId="146AFBD1" w14:textId="77777777" w:rsidR="0094796F" w:rsidRPr="0094796F" w:rsidRDefault="0094796F" w:rsidP="0088144A">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674B3FCA" w14:textId="412E9458" w:rsidR="0094796F" w:rsidRPr="0094796F" w:rsidRDefault="0094796F" w:rsidP="0088144A">
            <w:pPr>
              <w:rPr>
                <w:rFonts w:ascii="Arial" w:hAnsi="Arial" w:cs="Arial"/>
                <w:b/>
                <w:bCs/>
                <w:color w:val="000000"/>
              </w:rPr>
            </w:pPr>
            <w:r w:rsidRPr="0094796F">
              <w:rPr>
                <w:rFonts w:ascii="Arial" w:hAnsi="Arial" w:cs="Arial"/>
                <w:color w:val="000000"/>
              </w:rPr>
              <w:t>Seguimiento – Análisis de</w:t>
            </w:r>
            <w:r w:rsidR="00CF44B1">
              <w:rPr>
                <w:rFonts w:ascii="Arial" w:hAnsi="Arial" w:cs="Arial"/>
                <w:color w:val="000000"/>
              </w:rPr>
              <w:t xml:space="preserve"> los</w:t>
            </w:r>
            <w:r w:rsidR="000F3757">
              <w:rPr>
                <w:rFonts w:ascii="Arial" w:hAnsi="Arial" w:cs="Arial"/>
                <w:color w:val="000000"/>
              </w:rPr>
              <w:t xml:space="preserve"> impacto</w:t>
            </w:r>
            <w:r w:rsidR="00CF44B1">
              <w:rPr>
                <w:rFonts w:ascii="Arial" w:hAnsi="Arial" w:cs="Arial"/>
                <w:color w:val="000000"/>
              </w:rPr>
              <w:t>s</w:t>
            </w:r>
            <w:r w:rsidR="000F3757">
              <w:rPr>
                <w:rFonts w:ascii="Arial" w:hAnsi="Arial" w:cs="Arial"/>
                <w:color w:val="000000"/>
              </w:rPr>
              <w:t xml:space="preserve"> en</w:t>
            </w:r>
            <w:r w:rsidRPr="0094796F">
              <w:rPr>
                <w:rFonts w:ascii="Arial" w:hAnsi="Arial" w:cs="Arial"/>
                <w:color w:val="000000"/>
              </w:rPr>
              <w:t xml:space="preserve"> la información contable como </w:t>
            </w:r>
            <w:r w:rsidR="000F3757">
              <w:rPr>
                <w:rFonts w:ascii="Arial" w:hAnsi="Arial" w:cs="Arial"/>
                <w:color w:val="000000"/>
              </w:rPr>
              <w:t>consecuencia de</w:t>
            </w:r>
            <w:r w:rsidRPr="0094796F">
              <w:rPr>
                <w:rFonts w:ascii="Arial" w:hAnsi="Arial" w:cs="Arial"/>
                <w:color w:val="000000"/>
              </w:rPr>
              <w:t xml:space="preserve"> la </w:t>
            </w:r>
            <w:r w:rsidR="000F3757">
              <w:rPr>
                <w:rFonts w:ascii="Arial" w:hAnsi="Arial" w:cs="Arial"/>
                <w:color w:val="000000"/>
              </w:rPr>
              <w:t xml:space="preserve">adopción de </w:t>
            </w:r>
            <w:r w:rsidRPr="0094796F">
              <w:rPr>
                <w:rFonts w:ascii="Arial" w:hAnsi="Arial" w:cs="Arial"/>
                <w:color w:val="000000"/>
              </w:rPr>
              <w:t>normativa prudencial</w:t>
            </w:r>
            <w:r w:rsidR="000F3757">
              <w:rPr>
                <w:rFonts w:ascii="Arial" w:hAnsi="Arial" w:cs="Arial"/>
                <w:color w:val="000000"/>
              </w:rPr>
              <w:t xml:space="preserve"> </w:t>
            </w:r>
            <w:r w:rsidR="00CF44B1">
              <w:rPr>
                <w:rFonts w:ascii="Arial" w:hAnsi="Arial" w:cs="Arial"/>
                <w:color w:val="000000"/>
              </w:rPr>
              <w:t xml:space="preserve">emanada del Comité de </w:t>
            </w:r>
            <w:r w:rsidR="000F3757">
              <w:rPr>
                <w:rFonts w:ascii="Arial" w:hAnsi="Arial" w:cs="Arial"/>
                <w:color w:val="000000"/>
              </w:rPr>
              <w:t>Basilea</w:t>
            </w:r>
            <w:r w:rsidRPr="0094796F">
              <w:rPr>
                <w:rFonts w:ascii="Arial" w:hAnsi="Arial" w:cs="Arial"/>
                <w:color w:val="000000"/>
              </w:rPr>
              <w:t>.</w:t>
            </w:r>
          </w:p>
          <w:p w14:paraId="4CDB116F" w14:textId="77777777" w:rsidR="0094796F" w:rsidRPr="0094796F" w:rsidRDefault="0094796F" w:rsidP="0088144A">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0B389C21" w14:textId="77777777" w:rsidR="0094796F" w:rsidRPr="0094796F" w:rsidRDefault="0094796F" w:rsidP="0088144A">
            <w:pPr>
              <w:rPr>
                <w:rFonts w:ascii="Arial" w:hAnsi="Arial" w:cs="Arial"/>
                <w:b/>
                <w:bCs/>
                <w:color w:val="000000"/>
              </w:rPr>
            </w:pPr>
            <w:r w:rsidRPr="0094796F">
              <w:rPr>
                <w:rFonts w:ascii="Arial" w:hAnsi="Arial" w:cs="Arial"/>
                <w:color w:val="000000"/>
              </w:rPr>
              <w:t>Permanente</w:t>
            </w:r>
          </w:p>
          <w:p w14:paraId="15CA586F" w14:textId="77777777" w:rsidR="0094796F" w:rsidRPr="0094796F" w:rsidRDefault="0094796F" w:rsidP="0088144A">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0EAF67E1" w14:textId="77777777" w:rsidR="0094796F" w:rsidRPr="0094796F" w:rsidRDefault="0094796F" w:rsidP="0088144A">
            <w:pPr>
              <w:rPr>
                <w:rFonts w:ascii="Arial" w:hAnsi="Arial" w:cs="Arial"/>
              </w:rPr>
            </w:pPr>
            <w:r w:rsidRPr="0094796F">
              <w:rPr>
                <w:rFonts w:ascii="Arial" w:hAnsi="Arial" w:cs="Arial"/>
                <w:color w:val="000000"/>
              </w:rPr>
              <w:t>SGT N° 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7A30D623" w14:textId="77777777" w:rsidR="0094796F" w:rsidRPr="0094796F" w:rsidRDefault="0094796F" w:rsidP="0088144A">
            <w:pPr>
              <w:rPr>
                <w:rFonts w:ascii="Arial" w:hAnsi="Arial" w:cs="Arial"/>
                <w:b/>
                <w:bCs/>
                <w:color w:val="000000"/>
              </w:rPr>
            </w:pPr>
            <w:r w:rsidRPr="0094796F">
              <w:rPr>
                <w:rFonts w:ascii="Arial" w:hAnsi="Arial" w:cs="Arial"/>
              </w:rPr>
              <w:t>-</w:t>
            </w:r>
          </w:p>
          <w:p w14:paraId="3E93EDC8" w14:textId="77777777" w:rsidR="0094796F" w:rsidRPr="0094796F" w:rsidRDefault="0094796F" w:rsidP="0088144A">
            <w:pPr>
              <w:rPr>
                <w:rFonts w:ascii="Arial" w:hAnsi="Arial" w:cs="Arial"/>
                <w:b/>
                <w:bCs/>
                <w:color w:val="000000"/>
              </w:rPr>
            </w:pPr>
          </w:p>
        </w:tc>
      </w:tr>
      <w:tr w:rsidR="0094796F" w:rsidRPr="0094796F" w14:paraId="2F156905" w14:textId="77777777" w:rsidTr="0088144A">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A68E51E" w14:textId="697D444D" w:rsidR="0094796F" w:rsidRPr="001C0C68" w:rsidRDefault="0094796F" w:rsidP="00574D32">
            <w:pPr>
              <w:rPr>
                <w:rFonts w:ascii="Arial" w:hAnsi="Arial" w:cs="Arial"/>
                <w:b/>
                <w:bCs/>
                <w:color w:val="000000"/>
                <w:lang w:val="pt-BR"/>
              </w:rPr>
            </w:pPr>
            <w:r w:rsidRPr="001C0C68">
              <w:rPr>
                <w:rFonts w:ascii="Arial" w:hAnsi="Arial" w:cs="Arial"/>
                <w:b/>
                <w:bCs/>
                <w:color w:val="000000"/>
                <w:lang w:val="pt-BR"/>
              </w:rPr>
              <w:t>6. Normas Relativas a Auditores Externos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305A03FF" w14:textId="77777777" w:rsidR="0094796F" w:rsidRDefault="0094796F" w:rsidP="00574D32">
            <w:pPr>
              <w:rPr>
                <w:rFonts w:ascii="Arial" w:hAnsi="Arial" w:cs="Arial"/>
                <w:color w:val="000000"/>
              </w:rPr>
            </w:pPr>
            <w:r w:rsidRPr="0094796F">
              <w:rPr>
                <w:rFonts w:ascii="Arial" w:hAnsi="Arial" w:cs="Arial"/>
                <w:color w:val="000000"/>
              </w:rPr>
              <w:t>Seguimiento - Actualización de la normativa.</w:t>
            </w:r>
          </w:p>
          <w:p w14:paraId="72C3C65E" w14:textId="0DFCA531" w:rsidR="006F4CBF" w:rsidRPr="0094796F" w:rsidRDefault="006F4CBF" w:rsidP="00574D32">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5B9DFAFC" w14:textId="77777777" w:rsidR="0094796F" w:rsidRPr="0094796F" w:rsidRDefault="0094796F" w:rsidP="0088144A">
            <w:pPr>
              <w:rPr>
                <w:rFonts w:ascii="Arial" w:hAnsi="Arial" w:cs="Arial"/>
                <w:b/>
                <w:bCs/>
                <w:color w:val="000000"/>
              </w:rPr>
            </w:pPr>
            <w:r w:rsidRPr="0094796F">
              <w:rPr>
                <w:rFonts w:ascii="Arial" w:hAnsi="Arial" w:cs="Arial"/>
                <w:color w:val="000000"/>
              </w:rPr>
              <w:t>Permanente</w:t>
            </w:r>
          </w:p>
          <w:p w14:paraId="56B27288" w14:textId="77777777" w:rsidR="0094796F" w:rsidRPr="0094796F" w:rsidRDefault="0094796F" w:rsidP="0088144A">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16E0B535" w14:textId="77777777" w:rsidR="0094796F" w:rsidRPr="0094796F" w:rsidRDefault="0094796F" w:rsidP="0088144A">
            <w:pPr>
              <w:rPr>
                <w:rFonts w:ascii="Arial" w:hAnsi="Arial" w:cs="Arial"/>
              </w:rPr>
            </w:pPr>
            <w:r w:rsidRPr="0094796F">
              <w:rPr>
                <w:rFonts w:ascii="Arial" w:hAnsi="Arial" w:cs="Arial"/>
                <w:color w:val="000000"/>
              </w:rPr>
              <w:t>SGT N° 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45947803" w14:textId="77777777" w:rsidR="0094796F" w:rsidRPr="0094796F" w:rsidRDefault="0094796F" w:rsidP="0088144A">
            <w:pPr>
              <w:rPr>
                <w:rFonts w:ascii="Arial" w:hAnsi="Arial" w:cs="Arial"/>
                <w:b/>
                <w:bCs/>
                <w:color w:val="000000"/>
              </w:rPr>
            </w:pPr>
            <w:r w:rsidRPr="0094796F">
              <w:rPr>
                <w:rFonts w:ascii="Arial" w:hAnsi="Arial" w:cs="Arial"/>
              </w:rPr>
              <w:t>-</w:t>
            </w:r>
          </w:p>
          <w:p w14:paraId="6BCCE90C" w14:textId="77777777" w:rsidR="0094796F" w:rsidRPr="0094796F" w:rsidRDefault="0094796F" w:rsidP="0088144A">
            <w:pPr>
              <w:rPr>
                <w:rFonts w:ascii="Arial" w:hAnsi="Arial" w:cs="Arial"/>
                <w:b/>
                <w:bCs/>
                <w:color w:val="000000"/>
              </w:rPr>
            </w:pPr>
          </w:p>
        </w:tc>
      </w:tr>
      <w:tr w:rsidR="0094796F" w:rsidRPr="0094796F" w14:paraId="30946FDF" w14:textId="77777777" w:rsidTr="0088144A">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36AC1CD" w14:textId="77777777" w:rsidR="0094796F" w:rsidRPr="0094796F" w:rsidRDefault="0094796F" w:rsidP="0088144A">
            <w:pPr>
              <w:rPr>
                <w:rFonts w:ascii="Arial" w:hAnsi="Arial" w:cs="Arial"/>
                <w:b/>
                <w:bCs/>
                <w:color w:val="000000"/>
              </w:rPr>
            </w:pPr>
            <w:r w:rsidRPr="0094796F">
              <w:rPr>
                <w:rFonts w:ascii="Arial" w:hAnsi="Arial" w:cs="Arial"/>
                <w:b/>
                <w:bCs/>
                <w:color w:val="000000"/>
              </w:rPr>
              <w:t>7. Presentación de un tema específico</w:t>
            </w:r>
          </w:p>
          <w:p w14:paraId="1199BF46" w14:textId="77777777" w:rsidR="0094796F" w:rsidRPr="0094796F" w:rsidRDefault="0094796F" w:rsidP="0088144A">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3B335D66" w14:textId="21FF0972" w:rsidR="0094796F" w:rsidRPr="0094796F" w:rsidRDefault="0094796F" w:rsidP="003F4785">
            <w:pPr>
              <w:rPr>
                <w:rFonts w:ascii="Arial" w:hAnsi="Arial" w:cs="Arial"/>
                <w:color w:val="000000"/>
              </w:rPr>
            </w:pPr>
            <w:r w:rsidRPr="0094796F">
              <w:rPr>
                <w:rFonts w:ascii="Arial" w:hAnsi="Arial" w:cs="Arial"/>
                <w:color w:val="000000"/>
              </w:rPr>
              <w:lastRenderedPageBreak/>
              <w:t>Diagnóstico - Presentación por parte del país sede</w:t>
            </w:r>
            <w:r w:rsidR="003F4785">
              <w:rPr>
                <w:rFonts w:ascii="Arial" w:hAnsi="Arial" w:cs="Arial"/>
                <w:color w:val="000000"/>
              </w:rPr>
              <w:t xml:space="preserve"> y eventualmente </w:t>
            </w:r>
            <w:r w:rsidR="003F4785">
              <w:rPr>
                <w:rFonts w:ascii="Arial" w:hAnsi="Arial" w:cs="Arial"/>
                <w:color w:val="000000"/>
              </w:rPr>
              <w:lastRenderedPageBreak/>
              <w:t>de otras delegaciones</w:t>
            </w:r>
            <w:r w:rsidRPr="0094796F">
              <w:rPr>
                <w:rFonts w:ascii="Arial" w:hAnsi="Arial" w:cs="Arial"/>
                <w:color w:val="000000"/>
              </w:rPr>
              <w:t>, de un tema específico de</w:t>
            </w:r>
            <w:r>
              <w:rPr>
                <w:rFonts w:ascii="Arial" w:hAnsi="Arial" w:cs="Arial"/>
                <w:color w:val="000000"/>
              </w:rPr>
              <w:t xml:space="preserve"> </w:t>
            </w:r>
            <w:r w:rsidRPr="0094796F">
              <w:rPr>
                <w:rFonts w:ascii="Arial" w:hAnsi="Arial" w:cs="Arial"/>
                <w:color w:val="000000"/>
              </w:rPr>
              <w:t xml:space="preserve">interés </w:t>
            </w:r>
            <w:r w:rsidR="003F4785">
              <w:rPr>
                <w:rFonts w:ascii="Arial" w:hAnsi="Arial" w:cs="Arial"/>
                <w:color w:val="000000"/>
              </w:rPr>
              <w:t>para la Subcomisión.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3C92E35A" w14:textId="77777777" w:rsidR="0094796F" w:rsidRPr="0094796F" w:rsidRDefault="0094796F" w:rsidP="0088144A">
            <w:pPr>
              <w:rPr>
                <w:rFonts w:ascii="Arial" w:hAnsi="Arial" w:cs="Arial"/>
                <w:b/>
                <w:bCs/>
                <w:color w:val="000000"/>
              </w:rPr>
            </w:pPr>
            <w:r w:rsidRPr="0094796F">
              <w:rPr>
                <w:rFonts w:ascii="Arial" w:hAnsi="Arial" w:cs="Arial"/>
                <w:color w:val="000000"/>
              </w:rPr>
              <w:lastRenderedPageBreak/>
              <w:t>Permanente</w:t>
            </w:r>
          </w:p>
          <w:p w14:paraId="6A28D09B" w14:textId="77777777" w:rsidR="0094796F" w:rsidRPr="0094796F" w:rsidRDefault="0094796F" w:rsidP="0088144A">
            <w:pPr>
              <w:rPr>
                <w:rFonts w:ascii="Arial" w:hAnsi="Arial" w:cs="Arial"/>
                <w:b/>
                <w:bCs/>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3AD7AD24" w14:textId="77777777" w:rsidR="0094796F" w:rsidRPr="0094796F" w:rsidRDefault="0094796F" w:rsidP="0088144A">
            <w:pPr>
              <w:rPr>
                <w:rFonts w:ascii="Arial" w:hAnsi="Arial" w:cs="Arial"/>
              </w:rPr>
            </w:pPr>
            <w:r w:rsidRPr="0094796F">
              <w:rPr>
                <w:rFonts w:ascii="Arial" w:hAnsi="Arial" w:cs="Arial"/>
                <w:color w:val="000000"/>
              </w:rPr>
              <w:t>SGT N° 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7F1A07F4" w14:textId="77777777" w:rsidR="0094796F" w:rsidRPr="0094796F" w:rsidRDefault="0094796F" w:rsidP="0088144A">
            <w:pPr>
              <w:rPr>
                <w:rFonts w:ascii="Arial" w:hAnsi="Arial" w:cs="Arial"/>
                <w:color w:val="000000"/>
              </w:rPr>
            </w:pPr>
            <w:r w:rsidRPr="0094796F">
              <w:rPr>
                <w:rFonts w:ascii="Arial" w:hAnsi="Arial" w:cs="Arial"/>
              </w:rPr>
              <w:t>-</w:t>
            </w:r>
          </w:p>
          <w:p w14:paraId="24B01F97" w14:textId="77777777" w:rsidR="0094796F" w:rsidRPr="0094796F" w:rsidRDefault="0094796F" w:rsidP="0088144A">
            <w:pPr>
              <w:rPr>
                <w:rFonts w:ascii="Arial" w:hAnsi="Arial" w:cs="Arial"/>
                <w:color w:val="000000"/>
              </w:rPr>
            </w:pPr>
          </w:p>
          <w:p w14:paraId="13B8B8C1" w14:textId="77777777" w:rsidR="0094796F" w:rsidRPr="0094796F" w:rsidRDefault="0094796F" w:rsidP="0088144A">
            <w:pPr>
              <w:rPr>
                <w:rFonts w:ascii="Arial" w:hAnsi="Arial" w:cs="Arial"/>
                <w:b/>
                <w:bCs/>
                <w:color w:val="000000"/>
              </w:rPr>
            </w:pPr>
          </w:p>
        </w:tc>
      </w:tr>
      <w:tr w:rsidR="00E6410E" w:rsidRPr="0094796F" w14:paraId="5A6F5049" w14:textId="77777777" w:rsidTr="0088144A">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F43E0E" w14:textId="6048BDE6" w:rsidR="00E6410E" w:rsidRPr="0094796F" w:rsidRDefault="00E6410E" w:rsidP="0088144A">
            <w:pPr>
              <w:rPr>
                <w:rFonts w:ascii="Arial" w:hAnsi="Arial" w:cs="Arial"/>
                <w:b/>
                <w:bCs/>
                <w:color w:val="000000"/>
              </w:rPr>
            </w:pPr>
            <w:r w:rsidRPr="00E6410E">
              <w:rPr>
                <w:rFonts w:ascii="Arial" w:hAnsi="Arial" w:cs="Arial"/>
                <w:b/>
                <w:bCs/>
                <w:color w:val="000000"/>
              </w:rPr>
              <w:t>8. Reporte anual comparativo</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03FD6C74" w14:textId="1D57126A" w:rsidR="00E6410E" w:rsidRPr="0094796F" w:rsidRDefault="00E6410E" w:rsidP="003F4785">
            <w:pPr>
              <w:rPr>
                <w:rFonts w:ascii="Arial" w:hAnsi="Arial" w:cs="Arial"/>
                <w:color w:val="000000"/>
              </w:rPr>
            </w:pPr>
            <w:r w:rsidRPr="00E6410E">
              <w:rPr>
                <w:rFonts w:ascii="Arial" w:hAnsi="Arial" w:cs="Arial"/>
                <w:color w:val="000000"/>
              </w:rPr>
              <w:t>Diagnóstico – Elaboración de un reporte anual comparativo sobre la situación de los países participantes en relación a un tema específico del ámbito de la Subcomisión.</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772820DD" w14:textId="77777777" w:rsidR="00E6410E" w:rsidRPr="0094796F" w:rsidRDefault="00E6410E" w:rsidP="00E6410E">
            <w:pPr>
              <w:rPr>
                <w:rFonts w:ascii="Arial" w:hAnsi="Arial" w:cs="Arial"/>
                <w:b/>
                <w:bCs/>
                <w:color w:val="000000"/>
              </w:rPr>
            </w:pPr>
            <w:r w:rsidRPr="0094796F">
              <w:rPr>
                <w:rFonts w:ascii="Arial" w:hAnsi="Arial" w:cs="Arial"/>
                <w:color w:val="000000"/>
              </w:rPr>
              <w:t>Permanente</w:t>
            </w:r>
          </w:p>
          <w:p w14:paraId="2C36534E" w14:textId="77777777" w:rsidR="00E6410E" w:rsidRPr="0094796F" w:rsidRDefault="00E6410E" w:rsidP="0088144A">
            <w:pPr>
              <w:rPr>
                <w:rFonts w:ascii="Arial" w:hAnsi="Arial" w:cs="Arial"/>
                <w:color w:val="00000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3B269929" w14:textId="6186D261" w:rsidR="00E6410E" w:rsidRPr="0094796F" w:rsidRDefault="00E6410E" w:rsidP="0088144A">
            <w:pPr>
              <w:rPr>
                <w:rFonts w:ascii="Arial" w:hAnsi="Arial" w:cs="Arial"/>
                <w:color w:val="000000"/>
              </w:rPr>
            </w:pPr>
            <w:r w:rsidRPr="0094796F">
              <w:rPr>
                <w:rFonts w:ascii="Arial" w:hAnsi="Arial" w:cs="Arial"/>
                <w:color w:val="000000"/>
              </w:rPr>
              <w:t>SGT N° 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58167A2A" w14:textId="77777777" w:rsidR="00E6410E" w:rsidRPr="0094796F" w:rsidRDefault="00E6410E" w:rsidP="00E6410E">
            <w:pPr>
              <w:rPr>
                <w:rFonts w:ascii="Arial" w:hAnsi="Arial" w:cs="Arial"/>
                <w:color w:val="000000"/>
              </w:rPr>
            </w:pPr>
            <w:r w:rsidRPr="0094796F">
              <w:rPr>
                <w:rFonts w:ascii="Arial" w:hAnsi="Arial" w:cs="Arial"/>
              </w:rPr>
              <w:t>-</w:t>
            </w:r>
          </w:p>
          <w:p w14:paraId="52CE9678" w14:textId="77777777" w:rsidR="00E6410E" w:rsidRPr="0094796F" w:rsidRDefault="00E6410E" w:rsidP="0088144A">
            <w:pPr>
              <w:rPr>
                <w:rFonts w:ascii="Arial" w:hAnsi="Arial" w:cs="Arial"/>
              </w:rPr>
            </w:pPr>
          </w:p>
        </w:tc>
      </w:tr>
    </w:tbl>
    <w:p w14:paraId="71C49269" w14:textId="77777777" w:rsidR="00F41AB9" w:rsidRPr="006139F5" w:rsidRDefault="00F41AB9" w:rsidP="00F41AB9">
      <w:pPr>
        <w:suppressLineNumbers/>
        <w:suppressAutoHyphens/>
        <w:spacing w:after="0" w:line="240" w:lineRule="auto"/>
        <w:jc w:val="both"/>
        <w:rPr>
          <w:rFonts w:ascii="Arial" w:eastAsia="Times New Roman" w:hAnsi="Arial" w:cs="Arial"/>
          <w:sz w:val="24"/>
          <w:szCs w:val="24"/>
          <w:lang w:eastAsia="ar-SA"/>
        </w:rPr>
      </w:pPr>
    </w:p>
    <w:p w14:paraId="1D31AAED" w14:textId="77777777" w:rsidR="00F41AB9" w:rsidRPr="006139F5" w:rsidRDefault="00F41AB9" w:rsidP="00F41AB9">
      <w:pPr>
        <w:suppressLineNumbers/>
        <w:suppressAutoHyphens/>
        <w:spacing w:after="0" w:line="240" w:lineRule="auto"/>
        <w:jc w:val="both"/>
        <w:rPr>
          <w:rFonts w:ascii="Arial" w:eastAsia="Times New Roman" w:hAnsi="Arial" w:cs="Arial"/>
          <w:b/>
          <w:color w:val="000000"/>
          <w:sz w:val="24"/>
          <w:szCs w:val="24"/>
          <w:lang w:eastAsia="ar-SA"/>
        </w:rPr>
      </w:pPr>
    </w:p>
    <w:p w14:paraId="10D8E653" w14:textId="77777777" w:rsidR="00EE7F84" w:rsidRDefault="00EE7F84" w:rsidP="00F41AB9">
      <w:pPr>
        <w:suppressLineNumbers/>
        <w:suppressAutoHyphens/>
        <w:spacing w:after="0" w:line="240" w:lineRule="auto"/>
        <w:jc w:val="both"/>
        <w:rPr>
          <w:rFonts w:ascii="Arial" w:eastAsia="Times New Roman" w:hAnsi="Arial" w:cs="Arial"/>
          <w:b/>
          <w:color w:val="000000"/>
          <w:sz w:val="24"/>
          <w:szCs w:val="24"/>
          <w:lang w:eastAsia="ar-SA"/>
        </w:rPr>
      </w:pPr>
    </w:p>
    <w:p w14:paraId="278CFCE4" w14:textId="77777777" w:rsidR="00EE7F84" w:rsidRDefault="00EE7F84" w:rsidP="00F41AB9">
      <w:pPr>
        <w:suppressLineNumbers/>
        <w:suppressAutoHyphens/>
        <w:spacing w:after="0" w:line="240" w:lineRule="auto"/>
        <w:jc w:val="both"/>
        <w:rPr>
          <w:rFonts w:ascii="Arial" w:eastAsia="Times New Roman" w:hAnsi="Arial" w:cs="Arial"/>
          <w:b/>
          <w:color w:val="000000"/>
          <w:sz w:val="24"/>
          <w:szCs w:val="24"/>
          <w:lang w:eastAsia="ar-SA"/>
        </w:rPr>
      </w:pPr>
    </w:p>
    <w:p w14:paraId="1577056A" w14:textId="6C08C57B" w:rsidR="00F41AB9" w:rsidRPr="006139F5" w:rsidRDefault="00F41AB9" w:rsidP="00F41AB9">
      <w:pPr>
        <w:suppressLineNumbers/>
        <w:suppressAutoHyphens/>
        <w:spacing w:after="0" w:line="240" w:lineRule="auto"/>
        <w:jc w:val="both"/>
        <w:rPr>
          <w:rFonts w:ascii="Arial" w:eastAsia="Times New Roman" w:hAnsi="Arial" w:cs="Arial"/>
          <w:sz w:val="24"/>
          <w:szCs w:val="24"/>
          <w:lang w:eastAsia="ar-SA"/>
        </w:rPr>
      </w:pPr>
      <w:r w:rsidRPr="006139F5">
        <w:rPr>
          <w:rFonts w:ascii="Arial" w:eastAsia="Times New Roman" w:hAnsi="Arial" w:cs="Arial"/>
          <w:b/>
          <w:color w:val="000000"/>
          <w:sz w:val="24"/>
          <w:szCs w:val="24"/>
          <w:lang w:eastAsia="ar-SA"/>
        </w:rPr>
        <w:t>PRÓXIMA REUNIÓN</w:t>
      </w:r>
    </w:p>
    <w:p w14:paraId="121779A5" w14:textId="77777777" w:rsidR="00F41AB9" w:rsidRPr="006139F5" w:rsidRDefault="00F41AB9" w:rsidP="00F41AB9">
      <w:pPr>
        <w:suppressAutoHyphens/>
        <w:spacing w:after="0" w:line="240" w:lineRule="auto"/>
        <w:jc w:val="both"/>
        <w:rPr>
          <w:rFonts w:ascii="Arial" w:eastAsia="Times New Roman" w:hAnsi="Arial" w:cs="Arial"/>
          <w:sz w:val="24"/>
          <w:szCs w:val="24"/>
          <w:lang w:eastAsia="ar-SA"/>
        </w:rPr>
      </w:pPr>
    </w:p>
    <w:p w14:paraId="29A26305" w14:textId="50F8150C" w:rsidR="00F41AB9" w:rsidRPr="006139F5" w:rsidRDefault="00F41AB9" w:rsidP="00F41AB9">
      <w:pPr>
        <w:suppressAutoHyphens/>
        <w:spacing w:after="0" w:line="240" w:lineRule="auto"/>
        <w:jc w:val="both"/>
        <w:rPr>
          <w:rFonts w:ascii="Arial" w:eastAsia="Times New Roman" w:hAnsi="Arial" w:cs="Arial"/>
          <w:sz w:val="24"/>
          <w:szCs w:val="24"/>
          <w:lang w:eastAsia="ar-SA"/>
        </w:rPr>
      </w:pPr>
      <w:r w:rsidRPr="006139F5">
        <w:rPr>
          <w:rFonts w:ascii="Arial" w:eastAsia="Times New Roman" w:hAnsi="Arial" w:cs="Arial"/>
          <w:sz w:val="24"/>
          <w:szCs w:val="24"/>
          <w:lang w:eastAsia="ar-SA"/>
        </w:rPr>
        <w:t>La próxima reunión de</w:t>
      </w:r>
      <w:r w:rsidR="00890193" w:rsidRPr="006139F5">
        <w:rPr>
          <w:rFonts w:ascii="Arial" w:eastAsia="Times New Roman" w:hAnsi="Arial" w:cs="Arial"/>
          <w:sz w:val="24"/>
          <w:szCs w:val="24"/>
          <w:lang w:eastAsia="ar-SA"/>
        </w:rPr>
        <w:t xml:space="preserve"> </w:t>
      </w:r>
      <w:r w:rsidRPr="006139F5">
        <w:rPr>
          <w:rFonts w:ascii="Arial" w:eastAsia="Times New Roman" w:hAnsi="Arial" w:cs="Arial"/>
          <w:sz w:val="24"/>
          <w:szCs w:val="24"/>
          <w:lang w:eastAsia="ar-SA"/>
        </w:rPr>
        <w:t>l</w:t>
      </w:r>
      <w:r w:rsidR="00890193" w:rsidRPr="006139F5">
        <w:rPr>
          <w:rFonts w:ascii="Arial" w:eastAsia="Times New Roman" w:hAnsi="Arial" w:cs="Arial"/>
          <w:sz w:val="24"/>
          <w:szCs w:val="24"/>
          <w:lang w:eastAsia="ar-SA"/>
        </w:rPr>
        <w:t>a</w:t>
      </w:r>
      <w:r w:rsidRPr="006139F5">
        <w:rPr>
          <w:rFonts w:ascii="Arial" w:eastAsia="Times New Roman" w:hAnsi="Arial" w:cs="Arial"/>
          <w:sz w:val="24"/>
          <w:szCs w:val="24"/>
          <w:lang w:eastAsia="ar-SA"/>
        </w:rPr>
        <w:t xml:space="preserve"> </w:t>
      </w:r>
      <w:r w:rsidR="00890193" w:rsidRPr="006139F5">
        <w:rPr>
          <w:rFonts w:ascii="Arial" w:eastAsia="Times New Roman" w:hAnsi="Arial" w:cs="Arial"/>
          <w:sz w:val="24"/>
          <w:szCs w:val="24"/>
          <w:lang w:eastAsia="ar-SA"/>
        </w:rPr>
        <w:t>Subcomisión de Presentación de Estados Contables será convocada oportunamente durante la próxima PPT en ejercicio.</w:t>
      </w:r>
    </w:p>
    <w:p w14:paraId="55BD7382" w14:textId="77777777" w:rsidR="00F41AB9" w:rsidRPr="006139F5" w:rsidRDefault="00F41AB9" w:rsidP="00F41AB9">
      <w:pPr>
        <w:suppressAutoHyphens/>
        <w:spacing w:after="0" w:line="240" w:lineRule="auto"/>
        <w:jc w:val="both"/>
        <w:rPr>
          <w:rFonts w:ascii="Arial" w:eastAsia="Times New Roman" w:hAnsi="Arial" w:cs="Arial"/>
          <w:sz w:val="24"/>
          <w:szCs w:val="24"/>
          <w:lang w:eastAsia="ar-SA"/>
        </w:rPr>
      </w:pPr>
    </w:p>
    <w:p w14:paraId="60052102" w14:textId="77777777" w:rsidR="00F41AB9" w:rsidRPr="006139F5" w:rsidRDefault="00F41AB9" w:rsidP="00F41AB9">
      <w:pPr>
        <w:suppressAutoHyphens/>
        <w:overflowPunct w:val="0"/>
        <w:spacing w:after="0" w:line="240" w:lineRule="auto"/>
        <w:jc w:val="both"/>
        <w:rPr>
          <w:rFonts w:ascii="Arial" w:eastAsia="Times New Roman" w:hAnsi="Arial" w:cs="Arial"/>
          <w:b/>
          <w:sz w:val="24"/>
          <w:szCs w:val="24"/>
          <w:lang w:eastAsia="ar-SA"/>
        </w:rPr>
      </w:pPr>
    </w:p>
    <w:p w14:paraId="3FD04150" w14:textId="77777777" w:rsidR="00F41AB9" w:rsidRPr="006139F5" w:rsidRDefault="00F41AB9" w:rsidP="00F41AB9">
      <w:pPr>
        <w:suppressAutoHyphens/>
        <w:overflowPunct w:val="0"/>
        <w:spacing w:after="0" w:line="240" w:lineRule="auto"/>
        <w:jc w:val="both"/>
        <w:rPr>
          <w:rFonts w:ascii="Arial" w:eastAsia="Times New Roman" w:hAnsi="Arial" w:cs="Arial"/>
          <w:b/>
          <w:sz w:val="24"/>
          <w:szCs w:val="24"/>
          <w:lang w:eastAsia="ar-SA"/>
        </w:rPr>
      </w:pPr>
    </w:p>
    <w:p w14:paraId="09973FF1" w14:textId="77777777" w:rsidR="00F41AB9" w:rsidRPr="006139F5" w:rsidRDefault="00F41AB9" w:rsidP="00F41AB9">
      <w:pPr>
        <w:suppressAutoHyphens/>
        <w:overflowPunct w:val="0"/>
        <w:spacing w:after="0" w:line="240" w:lineRule="auto"/>
        <w:jc w:val="both"/>
        <w:rPr>
          <w:rFonts w:ascii="Arial" w:eastAsia="Times New Roman" w:hAnsi="Arial" w:cs="Arial"/>
          <w:b/>
          <w:sz w:val="24"/>
          <w:szCs w:val="24"/>
          <w:lang w:eastAsia="ar-SA"/>
        </w:rPr>
      </w:pPr>
    </w:p>
    <w:p w14:paraId="432F2F2E" w14:textId="77777777"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07D62DAA" w14:textId="77777777"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7B1BA7F1" w14:textId="77777777"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70875A58" w14:textId="77777777"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44D5FF13" w14:textId="77777777"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104EB7A7" w14:textId="77777777"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073CE7BE" w14:textId="7A97B223"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2899F342" w14:textId="3515FF46" w:rsidR="006F4CBF" w:rsidRDefault="006F4CBF" w:rsidP="00F41AB9">
      <w:pPr>
        <w:suppressAutoHyphens/>
        <w:overflowPunct w:val="0"/>
        <w:spacing w:after="0" w:line="240" w:lineRule="auto"/>
        <w:jc w:val="both"/>
        <w:rPr>
          <w:rFonts w:ascii="Arial" w:eastAsia="Times New Roman" w:hAnsi="Arial" w:cs="Arial"/>
          <w:b/>
          <w:sz w:val="24"/>
          <w:szCs w:val="24"/>
          <w:lang w:eastAsia="ar-SA"/>
        </w:rPr>
      </w:pPr>
    </w:p>
    <w:p w14:paraId="27EEE12B" w14:textId="12410611" w:rsidR="006F4CBF" w:rsidRDefault="006F4CBF" w:rsidP="00F41AB9">
      <w:pPr>
        <w:suppressAutoHyphens/>
        <w:overflowPunct w:val="0"/>
        <w:spacing w:after="0" w:line="240" w:lineRule="auto"/>
        <w:jc w:val="both"/>
        <w:rPr>
          <w:rFonts w:ascii="Arial" w:eastAsia="Times New Roman" w:hAnsi="Arial" w:cs="Arial"/>
          <w:b/>
          <w:sz w:val="24"/>
          <w:szCs w:val="24"/>
          <w:lang w:eastAsia="ar-SA"/>
        </w:rPr>
      </w:pPr>
    </w:p>
    <w:p w14:paraId="63926CAD" w14:textId="03601306" w:rsidR="006F4CBF" w:rsidRDefault="006F4CBF" w:rsidP="00F41AB9">
      <w:pPr>
        <w:suppressAutoHyphens/>
        <w:overflowPunct w:val="0"/>
        <w:spacing w:after="0" w:line="240" w:lineRule="auto"/>
        <w:jc w:val="both"/>
        <w:rPr>
          <w:rFonts w:ascii="Arial" w:eastAsia="Times New Roman" w:hAnsi="Arial" w:cs="Arial"/>
          <w:b/>
          <w:sz w:val="24"/>
          <w:szCs w:val="24"/>
          <w:lang w:eastAsia="ar-SA"/>
        </w:rPr>
      </w:pPr>
    </w:p>
    <w:p w14:paraId="17C68F6B" w14:textId="3778C53A" w:rsidR="006F4CBF" w:rsidRDefault="006F4CBF" w:rsidP="00F41AB9">
      <w:pPr>
        <w:suppressAutoHyphens/>
        <w:overflowPunct w:val="0"/>
        <w:spacing w:after="0" w:line="240" w:lineRule="auto"/>
        <w:jc w:val="both"/>
        <w:rPr>
          <w:rFonts w:ascii="Arial" w:eastAsia="Times New Roman" w:hAnsi="Arial" w:cs="Arial"/>
          <w:b/>
          <w:sz w:val="24"/>
          <w:szCs w:val="24"/>
          <w:lang w:eastAsia="ar-SA"/>
        </w:rPr>
      </w:pPr>
    </w:p>
    <w:p w14:paraId="2F33153E" w14:textId="55C2B6D3" w:rsidR="006F4CBF" w:rsidRDefault="006F4CBF" w:rsidP="00F41AB9">
      <w:pPr>
        <w:suppressAutoHyphens/>
        <w:overflowPunct w:val="0"/>
        <w:spacing w:after="0" w:line="240" w:lineRule="auto"/>
        <w:jc w:val="both"/>
        <w:rPr>
          <w:rFonts w:ascii="Arial" w:eastAsia="Times New Roman" w:hAnsi="Arial" w:cs="Arial"/>
          <w:b/>
          <w:sz w:val="24"/>
          <w:szCs w:val="24"/>
          <w:lang w:eastAsia="ar-SA"/>
        </w:rPr>
      </w:pPr>
    </w:p>
    <w:p w14:paraId="29ECAB8C" w14:textId="777DED1A" w:rsidR="006F4CBF" w:rsidRDefault="006F4CBF" w:rsidP="00F41AB9">
      <w:pPr>
        <w:suppressAutoHyphens/>
        <w:overflowPunct w:val="0"/>
        <w:spacing w:after="0" w:line="240" w:lineRule="auto"/>
        <w:jc w:val="both"/>
        <w:rPr>
          <w:rFonts w:ascii="Arial" w:eastAsia="Times New Roman" w:hAnsi="Arial" w:cs="Arial"/>
          <w:b/>
          <w:sz w:val="24"/>
          <w:szCs w:val="24"/>
          <w:lang w:eastAsia="ar-SA"/>
        </w:rPr>
      </w:pPr>
    </w:p>
    <w:p w14:paraId="34FDF715" w14:textId="77777777" w:rsidR="006F4CBF" w:rsidRDefault="006F4CBF" w:rsidP="00F41AB9">
      <w:pPr>
        <w:suppressAutoHyphens/>
        <w:overflowPunct w:val="0"/>
        <w:spacing w:after="0" w:line="240" w:lineRule="auto"/>
        <w:jc w:val="both"/>
        <w:rPr>
          <w:rFonts w:ascii="Arial" w:eastAsia="Times New Roman" w:hAnsi="Arial" w:cs="Arial"/>
          <w:b/>
          <w:sz w:val="24"/>
          <w:szCs w:val="24"/>
          <w:lang w:eastAsia="ar-SA"/>
        </w:rPr>
      </w:pPr>
    </w:p>
    <w:p w14:paraId="164C6067" w14:textId="77777777"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2A9D8B13" w14:textId="77777777"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3C7AD023" w14:textId="77777777"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79F14DDB" w14:textId="77777777"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1E6B74DE" w14:textId="77777777" w:rsidR="00EE7F84" w:rsidRDefault="00EE7F84" w:rsidP="00F41AB9">
      <w:pPr>
        <w:suppressAutoHyphens/>
        <w:overflowPunct w:val="0"/>
        <w:spacing w:after="0" w:line="240" w:lineRule="auto"/>
        <w:jc w:val="both"/>
        <w:rPr>
          <w:rFonts w:ascii="Arial" w:eastAsia="Times New Roman" w:hAnsi="Arial" w:cs="Arial"/>
          <w:b/>
          <w:sz w:val="24"/>
          <w:szCs w:val="24"/>
          <w:lang w:eastAsia="ar-SA"/>
        </w:rPr>
      </w:pPr>
    </w:p>
    <w:p w14:paraId="0A7CC4BD" w14:textId="3944C5F7" w:rsidR="00F41AB9" w:rsidRPr="006139F5" w:rsidRDefault="00F41AB9" w:rsidP="00F41AB9">
      <w:pPr>
        <w:suppressAutoHyphens/>
        <w:overflowPunct w:val="0"/>
        <w:spacing w:after="0" w:line="240" w:lineRule="auto"/>
        <w:jc w:val="both"/>
        <w:rPr>
          <w:rFonts w:ascii="Arial" w:eastAsia="Times New Roman" w:hAnsi="Arial" w:cs="Arial"/>
          <w:b/>
          <w:sz w:val="24"/>
          <w:szCs w:val="24"/>
          <w:lang w:eastAsia="ar-SA"/>
        </w:rPr>
      </w:pPr>
      <w:r w:rsidRPr="006139F5">
        <w:rPr>
          <w:rFonts w:ascii="Arial" w:eastAsia="Times New Roman" w:hAnsi="Arial" w:cs="Arial"/>
          <w:b/>
          <w:sz w:val="24"/>
          <w:szCs w:val="24"/>
          <w:lang w:eastAsia="ar-SA"/>
        </w:rPr>
        <w:t xml:space="preserve">LISTA DE ANEXOS </w:t>
      </w:r>
    </w:p>
    <w:p w14:paraId="6F94455F" w14:textId="77777777" w:rsidR="00F41AB9" w:rsidRPr="006139F5" w:rsidRDefault="00F41AB9" w:rsidP="00F41AB9">
      <w:pPr>
        <w:suppressLineNumbers/>
        <w:tabs>
          <w:tab w:val="center" w:pos="4252"/>
          <w:tab w:val="right" w:pos="8504"/>
        </w:tabs>
        <w:suppressAutoHyphens/>
        <w:spacing w:after="0" w:line="240" w:lineRule="auto"/>
        <w:jc w:val="both"/>
        <w:rPr>
          <w:rFonts w:ascii="Arial" w:eastAsia="Times New Roman" w:hAnsi="Arial" w:cs="Arial"/>
          <w:sz w:val="24"/>
          <w:szCs w:val="24"/>
          <w:lang w:eastAsia="ar-SA"/>
        </w:rPr>
      </w:pPr>
    </w:p>
    <w:p w14:paraId="26364EFD" w14:textId="77777777" w:rsidR="00F41AB9" w:rsidRPr="006139F5" w:rsidRDefault="00F41AB9" w:rsidP="00F41AB9">
      <w:pPr>
        <w:suppressLineNumbers/>
        <w:tabs>
          <w:tab w:val="center" w:pos="4252"/>
          <w:tab w:val="right" w:pos="8504"/>
        </w:tabs>
        <w:suppressAutoHyphens/>
        <w:spacing w:after="0" w:line="240" w:lineRule="auto"/>
        <w:jc w:val="both"/>
        <w:rPr>
          <w:rFonts w:ascii="Arial" w:eastAsia="Times New Roman" w:hAnsi="Arial" w:cs="Arial"/>
          <w:sz w:val="24"/>
          <w:szCs w:val="24"/>
          <w:lang w:eastAsia="ar-SA"/>
        </w:rPr>
      </w:pPr>
      <w:r w:rsidRPr="006139F5">
        <w:rPr>
          <w:rFonts w:ascii="Arial" w:eastAsia="Times New Roman" w:hAnsi="Arial" w:cs="Arial"/>
          <w:sz w:val="24"/>
          <w:szCs w:val="24"/>
          <w:lang w:eastAsia="ar-SA"/>
        </w:rPr>
        <w:t>Los Anexos que forman parte de la presente Acta son las siguientes:</w:t>
      </w:r>
    </w:p>
    <w:p w14:paraId="0C8114F5" w14:textId="77777777" w:rsidR="00F41AB9" w:rsidRPr="006139F5" w:rsidRDefault="00F41AB9" w:rsidP="00F41AB9">
      <w:pPr>
        <w:suppressLineNumbers/>
        <w:tabs>
          <w:tab w:val="center" w:pos="4252"/>
          <w:tab w:val="right" w:pos="8504"/>
        </w:tabs>
        <w:suppressAutoHyphens/>
        <w:spacing w:after="0" w:line="240" w:lineRule="auto"/>
        <w:jc w:val="both"/>
        <w:rPr>
          <w:rFonts w:ascii="Arial" w:eastAsia="Times New Roman" w:hAnsi="Arial" w:cs="Arial"/>
          <w:sz w:val="24"/>
          <w:szCs w:val="24"/>
          <w:lang w:eastAsia="ar-SA"/>
        </w:rPr>
      </w:pPr>
    </w:p>
    <w:p w14:paraId="4F0DB4B3" w14:textId="77777777" w:rsidR="00F41AB9" w:rsidRPr="006139F5" w:rsidRDefault="00F41AB9" w:rsidP="00F41AB9">
      <w:pPr>
        <w:suppressLineNumbers/>
        <w:tabs>
          <w:tab w:val="left" w:pos="2268"/>
          <w:tab w:val="center" w:pos="4252"/>
          <w:tab w:val="right" w:pos="8504"/>
        </w:tabs>
        <w:suppressAutoHyphens/>
        <w:spacing w:after="0" w:line="240" w:lineRule="auto"/>
        <w:jc w:val="both"/>
        <w:rPr>
          <w:rFonts w:ascii="Arial" w:eastAsia="Times New Roman" w:hAnsi="Arial" w:cs="Arial"/>
          <w:sz w:val="24"/>
          <w:szCs w:val="24"/>
          <w:lang w:val="pt-BR" w:eastAsia="ar-SA"/>
        </w:rPr>
      </w:pPr>
      <w:r w:rsidRPr="006139F5">
        <w:rPr>
          <w:rFonts w:ascii="Arial" w:eastAsia="Times New Roman" w:hAnsi="Arial" w:cs="Arial"/>
          <w:sz w:val="24"/>
          <w:szCs w:val="24"/>
          <w:lang w:val="pt-BR" w:eastAsia="ar-SA"/>
        </w:rPr>
        <w:t>Anexo I:</w:t>
      </w:r>
      <w:r w:rsidRPr="006139F5">
        <w:rPr>
          <w:rFonts w:ascii="Arial" w:eastAsia="Times New Roman" w:hAnsi="Arial" w:cs="Arial"/>
          <w:sz w:val="24"/>
          <w:szCs w:val="24"/>
          <w:lang w:val="pt-BR" w:eastAsia="ar-SA"/>
        </w:rPr>
        <w:tab/>
        <w:t>Lista de Participantes</w:t>
      </w:r>
    </w:p>
    <w:p w14:paraId="6EAE1D5E" w14:textId="77777777" w:rsidR="00EE7F84" w:rsidRDefault="00EE7F84" w:rsidP="00F41AB9">
      <w:pPr>
        <w:suppressLineNumbers/>
        <w:tabs>
          <w:tab w:val="left" w:pos="2268"/>
          <w:tab w:val="center" w:pos="4252"/>
          <w:tab w:val="right" w:pos="8504"/>
        </w:tabs>
        <w:suppressAutoHyphens/>
        <w:spacing w:after="0" w:line="240" w:lineRule="auto"/>
        <w:jc w:val="both"/>
        <w:rPr>
          <w:rFonts w:ascii="Arial" w:eastAsia="Times New Roman" w:hAnsi="Arial" w:cs="Arial"/>
          <w:sz w:val="24"/>
          <w:szCs w:val="24"/>
          <w:lang w:val="pt-BR" w:eastAsia="ar-SA"/>
        </w:rPr>
      </w:pPr>
    </w:p>
    <w:p w14:paraId="5BDA0B9F" w14:textId="3B7ABCE9" w:rsidR="00F41AB9" w:rsidRPr="006139F5" w:rsidRDefault="00F41AB9" w:rsidP="00F41AB9">
      <w:pPr>
        <w:suppressLineNumbers/>
        <w:tabs>
          <w:tab w:val="left" w:pos="2268"/>
          <w:tab w:val="center" w:pos="4252"/>
          <w:tab w:val="right" w:pos="8504"/>
        </w:tabs>
        <w:suppressAutoHyphens/>
        <w:spacing w:after="0" w:line="240" w:lineRule="auto"/>
        <w:jc w:val="both"/>
        <w:rPr>
          <w:rFonts w:ascii="Arial" w:eastAsia="Times New Roman" w:hAnsi="Arial" w:cs="Arial"/>
          <w:sz w:val="24"/>
          <w:szCs w:val="24"/>
          <w:lang w:val="pt-BR" w:eastAsia="ar-SA"/>
        </w:rPr>
      </w:pPr>
      <w:r w:rsidRPr="006139F5">
        <w:rPr>
          <w:rFonts w:ascii="Arial" w:eastAsia="Times New Roman" w:hAnsi="Arial" w:cs="Arial"/>
          <w:sz w:val="24"/>
          <w:szCs w:val="24"/>
          <w:lang w:val="pt-BR" w:eastAsia="ar-SA"/>
        </w:rPr>
        <w:t>Anexo II:</w:t>
      </w:r>
      <w:r w:rsidRPr="006139F5">
        <w:rPr>
          <w:rFonts w:ascii="Arial" w:eastAsia="Times New Roman" w:hAnsi="Arial" w:cs="Arial"/>
          <w:sz w:val="24"/>
          <w:szCs w:val="24"/>
          <w:lang w:val="pt-BR" w:eastAsia="ar-SA"/>
        </w:rPr>
        <w:tab/>
        <w:t>Agenda</w:t>
      </w:r>
    </w:p>
    <w:p w14:paraId="0E7E2F95" w14:textId="77777777" w:rsidR="00EE7F84" w:rsidRDefault="00EE7F84" w:rsidP="00F41AB9">
      <w:pPr>
        <w:suppressLineNumbers/>
        <w:tabs>
          <w:tab w:val="left" w:pos="2268"/>
          <w:tab w:val="center" w:pos="4252"/>
          <w:tab w:val="right" w:pos="8504"/>
        </w:tabs>
        <w:suppressAutoHyphens/>
        <w:spacing w:after="0" w:line="240" w:lineRule="auto"/>
        <w:jc w:val="both"/>
        <w:rPr>
          <w:rFonts w:ascii="Arial" w:eastAsia="Times New Roman" w:hAnsi="Arial" w:cs="Arial"/>
          <w:sz w:val="24"/>
          <w:szCs w:val="24"/>
          <w:lang w:val="es-PY" w:eastAsia="ar-SA"/>
        </w:rPr>
      </w:pPr>
    </w:p>
    <w:p w14:paraId="56FCAF5F" w14:textId="28A9A07A" w:rsidR="00F41AB9" w:rsidRPr="006139F5" w:rsidRDefault="00F41AB9" w:rsidP="00F41AB9">
      <w:pPr>
        <w:suppressLineNumbers/>
        <w:tabs>
          <w:tab w:val="left" w:pos="2268"/>
          <w:tab w:val="center" w:pos="4252"/>
          <w:tab w:val="right" w:pos="8504"/>
        </w:tabs>
        <w:suppressAutoHyphens/>
        <w:spacing w:after="0" w:line="240" w:lineRule="auto"/>
        <w:jc w:val="both"/>
        <w:rPr>
          <w:rFonts w:ascii="Arial" w:eastAsia="Times New Roman" w:hAnsi="Arial" w:cs="Arial"/>
          <w:sz w:val="24"/>
          <w:szCs w:val="24"/>
          <w:lang w:val="es-PY" w:eastAsia="ar-SA"/>
        </w:rPr>
      </w:pPr>
      <w:r w:rsidRPr="006139F5">
        <w:rPr>
          <w:rFonts w:ascii="Arial" w:eastAsia="Times New Roman" w:hAnsi="Arial" w:cs="Arial"/>
          <w:sz w:val="24"/>
          <w:szCs w:val="24"/>
          <w:lang w:val="es-PY" w:eastAsia="ar-SA"/>
        </w:rPr>
        <w:t>Anexo III:</w:t>
      </w:r>
      <w:r w:rsidRPr="006139F5">
        <w:rPr>
          <w:rFonts w:ascii="Arial" w:eastAsia="Times New Roman" w:hAnsi="Arial" w:cs="Arial"/>
          <w:sz w:val="24"/>
          <w:szCs w:val="24"/>
          <w:lang w:val="es-PY" w:eastAsia="ar-SA"/>
        </w:rPr>
        <w:tab/>
        <w:t>Resumen del Acta</w:t>
      </w:r>
    </w:p>
    <w:p w14:paraId="36E0BCD5" w14:textId="77777777" w:rsidR="00F41AB9" w:rsidRPr="006139F5" w:rsidRDefault="00F41AB9" w:rsidP="00F41AB9">
      <w:pPr>
        <w:suppressAutoHyphens/>
        <w:spacing w:after="0" w:line="240" w:lineRule="auto"/>
        <w:jc w:val="both"/>
        <w:rPr>
          <w:rFonts w:ascii="Arial" w:eastAsia="Times New Roman" w:hAnsi="Arial" w:cs="Arial"/>
          <w:sz w:val="24"/>
          <w:szCs w:val="24"/>
          <w:lang w:eastAsia="ar-SA"/>
        </w:rPr>
      </w:pPr>
    </w:p>
    <w:p w14:paraId="66B911BE" w14:textId="77777777" w:rsidR="00F41AB9" w:rsidRPr="006139F5" w:rsidRDefault="00F41AB9" w:rsidP="00F41AB9">
      <w:pPr>
        <w:suppressAutoHyphens/>
        <w:spacing w:after="0" w:line="240" w:lineRule="auto"/>
        <w:rPr>
          <w:rFonts w:ascii="Arial" w:eastAsia="Times New Roman" w:hAnsi="Arial" w:cs="Arial"/>
          <w:sz w:val="24"/>
          <w:szCs w:val="24"/>
          <w:lang w:eastAsia="ar-SA"/>
        </w:rPr>
      </w:pPr>
    </w:p>
    <w:p w14:paraId="64EA821C" w14:textId="77777777" w:rsidR="00F41AB9" w:rsidRPr="006139F5" w:rsidRDefault="00F41AB9" w:rsidP="00F41AB9">
      <w:pPr>
        <w:suppressAutoHyphens/>
        <w:spacing w:after="0" w:line="240" w:lineRule="auto"/>
        <w:rPr>
          <w:rFonts w:ascii="Arial" w:eastAsia="Times New Roman" w:hAnsi="Arial" w:cs="Arial"/>
          <w:sz w:val="24"/>
          <w:szCs w:val="24"/>
          <w:lang w:eastAsia="ar-SA"/>
        </w:rPr>
      </w:pPr>
    </w:p>
    <w:p w14:paraId="138E4F15" w14:textId="77777777" w:rsidR="00F41AB9" w:rsidRPr="006139F5" w:rsidRDefault="00F41AB9" w:rsidP="00F41AB9">
      <w:pPr>
        <w:suppressAutoHyphens/>
        <w:spacing w:after="0" w:line="240" w:lineRule="auto"/>
        <w:rPr>
          <w:rFonts w:ascii="Arial" w:eastAsia="Times New Roman" w:hAnsi="Arial" w:cs="Arial"/>
          <w:sz w:val="24"/>
          <w:szCs w:val="24"/>
          <w:lang w:eastAsia="ar-SA"/>
        </w:rPr>
      </w:pPr>
    </w:p>
    <w:p w14:paraId="557C831D" w14:textId="77777777" w:rsidR="00F41AB9" w:rsidRPr="006139F5" w:rsidRDefault="00F41AB9" w:rsidP="00F41AB9">
      <w:pPr>
        <w:suppressAutoHyphens/>
        <w:spacing w:after="0" w:line="240" w:lineRule="auto"/>
        <w:rPr>
          <w:rFonts w:ascii="Arial" w:eastAsia="Times New Roman" w:hAnsi="Arial" w:cs="Arial"/>
          <w:sz w:val="24"/>
          <w:szCs w:val="24"/>
          <w:lang w:eastAsia="ar-SA"/>
        </w:rPr>
      </w:pPr>
    </w:p>
    <w:p w14:paraId="24BEC900" w14:textId="77777777" w:rsidR="00F41AB9" w:rsidRPr="006139F5" w:rsidRDefault="00F41AB9" w:rsidP="00F41AB9">
      <w:pPr>
        <w:suppressAutoHyphens/>
        <w:spacing w:after="0" w:line="240" w:lineRule="auto"/>
        <w:rPr>
          <w:rFonts w:ascii="Arial" w:eastAsia="Times New Roman" w:hAnsi="Arial" w:cs="Arial"/>
          <w:sz w:val="24"/>
          <w:szCs w:val="24"/>
          <w:lang w:eastAsia="ar-SA"/>
        </w:rPr>
      </w:pPr>
    </w:p>
    <w:p w14:paraId="4631DA32" w14:textId="77777777" w:rsidR="00F41AB9" w:rsidRPr="006139F5" w:rsidRDefault="00F41AB9" w:rsidP="00F41AB9">
      <w:pPr>
        <w:suppressAutoHyphens/>
        <w:spacing w:after="0" w:line="240" w:lineRule="auto"/>
        <w:rPr>
          <w:rFonts w:ascii="Arial" w:eastAsia="Times New Roman" w:hAnsi="Arial" w:cs="Arial"/>
          <w:sz w:val="24"/>
          <w:szCs w:val="24"/>
          <w:lang w:eastAsia="ar-SA"/>
        </w:rPr>
      </w:pPr>
    </w:p>
    <w:p w14:paraId="018C77CD" w14:textId="77777777" w:rsidR="00F41AB9" w:rsidRDefault="00F41AB9" w:rsidP="00F41AB9">
      <w:pPr>
        <w:tabs>
          <w:tab w:val="left" w:pos="1227"/>
        </w:tabs>
        <w:suppressAutoHyphens/>
        <w:spacing w:after="0" w:line="240" w:lineRule="auto"/>
        <w:rPr>
          <w:rFonts w:ascii="Arial" w:eastAsia="Times New Roman" w:hAnsi="Arial" w:cs="Arial"/>
          <w:sz w:val="24"/>
          <w:szCs w:val="24"/>
          <w:lang w:eastAsia="ar-SA"/>
        </w:rPr>
      </w:pPr>
    </w:p>
    <w:p w14:paraId="1E6D5F89" w14:textId="77777777" w:rsidR="00574D32" w:rsidRDefault="00574D32" w:rsidP="00F41AB9">
      <w:pPr>
        <w:tabs>
          <w:tab w:val="left" w:pos="1227"/>
        </w:tabs>
        <w:suppressAutoHyphens/>
        <w:spacing w:after="0" w:line="240" w:lineRule="auto"/>
        <w:rPr>
          <w:rFonts w:ascii="Arial" w:eastAsia="Times New Roman" w:hAnsi="Arial" w:cs="Arial"/>
          <w:sz w:val="24"/>
          <w:szCs w:val="24"/>
          <w:lang w:eastAsia="ar-SA"/>
        </w:rPr>
      </w:pPr>
    </w:p>
    <w:p w14:paraId="64F6D04D" w14:textId="77777777" w:rsidR="00574D32" w:rsidRDefault="00574D32" w:rsidP="00F41AB9">
      <w:pPr>
        <w:tabs>
          <w:tab w:val="left" w:pos="1227"/>
        </w:tabs>
        <w:suppressAutoHyphens/>
        <w:spacing w:after="0" w:line="240" w:lineRule="auto"/>
        <w:rPr>
          <w:rFonts w:ascii="Arial" w:eastAsia="Times New Roman" w:hAnsi="Arial" w:cs="Arial"/>
          <w:sz w:val="24"/>
          <w:szCs w:val="24"/>
          <w:lang w:eastAsia="ar-SA"/>
        </w:rPr>
      </w:pPr>
    </w:p>
    <w:p w14:paraId="6BA20964" w14:textId="77777777" w:rsidR="00574D32" w:rsidRPr="006139F5" w:rsidRDefault="00574D32" w:rsidP="00F41AB9">
      <w:pPr>
        <w:tabs>
          <w:tab w:val="left" w:pos="1227"/>
        </w:tabs>
        <w:suppressAutoHyphens/>
        <w:spacing w:after="0" w:line="240" w:lineRule="auto"/>
        <w:rPr>
          <w:rFonts w:ascii="Arial" w:eastAsia="Times New Roman" w:hAnsi="Arial" w:cs="Arial"/>
          <w:sz w:val="24"/>
          <w:szCs w:val="24"/>
          <w:lang w:eastAsia="ar-SA"/>
        </w:rPr>
      </w:pPr>
    </w:p>
    <w:tbl>
      <w:tblPr>
        <w:tblW w:w="0" w:type="auto"/>
        <w:jc w:val="center"/>
        <w:tblLook w:val="04A0" w:firstRow="1" w:lastRow="0" w:firstColumn="1" w:lastColumn="0" w:noHBand="0" w:noVBand="1"/>
      </w:tblPr>
      <w:tblGrid>
        <w:gridCol w:w="4511"/>
        <w:gridCol w:w="4515"/>
      </w:tblGrid>
      <w:tr w:rsidR="00F41AB9" w:rsidRPr="006139F5" w14:paraId="00C7E0B0" w14:textId="77777777" w:rsidTr="00847C00">
        <w:trPr>
          <w:jc w:val="center"/>
        </w:trPr>
        <w:tc>
          <w:tcPr>
            <w:tcW w:w="4535" w:type="dxa"/>
            <w:shd w:val="clear" w:color="auto" w:fill="auto"/>
          </w:tcPr>
          <w:p w14:paraId="04DC9977" w14:textId="77777777" w:rsidR="00F41AB9" w:rsidRPr="00D42E2C"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sz w:val="24"/>
                <w:szCs w:val="24"/>
                <w:lang w:eastAsia="ar-SA"/>
              </w:rPr>
            </w:pPr>
            <w:r w:rsidRPr="00D42E2C">
              <w:rPr>
                <w:rFonts w:ascii="Arial" w:eastAsia="Times New Roman" w:hAnsi="Arial" w:cs="Arial"/>
                <w:b/>
                <w:sz w:val="24"/>
                <w:szCs w:val="24"/>
                <w:lang w:eastAsia="ar-SA"/>
              </w:rPr>
              <w:t>___________________________</w:t>
            </w:r>
          </w:p>
          <w:p w14:paraId="1DF8213B" w14:textId="77777777" w:rsidR="00F41AB9" w:rsidRPr="00D42E2C"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b/>
                <w:bCs/>
                <w:sz w:val="24"/>
                <w:szCs w:val="24"/>
                <w:shd w:val="clear" w:color="auto" w:fill="FFFF00"/>
                <w:lang w:eastAsia="ar-SA"/>
              </w:rPr>
            </w:pPr>
            <w:r w:rsidRPr="00D42E2C">
              <w:rPr>
                <w:rFonts w:ascii="Arial" w:eastAsia="Times New Roman" w:hAnsi="Arial" w:cs="Arial"/>
                <w:b/>
                <w:bCs/>
                <w:sz w:val="24"/>
                <w:szCs w:val="24"/>
                <w:lang w:eastAsia="ar-SA"/>
              </w:rPr>
              <w:t>Por la Delegación de Argentina</w:t>
            </w:r>
          </w:p>
          <w:p w14:paraId="531F9FD8" w14:textId="77777777" w:rsidR="00F41AB9" w:rsidRPr="00D42E2C" w:rsidRDefault="00F41AB9" w:rsidP="00F41AB9">
            <w:pPr>
              <w:suppressAutoHyphens/>
              <w:spacing w:after="0" w:line="240" w:lineRule="auto"/>
              <w:ind w:left="709"/>
              <w:rPr>
                <w:rFonts w:ascii="Arial" w:eastAsia="Times New Roman" w:hAnsi="Arial" w:cs="Arial"/>
                <w:sz w:val="24"/>
                <w:szCs w:val="24"/>
                <w:lang w:eastAsia="ar-SA"/>
              </w:rPr>
            </w:pPr>
            <w:r w:rsidRPr="00D42E2C">
              <w:rPr>
                <w:rFonts w:ascii="Arial" w:eastAsia="Times New Roman" w:hAnsi="Arial" w:cs="Arial"/>
                <w:sz w:val="24"/>
                <w:szCs w:val="24"/>
                <w:lang w:eastAsia="ar-SA"/>
              </w:rPr>
              <w:t xml:space="preserve">       Silvia Fernández</w:t>
            </w:r>
          </w:p>
          <w:p w14:paraId="7F43FFFD" w14:textId="77777777" w:rsidR="00F41AB9" w:rsidRPr="00D42E2C" w:rsidRDefault="00F41AB9" w:rsidP="00F41AB9">
            <w:pPr>
              <w:suppressAutoHyphens/>
              <w:spacing w:after="0" w:line="240" w:lineRule="auto"/>
              <w:ind w:left="709"/>
              <w:jc w:val="center"/>
              <w:rPr>
                <w:rFonts w:ascii="Arial" w:eastAsia="Times New Roman" w:hAnsi="Arial" w:cs="Arial"/>
                <w:b/>
                <w:sz w:val="24"/>
                <w:szCs w:val="24"/>
                <w:shd w:val="clear" w:color="auto" w:fill="FFFF00"/>
                <w:lang w:eastAsia="ar-SA"/>
              </w:rPr>
            </w:pPr>
          </w:p>
          <w:p w14:paraId="6EC07F40" w14:textId="77777777" w:rsidR="00F41AB9" w:rsidRPr="00D42E2C" w:rsidRDefault="00F41AB9" w:rsidP="00F41AB9">
            <w:pPr>
              <w:suppressAutoHyphens/>
              <w:spacing w:after="0" w:line="240" w:lineRule="auto"/>
              <w:ind w:left="709"/>
              <w:jc w:val="center"/>
              <w:rPr>
                <w:rFonts w:ascii="Arial" w:eastAsia="Times New Roman" w:hAnsi="Arial" w:cs="Arial"/>
                <w:sz w:val="24"/>
                <w:szCs w:val="24"/>
                <w:lang w:eastAsia="ar-SA"/>
              </w:rPr>
            </w:pPr>
          </w:p>
          <w:p w14:paraId="69DE9B48" w14:textId="77777777" w:rsidR="00F41AB9" w:rsidRPr="00D42E2C" w:rsidRDefault="00F41AB9" w:rsidP="00F41AB9">
            <w:pPr>
              <w:suppressAutoHyphens/>
              <w:spacing w:after="0" w:line="240" w:lineRule="auto"/>
              <w:ind w:left="709"/>
              <w:jc w:val="center"/>
              <w:rPr>
                <w:rFonts w:ascii="Arial" w:eastAsia="Times New Roman" w:hAnsi="Arial" w:cs="Arial"/>
                <w:sz w:val="24"/>
                <w:szCs w:val="24"/>
                <w:lang w:eastAsia="ar-SA"/>
              </w:rPr>
            </w:pPr>
          </w:p>
          <w:p w14:paraId="7848003C" w14:textId="77777777" w:rsidR="00F41AB9" w:rsidRPr="00D42E2C" w:rsidRDefault="00F41AB9" w:rsidP="00F41AB9">
            <w:pPr>
              <w:suppressAutoHyphens/>
              <w:spacing w:after="0" w:line="240" w:lineRule="auto"/>
              <w:ind w:left="709"/>
              <w:jc w:val="center"/>
              <w:rPr>
                <w:rFonts w:ascii="Arial" w:eastAsia="Times New Roman" w:hAnsi="Arial" w:cs="Arial"/>
                <w:sz w:val="24"/>
                <w:szCs w:val="24"/>
                <w:lang w:eastAsia="ar-SA"/>
              </w:rPr>
            </w:pPr>
          </w:p>
          <w:p w14:paraId="4F5A0B55" w14:textId="77777777" w:rsidR="0026550E" w:rsidRPr="00D42E2C" w:rsidRDefault="0026550E" w:rsidP="00F41AB9">
            <w:pPr>
              <w:suppressAutoHyphens/>
              <w:spacing w:after="0" w:line="240" w:lineRule="auto"/>
              <w:ind w:left="709"/>
              <w:jc w:val="center"/>
              <w:rPr>
                <w:rFonts w:ascii="Arial" w:eastAsia="Times New Roman" w:hAnsi="Arial" w:cs="Arial"/>
                <w:sz w:val="24"/>
                <w:szCs w:val="24"/>
                <w:lang w:eastAsia="ar-SA"/>
              </w:rPr>
            </w:pPr>
          </w:p>
          <w:p w14:paraId="3BBA8ED4" w14:textId="77777777" w:rsidR="0026550E" w:rsidRPr="00D42E2C" w:rsidRDefault="0026550E" w:rsidP="00F41AB9">
            <w:pPr>
              <w:suppressAutoHyphens/>
              <w:spacing w:after="0" w:line="240" w:lineRule="auto"/>
              <w:ind w:left="709"/>
              <w:jc w:val="center"/>
              <w:rPr>
                <w:rFonts w:ascii="Arial" w:eastAsia="Times New Roman" w:hAnsi="Arial" w:cs="Arial"/>
                <w:sz w:val="24"/>
                <w:szCs w:val="24"/>
                <w:lang w:eastAsia="ar-SA"/>
              </w:rPr>
            </w:pPr>
          </w:p>
          <w:p w14:paraId="2A8E5999" w14:textId="77777777" w:rsidR="0026550E" w:rsidRPr="00D42E2C" w:rsidRDefault="0026550E" w:rsidP="00F41AB9">
            <w:pPr>
              <w:suppressAutoHyphens/>
              <w:spacing w:after="0" w:line="240" w:lineRule="auto"/>
              <w:ind w:left="709"/>
              <w:jc w:val="center"/>
              <w:rPr>
                <w:rFonts w:ascii="Arial" w:eastAsia="Times New Roman" w:hAnsi="Arial" w:cs="Arial"/>
                <w:sz w:val="24"/>
                <w:szCs w:val="24"/>
                <w:lang w:eastAsia="ar-SA"/>
              </w:rPr>
            </w:pPr>
          </w:p>
          <w:p w14:paraId="1BF7FBB1" w14:textId="7F062A36" w:rsidR="0026550E" w:rsidRPr="00D42E2C" w:rsidRDefault="0026550E" w:rsidP="00F41AB9">
            <w:pPr>
              <w:suppressAutoHyphens/>
              <w:spacing w:after="0" w:line="240" w:lineRule="auto"/>
              <w:ind w:left="709"/>
              <w:jc w:val="center"/>
              <w:rPr>
                <w:rFonts w:ascii="Arial" w:eastAsia="Times New Roman" w:hAnsi="Arial" w:cs="Arial"/>
                <w:sz w:val="24"/>
                <w:szCs w:val="24"/>
                <w:lang w:eastAsia="ar-SA"/>
              </w:rPr>
            </w:pPr>
          </w:p>
        </w:tc>
        <w:tc>
          <w:tcPr>
            <w:tcW w:w="4535" w:type="dxa"/>
            <w:shd w:val="clear" w:color="auto" w:fill="auto"/>
          </w:tcPr>
          <w:p w14:paraId="137F634F" w14:textId="77777777" w:rsidR="00F41AB9" w:rsidRPr="00D42E2C"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sz w:val="24"/>
                <w:szCs w:val="24"/>
                <w:lang w:eastAsia="ar-SA"/>
              </w:rPr>
            </w:pPr>
            <w:r w:rsidRPr="00D42E2C">
              <w:rPr>
                <w:rFonts w:ascii="Arial" w:eastAsia="Times New Roman" w:hAnsi="Arial" w:cs="Arial"/>
                <w:b/>
                <w:sz w:val="24"/>
                <w:szCs w:val="24"/>
                <w:lang w:eastAsia="ar-SA"/>
              </w:rPr>
              <w:t>____________________________</w:t>
            </w:r>
          </w:p>
          <w:p w14:paraId="19119569" w14:textId="77777777" w:rsidR="00F41AB9" w:rsidRPr="00D42E2C"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b/>
                <w:bCs/>
                <w:sz w:val="24"/>
                <w:szCs w:val="24"/>
                <w:shd w:val="clear" w:color="auto" w:fill="FFFF00"/>
                <w:lang w:eastAsia="ar-SA"/>
              </w:rPr>
            </w:pPr>
            <w:r w:rsidRPr="00D42E2C">
              <w:rPr>
                <w:rFonts w:ascii="Arial" w:eastAsia="Times New Roman" w:hAnsi="Arial" w:cs="Arial"/>
                <w:b/>
                <w:bCs/>
                <w:sz w:val="24"/>
                <w:szCs w:val="24"/>
                <w:lang w:eastAsia="ar-SA"/>
              </w:rPr>
              <w:t>Por la Delegación de Brasil</w:t>
            </w:r>
          </w:p>
          <w:p w14:paraId="529D8A1A" w14:textId="77777777" w:rsidR="00F41AB9" w:rsidRPr="006139F5" w:rsidRDefault="00F41AB9" w:rsidP="00F41AB9">
            <w:pPr>
              <w:suppressAutoHyphens/>
              <w:spacing w:after="0" w:line="240" w:lineRule="auto"/>
              <w:jc w:val="center"/>
              <w:rPr>
                <w:rFonts w:ascii="Arial" w:eastAsia="Times New Roman" w:hAnsi="Arial" w:cs="Arial"/>
                <w:sz w:val="24"/>
                <w:szCs w:val="24"/>
                <w:lang w:eastAsia="ar-SA"/>
              </w:rPr>
            </w:pPr>
            <w:proofErr w:type="spellStart"/>
            <w:r w:rsidRPr="00D42E2C">
              <w:rPr>
                <w:rFonts w:ascii="Arial" w:eastAsia="Times New Roman" w:hAnsi="Arial" w:cs="Arial"/>
                <w:sz w:val="24"/>
                <w:szCs w:val="24"/>
                <w:lang w:eastAsia="ar-SA"/>
              </w:rPr>
              <w:t>Maria</w:t>
            </w:r>
            <w:proofErr w:type="spellEnd"/>
            <w:r w:rsidRPr="00D42E2C">
              <w:rPr>
                <w:rFonts w:ascii="Arial" w:eastAsia="Times New Roman" w:hAnsi="Arial" w:cs="Arial"/>
                <w:sz w:val="24"/>
                <w:szCs w:val="24"/>
                <w:lang w:eastAsia="ar-SA"/>
              </w:rPr>
              <w:t xml:space="preserve"> Camila Chaves Baigorri</w:t>
            </w:r>
          </w:p>
        </w:tc>
      </w:tr>
      <w:tr w:rsidR="00F41AB9" w:rsidRPr="006139F5" w14:paraId="6F0339DD" w14:textId="77777777" w:rsidTr="00847C00">
        <w:trPr>
          <w:jc w:val="center"/>
        </w:trPr>
        <w:tc>
          <w:tcPr>
            <w:tcW w:w="4535" w:type="dxa"/>
            <w:shd w:val="clear" w:color="auto" w:fill="auto"/>
          </w:tcPr>
          <w:p w14:paraId="0F03803B" w14:textId="77777777" w:rsidR="00F41AB9" w:rsidRPr="00D42E2C"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sz w:val="24"/>
                <w:szCs w:val="24"/>
                <w:lang w:eastAsia="ar-SA"/>
              </w:rPr>
            </w:pPr>
            <w:r w:rsidRPr="00D42E2C">
              <w:rPr>
                <w:rFonts w:ascii="Arial" w:eastAsia="Times New Roman" w:hAnsi="Arial" w:cs="Arial"/>
                <w:b/>
                <w:sz w:val="24"/>
                <w:szCs w:val="24"/>
                <w:lang w:eastAsia="ar-SA"/>
              </w:rPr>
              <w:t>_________________________</w:t>
            </w:r>
          </w:p>
          <w:p w14:paraId="145B0512" w14:textId="77777777" w:rsidR="00F41AB9" w:rsidRPr="00D42E2C"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b/>
                <w:bCs/>
                <w:sz w:val="24"/>
                <w:szCs w:val="24"/>
                <w:shd w:val="clear" w:color="auto" w:fill="FFFF00"/>
                <w:lang w:eastAsia="ar-SA"/>
              </w:rPr>
            </w:pPr>
            <w:r w:rsidRPr="00D42E2C">
              <w:rPr>
                <w:rFonts w:ascii="Arial" w:eastAsia="Times New Roman" w:hAnsi="Arial" w:cs="Arial"/>
                <w:b/>
                <w:bCs/>
                <w:sz w:val="24"/>
                <w:szCs w:val="24"/>
                <w:lang w:eastAsia="ar-SA"/>
              </w:rPr>
              <w:t>Por la Delegación de Paraguay</w:t>
            </w:r>
          </w:p>
          <w:p w14:paraId="02DE33E9" w14:textId="77777777" w:rsidR="00F41AB9" w:rsidRPr="00D42E2C"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sz w:val="24"/>
                <w:szCs w:val="24"/>
                <w:lang w:eastAsia="ar-SA"/>
              </w:rPr>
            </w:pPr>
            <w:r w:rsidRPr="00D42E2C">
              <w:rPr>
                <w:rFonts w:ascii="Arial" w:eastAsia="Times New Roman" w:hAnsi="Arial" w:cs="Arial"/>
                <w:sz w:val="24"/>
                <w:szCs w:val="24"/>
                <w:lang w:eastAsia="ar-SA"/>
              </w:rPr>
              <w:t xml:space="preserve">Hugo Centurión </w:t>
            </w:r>
          </w:p>
          <w:p w14:paraId="217A1B7F" w14:textId="77777777" w:rsidR="00F41AB9" w:rsidRPr="00D42E2C"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sz w:val="24"/>
                <w:szCs w:val="24"/>
                <w:lang w:eastAsia="ar-SA"/>
              </w:rPr>
            </w:pPr>
          </w:p>
          <w:p w14:paraId="647D888D" w14:textId="77777777" w:rsidR="00F41AB9" w:rsidRPr="00D42E2C" w:rsidRDefault="00F41AB9" w:rsidP="00F41AB9">
            <w:pPr>
              <w:tabs>
                <w:tab w:val="center" w:pos="2278"/>
                <w:tab w:val="right" w:pos="3989"/>
              </w:tabs>
              <w:suppressAutoHyphens/>
              <w:spacing w:after="0" w:line="240" w:lineRule="auto"/>
              <w:ind w:left="567"/>
              <w:rPr>
                <w:rFonts w:ascii="Arial" w:eastAsia="Times New Roman" w:hAnsi="Arial" w:cs="Arial"/>
                <w:sz w:val="24"/>
                <w:szCs w:val="24"/>
                <w:lang w:eastAsia="ar-SA"/>
              </w:rPr>
            </w:pPr>
          </w:p>
          <w:p w14:paraId="3EEC8544" w14:textId="77777777" w:rsidR="00F41AB9" w:rsidRPr="00D42E2C" w:rsidRDefault="00F41AB9" w:rsidP="00F41AB9">
            <w:pPr>
              <w:tabs>
                <w:tab w:val="center" w:pos="2278"/>
                <w:tab w:val="right" w:pos="3989"/>
              </w:tabs>
              <w:suppressAutoHyphens/>
              <w:spacing w:after="0" w:line="240" w:lineRule="auto"/>
              <w:ind w:left="567"/>
              <w:jc w:val="center"/>
              <w:rPr>
                <w:rFonts w:ascii="Arial" w:eastAsia="Times New Roman" w:hAnsi="Arial" w:cs="Arial"/>
                <w:b/>
                <w:sz w:val="24"/>
                <w:szCs w:val="24"/>
                <w:shd w:val="clear" w:color="auto" w:fill="FFFF00"/>
                <w:lang w:eastAsia="ar-SA"/>
              </w:rPr>
            </w:pPr>
          </w:p>
          <w:p w14:paraId="12C1636A" w14:textId="77777777" w:rsidR="00F41AB9" w:rsidRPr="00D42E2C" w:rsidRDefault="00F41AB9" w:rsidP="00F41AB9">
            <w:pPr>
              <w:tabs>
                <w:tab w:val="center" w:pos="2278"/>
                <w:tab w:val="right" w:pos="3989"/>
              </w:tabs>
              <w:suppressAutoHyphens/>
              <w:spacing w:after="0" w:line="240" w:lineRule="auto"/>
              <w:ind w:left="567"/>
              <w:jc w:val="center"/>
              <w:rPr>
                <w:rFonts w:ascii="Arial" w:eastAsia="Times New Roman" w:hAnsi="Arial" w:cs="Arial"/>
                <w:b/>
                <w:sz w:val="24"/>
                <w:szCs w:val="24"/>
                <w:lang w:eastAsia="ar-SA"/>
              </w:rPr>
            </w:pPr>
          </w:p>
          <w:p w14:paraId="200F8797" w14:textId="77777777" w:rsidR="00F41AB9" w:rsidRPr="00D42E2C" w:rsidRDefault="00F41AB9" w:rsidP="00F41AB9">
            <w:pPr>
              <w:tabs>
                <w:tab w:val="center" w:pos="2278"/>
                <w:tab w:val="right" w:pos="3989"/>
              </w:tabs>
              <w:suppressAutoHyphens/>
              <w:spacing w:after="0" w:line="240" w:lineRule="auto"/>
              <w:ind w:left="567"/>
              <w:jc w:val="center"/>
              <w:rPr>
                <w:rFonts w:ascii="Arial" w:eastAsia="Times New Roman" w:hAnsi="Arial" w:cs="Arial"/>
                <w:b/>
                <w:sz w:val="24"/>
                <w:szCs w:val="24"/>
                <w:lang w:eastAsia="ar-SA"/>
              </w:rPr>
            </w:pPr>
          </w:p>
        </w:tc>
        <w:tc>
          <w:tcPr>
            <w:tcW w:w="4535" w:type="dxa"/>
            <w:shd w:val="clear" w:color="auto" w:fill="auto"/>
          </w:tcPr>
          <w:p w14:paraId="0ED17A89" w14:textId="77777777" w:rsidR="00F41AB9" w:rsidRPr="00D42E2C"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b/>
                <w:sz w:val="24"/>
                <w:szCs w:val="24"/>
                <w:lang w:eastAsia="ar-SA"/>
              </w:rPr>
            </w:pPr>
            <w:r w:rsidRPr="00D42E2C">
              <w:rPr>
                <w:rFonts w:ascii="Arial" w:eastAsia="Times New Roman" w:hAnsi="Arial" w:cs="Arial"/>
                <w:b/>
                <w:sz w:val="24"/>
                <w:szCs w:val="24"/>
                <w:lang w:eastAsia="ar-SA"/>
              </w:rPr>
              <w:t>_________________________</w:t>
            </w:r>
          </w:p>
          <w:p w14:paraId="1556829C" w14:textId="77777777" w:rsidR="00F41AB9" w:rsidRPr="00D42E2C"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b/>
                <w:bCs/>
                <w:sz w:val="24"/>
                <w:szCs w:val="24"/>
                <w:shd w:val="clear" w:color="auto" w:fill="FFFF00"/>
                <w:lang w:eastAsia="ar-SA"/>
              </w:rPr>
            </w:pPr>
            <w:r w:rsidRPr="00D42E2C">
              <w:rPr>
                <w:rFonts w:ascii="Arial" w:eastAsia="Times New Roman" w:hAnsi="Arial" w:cs="Arial"/>
                <w:b/>
                <w:bCs/>
                <w:sz w:val="24"/>
                <w:szCs w:val="24"/>
                <w:lang w:eastAsia="ar-SA"/>
              </w:rPr>
              <w:t>Por la Delegación de Uruguay</w:t>
            </w:r>
          </w:p>
          <w:p w14:paraId="32DD4DED" w14:textId="77777777" w:rsidR="00F41AB9" w:rsidRPr="006139F5"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sz w:val="24"/>
                <w:szCs w:val="24"/>
                <w:lang w:eastAsia="ar-SA"/>
              </w:rPr>
            </w:pPr>
            <w:r w:rsidRPr="00D42E2C">
              <w:rPr>
                <w:rFonts w:ascii="Arial" w:eastAsia="Times New Roman" w:hAnsi="Arial" w:cs="Arial"/>
                <w:sz w:val="24"/>
                <w:szCs w:val="24"/>
                <w:lang w:eastAsia="ar-SA"/>
              </w:rPr>
              <w:t>Fernando Crescente</w:t>
            </w:r>
          </w:p>
        </w:tc>
      </w:tr>
      <w:tr w:rsidR="00F41AB9" w:rsidRPr="006139F5" w14:paraId="05559F5C" w14:textId="77777777" w:rsidTr="00847C00">
        <w:trPr>
          <w:jc w:val="center"/>
        </w:trPr>
        <w:tc>
          <w:tcPr>
            <w:tcW w:w="4535" w:type="dxa"/>
            <w:shd w:val="clear" w:color="auto" w:fill="auto"/>
          </w:tcPr>
          <w:p w14:paraId="69CFB909" w14:textId="77777777" w:rsidR="00F41AB9" w:rsidRPr="006139F5" w:rsidRDefault="00F41AB9" w:rsidP="00F41AB9">
            <w:pPr>
              <w:suppressLineNumbers/>
              <w:tabs>
                <w:tab w:val="center" w:pos="4252"/>
                <w:tab w:val="right" w:pos="8504"/>
              </w:tabs>
              <w:suppressAutoHyphens/>
              <w:spacing w:after="0" w:line="240" w:lineRule="auto"/>
              <w:ind w:left="38"/>
              <w:jc w:val="center"/>
              <w:rPr>
                <w:rFonts w:ascii="Arial" w:eastAsia="Times New Roman" w:hAnsi="Arial" w:cs="Arial"/>
                <w:b/>
                <w:sz w:val="24"/>
                <w:szCs w:val="24"/>
                <w:lang w:eastAsia="ar-SA"/>
              </w:rPr>
            </w:pPr>
          </w:p>
        </w:tc>
        <w:tc>
          <w:tcPr>
            <w:tcW w:w="4535" w:type="dxa"/>
            <w:shd w:val="clear" w:color="auto" w:fill="auto"/>
          </w:tcPr>
          <w:p w14:paraId="60FA81E2" w14:textId="77777777" w:rsidR="00F41AB9" w:rsidRPr="006139F5" w:rsidRDefault="00F41AB9" w:rsidP="00F41AB9">
            <w:pPr>
              <w:suppressLineNumbers/>
              <w:tabs>
                <w:tab w:val="center" w:pos="4252"/>
                <w:tab w:val="right" w:pos="8504"/>
              </w:tabs>
              <w:suppressAutoHyphens/>
              <w:spacing w:after="0" w:line="240" w:lineRule="auto"/>
              <w:ind w:left="38"/>
              <w:rPr>
                <w:rFonts w:ascii="Arial" w:eastAsia="Times New Roman" w:hAnsi="Arial" w:cs="Arial"/>
                <w:b/>
                <w:sz w:val="24"/>
                <w:szCs w:val="24"/>
                <w:lang w:eastAsia="ar-SA"/>
              </w:rPr>
            </w:pPr>
          </w:p>
        </w:tc>
      </w:tr>
    </w:tbl>
    <w:p w14:paraId="40CF413F" w14:textId="77777777" w:rsidR="00F41AB9" w:rsidRPr="006139F5" w:rsidRDefault="00F41AB9" w:rsidP="00F41AB9">
      <w:pPr>
        <w:tabs>
          <w:tab w:val="left" w:pos="1227"/>
        </w:tabs>
        <w:suppressAutoHyphens/>
        <w:spacing w:after="0" w:line="240" w:lineRule="auto"/>
        <w:rPr>
          <w:rFonts w:ascii="Arial" w:eastAsia="Times New Roman" w:hAnsi="Arial" w:cs="Arial"/>
          <w:sz w:val="24"/>
          <w:szCs w:val="24"/>
          <w:lang w:eastAsia="ar-SA"/>
        </w:rPr>
      </w:pPr>
    </w:p>
    <w:p w14:paraId="6A06E9E5" w14:textId="77777777" w:rsidR="00F41AB9" w:rsidRPr="006139F5" w:rsidRDefault="00F41AB9" w:rsidP="00F41AB9">
      <w:pPr>
        <w:suppressAutoHyphens/>
        <w:spacing w:after="0" w:line="240" w:lineRule="auto"/>
        <w:rPr>
          <w:rFonts w:ascii="Arial" w:hAnsi="Arial" w:cs="Arial"/>
          <w:sz w:val="24"/>
          <w:szCs w:val="24"/>
        </w:rPr>
      </w:pPr>
    </w:p>
    <w:sectPr w:rsidR="00F41AB9" w:rsidRPr="006139F5" w:rsidSect="00BD192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EA87E" w14:textId="77777777" w:rsidR="00F41AB9" w:rsidRDefault="00F41AB9" w:rsidP="00F41AB9">
      <w:pPr>
        <w:spacing w:after="0" w:line="240" w:lineRule="auto"/>
      </w:pPr>
      <w:r>
        <w:separator/>
      </w:r>
    </w:p>
  </w:endnote>
  <w:endnote w:type="continuationSeparator" w:id="0">
    <w:p w14:paraId="55CD0C4E" w14:textId="77777777" w:rsidR="00F41AB9" w:rsidRDefault="00F41AB9" w:rsidP="00F4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849041"/>
      <w:docPartObj>
        <w:docPartGallery w:val="Page Numbers (Bottom of Page)"/>
        <w:docPartUnique/>
      </w:docPartObj>
    </w:sdtPr>
    <w:sdtEndPr/>
    <w:sdtContent>
      <w:p w14:paraId="33D99F8C" w14:textId="36FB19DB" w:rsidR="00BD192C" w:rsidRDefault="00BD192C">
        <w:pPr>
          <w:pStyle w:val="Piedepgina"/>
          <w:jc w:val="right"/>
        </w:pPr>
        <w:r>
          <w:fldChar w:fldCharType="begin"/>
        </w:r>
        <w:r>
          <w:instrText>PAGE   \* MERGEFORMAT</w:instrText>
        </w:r>
        <w:r>
          <w:fldChar w:fldCharType="separate"/>
        </w:r>
        <w:r w:rsidR="00574D32" w:rsidRPr="00574D32">
          <w:rPr>
            <w:noProof/>
            <w:lang w:val="es-ES"/>
          </w:rPr>
          <w:t>2</w:t>
        </w:r>
        <w:r>
          <w:fldChar w:fldCharType="end"/>
        </w:r>
      </w:p>
    </w:sdtContent>
  </w:sdt>
  <w:p w14:paraId="6B4FD0AC" w14:textId="77777777" w:rsidR="00F41AB9" w:rsidRDefault="00F41A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484326"/>
      <w:docPartObj>
        <w:docPartGallery w:val="Page Numbers (Bottom of Page)"/>
        <w:docPartUnique/>
      </w:docPartObj>
    </w:sdtPr>
    <w:sdtEndPr/>
    <w:sdtContent>
      <w:p w14:paraId="61985DE2" w14:textId="3909E418" w:rsidR="00BD192C" w:rsidRDefault="00BD192C">
        <w:pPr>
          <w:pStyle w:val="Piedepgina"/>
          <w:jc w:val="right"/>
        </w:pPr>
        <w:r>
          <w:fldChar w:fldCharType="begin"/>
        </w:r>
        <w:r>
          <w:instrText>PAGE   \* MERGEFORMAT</w:instrText>
        </w:r>
        <w:r>
          <w:fldChar w:fldCharType="separate"/>
        </w:r>
        <w:r w:rsidR="00574D32" w:rsidRPr="00574D32">
          <w:rPr>
            <w:noProof/>
            <w:lang w:val="es-ES"/>
          </w:rPr>
          <w:t>1</w:t>
        </w:r>
        <w:r>
          <w:fldChar w:fldCharType="end"/>
        </w:r>
      </w:p>
    </w:sdtContent>
  </w:sdt>
  <w:p w14:paraId="6062F621" w14:textId="77777777" w:rsidR="00BD192C" w:rsidRDefault="00BD19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7F87E" w14:textId="77777777" w:rsidR="00F41AB9" w:rsidRDefault="00F41AB9" w:rsidP="00F41AB9">
      <w:pPr>
        <w:spacing w:after="0" w:line="240" w:lineRule="auto"/>
      </w:pPr>
      <w:r>
        <w:separator/>
      </w:r>
    </w:p>
  </w:footnote>
  <w:footnote w:type="continuationSeparator" w:id="0">
    <w:p w14:paraId="634C281D" w14:textId="77777777" w:rsidR="00F41AB9" w:rsidRDefault="00F41AB9" w:rsidP="00F4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3F52" w14:textId="77777777" w:rsidR="0026550E" w:rsidRPr="0026550E" w:rsidRDefault="0026550E" w:rsidP="0026550E">
    <w:pPr>
      <w:suppressLineNumbers/>
      <w:tabs>
        <w:tab w:val="left" w:pos="2610"/>
        <w:tab w:val="center" w:pos="4252"/>
        <w:tab w:val="right" w:pos="8504"/>
      </w:tabs>
      <w:suppressAutoHyphens/>
      <w:spacing w:after="0" w:line="240" w:lineRule="auto"/>
      <w:rPr>
        <w:rFonts w:ascii="Arial" w:eastAsia="Times New Roman" w:hAnsi="Arial" w:cs="Times New Roman"/>
        <w:sz w:val="24"/>
        <w:szCs w:val="20"/>
        <w:lang w:eastAsia="ar-SA"/>
      </w:rPr>
    </w:pPr>
    <w:r w:rsidRPr="0026550E">
      <w:rPr>
        <w:rFonts w:ascii="Arial" w:eastAsia="Times New Roman" w:hAnsi="Arial" w:cs="Times New Roman"/>
        <w:noProof/>
        <w:sz w:val="24"/>
        <w:szCs w:val="20"/>
        <w:lang w:eastAsia="es-UY"/>
      </w:rPr>
      <w:drawing>
        <wp:inline distT="0" distB="0" distL="0" distR="0" wp14:anchorId="4E902533" wp14:editId="0AEFEB66">
          <wp:extent cx="1200785" cy="895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895985"/>
                  </a:xfrm>
                  <a:prstGeom prst="rect">
                    <a:avLst/>
                  </a:prstGeom>
                  <a:noFill/>
                </pic:spPr>
              </pic:pic>
            </a:graphicData>
          </a:graphic>
        </wp:inline>
      </w:drawing>
    </w:r>
    <w:r w:rsidRPr="0026550E">
      <w:rPr>
        <w:rFonts w:ascii="Arial" w:eastAsia="Times New Roman" w:hAnsi="Arial" w:cs="Times New Roman"/>
        <w:sz w:val="24"/>
        <w:szCs w:val="20"/>
        <w:lang w:eastAsia="ar-SA"/>
      </w:rPr>
      <w:tab/>
    </w:r>
    <w:r w:rsidRPr="0026550E">
      <w:rPr>
        <w:rFonts w:ascii="Arial" w:eastAsia="Times New Roman" w:hAnsi="Arial" w:cs="Times New Roman"/>
        <w:sz w:val="24"/>
        <w:szCs w:val="20"/>
        <w:lang w:eastAsia="ar-SA"/>
      </w:rPr>
      <w:tab/>
    </w:r>
    <w:r w:rsidRPr="0026550E">
      <w:rPr>
        <w:rFonts w:ascii="Arial" w:eastAsia="Times New Roman" w:hAnsi="Arial" w:cs="Times New Roman"/>
        <w:sz w:val="24"/>
        <w:szCs w:val="20"/>
        <w:lang w:eastAsia="ar-SA"/>
      </w:rPr>
      <w:tab/>
    </w:r>
    <w:r w:rsidRPr="0026550E">
      <w:rPr>
        <w:rFonts w:ascii="Arial" w:eastAsia="Times New Roman" w:hAnsi="Arial" w:cs="Times New Roman"/>
        <w:noProof/>
        <w:sz w:val="24"/>
        <w:szCs w:val="20"/>
        <w:lang w:eastAsia="es-UY"/>
      </w:rPr>
      <w:drawing>
        <wp:inline distT="0" distB="0" distL="0" distR="0" wp14:anchorId="312661AD" wp14:editId="287DF77A">
          <wp:extent cx="1231265" cy="89598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895985"/>
                  </a:xfrm>
                  <a:prstGeom prst="rect">
                    <a:avLst/>
                  </a:prstGeom>
                  <a:noFill/>
                </pic:spPr>
              </pic:pic>
            </a:graphicData>
          </a:graphic>
        </wp:inline>
      </w:drawing>
    </w:r>
  </w:p>
  <w:p w14:paraId="69354700" w14:textId="77777777" w:rsidR="0026550E" w:rsidRDefault="002655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3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3"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36CE2CA9"/>
    <w:multiLevelType w:val="hybridMultilevel"/>
    <w:tmpl w:val="2E388A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B9"/>
    <w:rsid w:val="00076867"/>
    <w:rsid w:val="000F3757"/>
    <w:rsid w:val="00162865"/>
    <w:rsid w:val="001C0C68"/>
    <w:rsid w:val="001F6ACE"/>
    <w:rsid w:val="002455E6"/>
    <w:rsid w:val="0026550E"/>
    <w:rsid w:val="00362A30"/>
    <w:rsid w:val="003F4785"/>
    <w:rsid w:val="004C7EAC"/>
    <w:rsid w:val="004F6B0E"/>
    <w:rsid w:val="00574D32"/>
    <w:rsid w:val="006139F5"/>
    <w:rsid w:val="00696124"/>
    <w:rsid w:val="006F4CBF"/>
    <w:rsid w:val="007E768F"/>
    <w:rsid w:val="00861EBC"/>
    <w:rsid w:val="00890193"/>
    <w:rsid w:val="00922279"/>
    <w:rsid w:val="0094796F"/>
    <w:rsid w:val="009C1D96"/>
    <w:rsid w:val="009D1589"/>
    <w:rsid w:val="00A337EA"/>
    <w:rsid w:val="00BD192C"/>
    <w:rsid w:val="00C93B93"/>
    <w:rsid w:val="00CF232A"/>
    <w:rsid w:val="00CF44B1"/>
    <w:rsid w:val="00D42E2C"/>
    <w:rsid w:val="00D51527"/>
    <w:rsid w:val="00D517C0"/>
    <w:rsid w:val="00E07E0C"/>
    <w:rsid w:val="00E6410E"/>
    <w:rsid w:val="00EE7F84"/>
    <w:rsid w:val="00F41AB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3E93"/>
  <w15:docId w15:val="{4B7C4F22-79BE-44B5-9785-9325D916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AB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41AB9"/>
  </w:style>
  <w:style w:type="paragraph" w:styleId="Piedepgina">
    <w:name w:val="footer"/>
    <w:basedOn w:val="Normal"/>
    <w:link w:val="PiedepginaCar"/>
    <w:uiPriority w:val="99"/>
    <w:unhideWhenUsed/>
    <w:rsid w:val="00F41AB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41AB9"/>
  </w:style>
  <w:style w:type="paragraph" w:styleId="Textodeglobo">
    <w:name w:val="Balloon Text"/>
    <w:basedOn w:val="Normal"/>
    <w:link w:val="TextodegloboCar"/>
    <w:uiPriority w:val="99"/>
    <w:semiHidden/>
    <w:unhideWhenUsed/>
    <w:rsid w:val="001F6A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ACE"/>
    <w:rPr>
      <w:rFonts w:ascii="Tahoma" w:hAnsi="Tahoma" w:cs="Tahoma"/>
      <w:sz w:val="16"/>
      <w:szCs w:val="16"/>
    </w:rPr>
  </w:style>
  <w:style w:type="paragraph" w:styleId="Prrafodelista">
    <w:name w:val="List Paragraph"/>
    <w:basedOn w:val="Normal"/>
    <w:uiPriority w:val="34"/>
    <w:qFormat/>
    <w:rsid w:val="000F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2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4014</Words>
  <Characters>22081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Cassia Pires</dc:creator>
  <cp:keywords/>
  <dc:description/>
  <cp:lastModifiedBy>Mercosur</cp:lastModifiedBy>
  <cp:revision>4</cp:revision>
  <dcterms:created xsi:type="dcterms:W3CDTF">2020-10-22T20:40:00Z</dcterms:created>
  <dcterms:modified xsi:type="dcterms:W3CDTF">2020-10-23T14:02:00Z</dcterms:modified>
</cp:coreProperties>
</file>