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5B822" w14:textId="77777777" w:rsidR="00195C60" w:rsidRDefault="00195C60" w:rsidP="00195C60">
      <w:pPr>
        <w:pStyle w:val="Ttulo1"/>
        <w:jc w:val="both"/>
        <w:rPr>
          <w:rFonts w:cs="Arial"/>
          <w:szCs w:val="24"/>
          <w:lang w:val="pt-BR"/>
        </w:rPr>
      </w:pPr>
    </w:p>
    <w:p w14:paraId="7715C684" w14:textId="2700F664" w:rsidR="00195C60" w:rsidRPr="00B91678" w:rsidRDefault="004A3C7C" w:rsidP="00195C60">
      <w:pPr>
        <w:pStyle w:val="Ttulo1"/>
        <w:numPr>
          <w:ilvl w:val="0"/>
          <w:numId w:val="1"/>
        </w:numPr>
        <w:jc w:val="both"/>
        <w:rPr>
          <w:rFonts w:cs="Arial"/>
          <w:szCs w:val="24"/>
          <w:lang w:val="pt-BR"/>
        </w:rPr>
      </w:pPr>
      <w:r>
        <w:rPr>
          <w:rFonts w:cs="Arial"/>
          <w:szCs w:val="24"/>
          <w:lang w:val="pt-BR"/>
        </w:rPr>
        <w:t>MERCOSUR/CT Nº 2</w:t>
      </w:r>
      <w:r w:rsidR="00A209FD">
        <w:rPr>
          <w:rFonts w:cs="Arial"/>
          <w:szCs w:val="24"/>
          <w:lang w:val="pt-BR"/>
        </w:rPr>
        <w:t xml:space="preserve"> </w:t>
      </w:r>
      <w:proofErr w:type="spellStart"/>
      <w:r w:rsidR="00A209FD">
        <w:rPr>
          <w:rFonts w:cs="Arial"/>
          <w:szCs w:val="24"/>
          <w:lang w:val="pt-BR"/>
        </w:rPr>
        <w:t>Ext</w:t>
      </w:r>
      <w:proofErr w:type="spellEnd"/>
      <w:r w:rsidR="00195C60" w:rsidRPr="00B91678">
        <w:rPr>
          <w:rFonts w:cs="Arial"/>
          <w:szCs w:val="24"/>
          <w:lang w:val="pt-BR"/>
        </w:rPr>
        <w:t>/</w:t>
      </w:r>
      <w:r w:rsidR="00A209FD">
        <w:rPr>
          <w:rFonts w:cs="Arial"/>
          <w:szCs w:val="24"/>
          <w:lang w:val="pt-BR"/>
        </w:rPr>
        <w:t>ACTA Nº 01</w:t>
      </w:r>
      <w:r w:rsidR="00195C60" w:rsidRPr="00B91678">
        <w:rPr>
          <w:rFonts w:cs="Arial"/>
          <w:szCs w:val="24"/>
          <w:lang w:val="pt-BR"/>
        </w:rPr>
        <w:t>/20</w:t>
      </w:r>
    </w:p>
    <w:p w14:paraId="196DB1D0" w14:textId="77777777" w:rsidR="00195C60" w:rsidRDefault="00195C60" w:rsidP="00142CA6">
      <w:pPr>
        <w:pStyle w:val="Ttulo1"/>
        <w:jc w:val="center"/>
        <w:rPr>
          <w:rFonts w:cs="Arial"/>
          <w:szCs w:val="24"/>
          <w:lang w:val="pt-BR"/>
        </w:rPr>
      </w:pPr>
    </w:p>
    <w:p w14:paraId="4F27889A" w14:textId="77777777" w:rsidR="00044567" w:rsidRPr="00044567" w:rsidRDefault="00044567" w:rsidP="00142CA6">
      <w:pPr>
        <w:spacing w:after="0" w:line="240" w:lineRule="auto"/>
        <w:rPr>
          <w:lang w:val="pt-BR" w:eastAsia="ar-SA"/>
        </w:rPr>
      </w:pPr>
    </w:p>
    <w:p w14:paraId="64A61889" w14:textId="77777777" w:rsidR="004A3C7C" w:rsidRPr="00B91678" w:rsidRDefault="004A3C7C" w:rsidP="00142CA6">
      <w:pPr>
        <w:numPr>
          <w:ilvl w:val="0"/>
          <w:numId w:val="3"/>
        </w:numPr>
        <w:tabs>
          <w:tab w:val="left" w:pos="2700"/>
        </w:tabs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  <w:lang w:val="es-UY" w:eastAsia="pt-BR"/>
        </w:rPr>
      </w:pPr>
      <w:r w:rsidRPr="004312F8">
        <w:rPr>
          <w:rFonts w:ascii="Arial" w:hAnsi="Arial" w:cs="Arial"/>
          <w:b/>
          <w:sz w:val="24"/>
          <w:szCs w:val="24"/>
          <w:lang w:val="es-UY" w:eastAsia="pt-BR"/>
        </w:rPr>
        <w:t xml:space="preserve">XXII </w:t>
      </w:r>
      <w:r w:rsidRPr="00B91678">
        <w:rPr>
          <w:rFonts w:ascii="Arial" w:hAnsi="Arial" w:cs="Arial"/>
          <w:b/>
          <w:sz w:val="24"/>
          <w:szCs w:val="24"/>
          <w:lang w:val="es-UY" w:eastAsia="pt-BR"/>
        </w:rPr>
        <w:t xml:space="preserve">REUNIÓN </w:t>
      </w:r>
      <w:r>
        <w:rPr>
          <w:rFonts w:ascii="Arial" w:hAnsi="Arial" w:cs="Arial"/>
          <w:b/>
          <w:sz w:val="24"/>
          <w:szCs w:val="24"/>
          <w:lang w:val="es-UY" w:eastAsia="pt-BR"/>
        </w:rPr>
        <w:t>EXTRA</w:t>
      </w:r>
      <w:r w:rsidRPr="00B91678">
        <w:rPr>
          <w:rFonts w:ascii="Arial" w:hAnsi="Arial" w:cs="Arial"/>
          <w:b/>
          <w:sz w:val="24"/>
          <w:szCs w:val="24"/>
          <w:lang w:val="es-UY" w:eastAsia="pt-BR"/>
        </w:rPr>
        <w:t>ORDINARIA DEL COMITÉ TÉCNICO Nº 2 “ASUNTOS ADUANEROS Y FACILITACIÓN DEL COMERCIO”</w:t>
      </w:r>
    </w:p>
    <w:p w14:paraId="5308352E" w14:textId="77777777" w:rsidR="004A3C7C" w:rsidRDefault="004A3C7C" w:rsidP="004A3C7C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val="es-PY"/>
        </w:rPr>
      </w:pPr>
    </w:p>
    <w:p w14:paraId="7CED17C0" w14:textId="77777777" w:rsidR="004A3C7C" w:rsidRPr="00F96051" w:rsidRDefault="004A3C7C" w:rsidP="004A3C7C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val="es-PY"/>
        </w:rPr>
      </w:pPr>
      <w:r w:rsidRPr="00B91678">
        <w:rPr>
          <w:rFonts w:ascii="Arial" w:hAnsi="Arial" w:cs="Arial"/>
          <w:sz w:val="24"/>
          <w:szCs w:val="24"/>
          <w:lang w:val="es-PY"/>
        </w:rPr>
        <w:t>En ejercicio de la Presidencia Pro Tempore de Uruguay (PPTU), e</w:t>
      </w:r>
      <w:r>
        <w:rPr>
          <w:rFonts w:ascii="Arial" w:hAnsi="Arial" w:cs="Arial"/>
          <w:sz w:val="24"/>
          <w:szCs w:val="24"/>
          <w:lang w:val="es-PY"/>
        </w:rPr>
        <w:t xml:space="preserve">l día 16 de setiembre de 2020, se realizó por </w:t>
      </w:r>
      <w:r w:rsidRPr="00B91678">
        <w:rPr>
          <w:rFonts w:ascii="Arial" w:hAnsi="Arial" w:cs="Arial"/>
          <w:sz w:val="24"/>
          <w:szCs w:val="24"/>
          <w:lang w:val="es-PY"/>
        </w:rPr>
        <w:t xml:space="preserve">medio del sistema de videoconferencia, conforme a lo establecido en la Resolución GMC Nº 19/12 “Reunión por el sistema de video conferencia”, la </w:t>
      </w:r>
      <w:r>
        <w:rPr>
          <w:rFonts w:ascii="Arial" w:hAnsi="Arial" w:cs="Arial"/>
          <w:sz w:val="24"/>
          <w:szCs w:val="24"/>
          <w:lang w:val="es-PY"/>
        </w:rPr>
        <w:t>XXII</w:t>
      </w:r>
      <w:r w:rsidRPr="00B91678">
        <w:rPr>
          <w:rFonts w:ascii="Arial" w:hAnsi="Arial" w:cs="Arial"/>
          <w:sz w:val="24"/>
          <w:szCs w:val="24"/>
          <w:lang w:val="es-PY"/>
        </w:rPr>
        <w:t xml:space="preserve"> Reunión Ordinaria del Comité Técnico Nº 2 “Asuntos Aduaneros y Facilitación del Comercio”, con la presencia de las Delegaciones de Argentina, Brasil, Paraguay y Uruguay.</w:t>
      </w:r>
      <w:r w:rsidRPr="00F96051">
        <w:rPr>
          <w:rFonts w:cs="Arial"/>
          <w:szCs w:val="24"/>
          <w:lang w:val="es-UY"/>
        </w:rPr>
        <w:t xml:space="preserve"> </w:t>
      </w:r>
      <w:r w:rsidRPr="00F96051">
        <w:rPr>
          <w:rFonts w:ascii="Arial" w:hAnsi="Arial" w:cs="Arial"/>
          <w:sz w:val="24"/>
          <w:szCs w:val="24"/>
          <w:lang w:val="es-UY"/>
        </w:rPr>
        <w:t>La Delegación de Bolivia participó de conformidad con lo establecido en la Decisión CMC Nº 13/15.</w:t>
      </w:r>
    </w:p>
    <w:p w14:paraId="2EB50C20" w14:textId="77777777" w:rsidR="004A3C7C" w:rsidRPr="00F96051" w:rsidRDefault="004A3C7C" w:rsidP="004A3C7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PY"/>
        </w:rPr>
      </w:pPr>
    </w:p>
    <w:p w14:paraId="729EE656" w14:textId="77777777" w:rsidR="004A3C7C" w:rsidRPr="00B91678" w:rsidRDefault="004A3C7C" w:rsidP="004A3C7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PY"/>
        </w:rPr>
      </w:pPr>
      <w:r w:rsidRPr="00B91678">
        <w:rPr>
          <w:rFonts w:ascii="Arial" w:hAnsi="Arial" w:cs="Arial"/>
          <w:sz w:val="24"/>
          <w:szCs w:val="24"/>
          <w:lang w:val="es-PY"/>
        </w:rPr>
        <w:t xml:space="preserve">La Lista de Participantes consta como </w:t>
      </w:r>
      <w:r w:rsidRPr="00B91678">
        <w:rPr>
          <w:rFonts w:ascii="Arial" w:hAnsi="Arial" w:cs="Arial"/>
          <w:b/>
          <w:sz w:val="24"/>
          <w:szCs w:val="24"/>
          <w:lang w:val="es-PY"/>
        </w:rPr>
        <w:t>Anexo I</w:t>
      </w:r>
      <w:r w:rsidRPr="00B91678">
        <w:rPr>
          <w:rFonts w:ascii="Arial" w:hAnsi="Arial" w:cs="Arial"/>
          <w:bCs/>
          <w:sz w:val="24"/>
          <w:szCs w:val="24"/>
          <w:lang w:val="es-PY"/>
        </w:rPr>
        <w:t>.</w:t>
      </w:r>
    </w:p>
    <w:p w14:paraId="54F772B8" w14:textId="77777777" w:rsidR="004A3C7C" w:rsidRDefault="004A3C7C" w:rsidP="004A3C7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PY"/>
        </w:rPr>
      </w:pPr>
    </w:p>
    <w:p w14:paraId="33F8D1E3" w14:textId="77777777" w:rsidR="004A3C7C" w:rsidRPr="00B91678" w:rsidRDefault="004A3C7C" w:rsidP="004A3C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PY"/>
        </w:rPr>
      </w:pPr>
      <w:r w:rsidRPr="00B91678">
        <w:rPr>
          <w:rFonts w:ascii="Arial" w:hAnsi="Arial" w:cs="Arial"/>
          <w:sz w:val="24"/>
          <w:szCs w:val="24"/>
          <w:lang w:val="es-PY"/>
        </w:rPr>
        <w:t xml:space="preserve">La Agenda de la Reunión consta como </w:t>
      </w:r>
      <w:r w:rsidRPr="00B91678">
        <w:rPr>
          <w:rFonts w:ascii="Arial" w:hAnsi="Arial" w:cs="Arial"/>
          <w:b/>
          <w:sz w:val="24"/>
          <w:szCs w:val="24"/>
          <w:lang w:val="es-PY"/>
        </w:rPr>
        <w:t>Anexo II</w:t>
      </w:r>
      <w:r w:rsidRPr="00B91678">
        <w:rPr>
          <w:rFonts w:ascii="Arial" w:hAnsi="Arial" w:cs="Arial"/>
          <w:bCs/>
          <w:sz w:val="24"/>
          <w:szCs w:val="24"/>
          <w:lang w:val="es-PY"/>
        </w:rPr>
        <w:t>.</w:t>
      </w:r>
    </w:p>
    <w:p w14:paraId="6B98D185" w14:textId="77777777" w:rsidR="004A3C7C" w:rsidRDefault="004A3C7C" w:rsidP="004A3C7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PY"/>
        </w:rPr>
      </w:pPr>
    </w:p>
    <w:p w14:paraId="60AAD646" w14:textId="77777777" w:rsidR="004A3C7C" w:rsidRDefault="004A3C7C" w:rsidP="004A3C7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PY"/>
        </w:rPr>
      </w:pPr>
    </w:p>
    <w:p w14:paraId="14EB181E" w14:textId="77777777" w:rsidR="004A3C7C" w:rsidRDefault="004A3C7C" w:rsidP="004A3C7C">
      <w:pPr>
        <w:pStyle w:val="Textoindependiente"/>
        <w:widowControl w:val="0"/>
        <w:numPr>
          <w:ilvl w:val="0"/>
          <w:numId w:val="2"/>
        </w:numPr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after="0"/>
        <w:ind w:left="567" w:hanging="567"/>
        <w:jc w:val="both"/>
        <w:textAlignment w:val="baseline"/>
        <w:rPr>
          <w:rFonts w:cs="Arial"/>
          <w:b/>
          <w:szCs w:val="24"/>
          <w:lang w:val="es-PY"/>
        </w:rPr>
      </w:pPr>
      <w:r>
        <w:rPr>
          <w:rFonts w:cs="Arial"/>
          <w:b/>
          <w:szCs w:val="24"/>
          <w:lang w:val="es-PY"/>
        </w:rPr>
        <w:t>ESTATUTO DE LA CIUDADANÍA MERCOSUR. ANÁLISIS DE LAS FICHAS TEMÁTICAS REMITIDAS POR LA PPTU.</w:t>
      </w:r>
    </w:p>
    <w:p w14:paraId="1A0904D4" w14:textId="77777777" w:rsidR="004A3C7C" w:rsidRPr="004312F8" w:rsidRDefault="004A3C7C" w:rsidP="004A3C7C">
      <w:pPr>
        <w:pStyle w:val="Textoindependiente"/>
        <w:widowControl w:val="0"/>
        <w:tabs>
          <w:tab w:val="left" w:pos="567"/>
        </w:tabs>
        <w:suppressAutoHyphens/>
        <w:overflowPunct w:val="0"/>
        <w:autoSpaceDE w:val="0"/>
        <w:autoSpaceDN w:val="0"/>
        <w:adjustRightInd w:val="0"/>
        <w:spacing w:after="0"/>
        <w:ind w:left="567"/>
        <w:jc w:val="both"/>
        <w:textAlignment w:val="baseline"/>
        <w:rPr>
          <w:rFonts w:cs="Arial"/>
          <w:b/>
          <w:szCs w:val="24"/>
          <w:lang w:val="es-PY"/>
        </w:rPr>
      </w:pPr>
    </w:p>
    <w:p w14:paraId="670AE8E5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 w:rsidRPr="00032670">
        <w:rPr>
          <w:rFonts w:ascii="Arial" w:hAnsi="Arial" w:cs="Arial"/>
          <w:bCs w:val="0"/>
          <w:sz w:val="24"/>
          <w:szCs w:val="24"/>
          <w:lang w:val="es-PY"/>
        </w:rPr>
        <w:t xml:space="preserve">En cumplimiento a la instrucción de la LIII Reunión Extraordinaria del GMC – Acta 01/20 (30/06/20) </w:t>
      </w:r>
      <w:r>
        <w:rPr>
          <w:rFonts w:ascii="Arial" w:hAnsi="Arial" w:cs="Arial"/>
          <w:bCs w:val="0"/>
          <w:sz w:val="24"/>
          <w:szCs w:val="24"/>
          <w:lang w:val="es-PY"/>
        </w:rPr>
        <w:t xml:space="preserve">que resolvió remitir a consideración de los foros involucrados en la Dec. CMC N° 64/10, las fichas temáticas elaboradas por la </w:t>
      </w:r>
      <w:r w:rsidRPr="00032670">
        <w:rPr>
          <w:rFonts w:ascii="Arial" w:hAnsi="Arial" w:cs="Arial"/>
          <w:sz w:val="24"/>
          <w:szCs w:val="24"/>
          <w:lang w:val="es-PY" w:eastAsia="pt-BR"/>
        </w:rPr>
        <w:t>CRPM</w:t>
      </w:r>
      <w:r>
        <w:rPr>
          <w:rFonts w:ascii="Arial" w:hAnsi="Arial" w:cs="Arial"/>
          <w:sz w:val="24"/>
          <w:szCs w:val="24"/>
          <w:lang w:val="es-PY" w:eastAsia="pt-BR"/>
        </w:rPr>
        <w:t xml:space="preserve"> sobre los distintos elementos del Plan de Acción, como base para la redacción del Estatuto de la Ciudadanía MERCOSUR, la PPTU remitió  a consideración del CT N° 2, solicitándole sus comentarios y sugerencias, las siguientes Fichas temáticas:</w:t>
      </w:r>
    </w:p>
    <w:p w14:paraId="289575A8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</w:p>
    <w:p w14:paraId="08CF670E" w14:textId="77777777" w:rsidR="004A3C7C" w:rsidRDefault="004A3C7C" w:rsidP="004A3C7C">
      <w:pPr>
        <w:pStyle w:val="Sangradetextonormal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Capítulo sobre derechos en materia de Circulación de Personas en el MERCOSUR</w:t>
      </w:r>
    </w:p>
    <w:p w14:paraId="17B14055" w14:textId="77777777" w:rsidR="004A3C7C" w:rsidRDefault="004A3C7C" w:rsidP="004A3C7C">
      <w:pPr>
        <w:pStyle w:val="Sangradetextonormal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Capítulo sobre derechos en materia de fronteras en el MERCOSUR.</w:t>
      </w:r>
    </w:p>
    <w:p w14:paraId="05FDB1DB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780" w:firstLine="0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 xml:space="preserve"> </w:t>
      </w:r>
    </w:p>
    <w:p w14:paraId="709CE224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b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 xml:space="preserve">Los Coordinadores realizaron el análisis de dichas Fichas, intercambiando comentarios y sugerencias, las que fueron incorporadas a los formularios que acompañan cada ficha, las que se agregan como </w:t>
      </w:r>
      <w:r>
        <w:rPr>
          <w:rFonts w:ascii="Arial" w:hAnsi="Arial" w:cs="Arial"/>
          <w:b/>
          <w:sz w:val="24"/>
          <w:szCs w:val="24"/>
          <w:lang w:val="es-PY" w:eastAsia="pt-BR"/>
        </w:rPr>
        <w:t>Anexo III.</w:t>
      </w:r>
    </w:p>
    <w:p w14:paraId="4D9C7923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b/>
          <w:sz w:val="24"/>
          <w:szCs w:val="24"/>
          <w:lang w:val="es-PY" w:eastAsia="pt-BR"/>
        </w:rPr>
      </w:pPr>
    </w:p>
    <w:p w14:paraId="06E00983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Con relación a las “Autoridades de Aplicación” a las que refiere la Ficha sobre derechos en materia de frontera, los Coordinadores realizaron las siguientes precisiones:</w:t>
      </w:r>
    </w:p>
    <w:p w14:paraId="5BD9993D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</w:p>
    <w:p w14:paraId="45D8B145" w14:textId="76BD439B" w:rsidR="004A3C7C" w:rsidRDefault="004A3C7C" w:rsidP="004A3C7C">
      <w:pPr>
        <w:pStyle w:val="Sangradetextonormal"/>
        <w:widowControl w:val="0"/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En caso de que la referencia sea a los organismos coordinadores de las Áreas de Control Integrado (ACI), la Res GMC N° 20/09</w:t>
      </w:r>
      <w:r w:rsidR="00A209FD">
        <w:rPr>
          <w:rFonts w:ascii="Arial" w:hAnsi="Arial" w:cs="Arial"/>
          <w:sz w:val="24"/>
          <w:szCs w:val="24"/>
          <w:lang w:val="es-PY" w:eastAsia="pt-BR"/>
        </w:rPr>
        <w:t>-</w:t>
      </w:r>
      <w:r>
        <w:rPr>
          <w:rFonts w:ascii="Arial" w:hAnsi="Arial" w:cs="Arial"/>
          <w:sz w:val="24"/>
          <w:szCs w:val="24"/>
          <w:lang w:val="es-PY" w:eastAsia="pt-BR"/>
        </w:rPr>
        <w:t xml:space="preserve"> “Nómina y Reglamento de los Organismos Coordinadores de las Áreas de Control Integrado”, se encuentra en proceso de revisión. Actualmente los organismos coordinadores de las ACI son los siguientes:</w:t>
      </w:r>
    </w:p>
    <w:p w14:paraId="23402C08" w14:textId="77777777" w:rsidR="00B639C0" w:rsidRDefault="00B639C0">
      <w:pPr>
        <w:rPr>
          <w:rFonts w:ascii="Arial" w:hAnsi="Arial" w:cs="Arial"/>
          <w:bCs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br w:type="page"/>
      </w:r>
    </w:p>
    <w:p w14:paraId="458613B4" w14:textId="136EF881" w:rsidR="004A3C7C" w:rsidRDefault="004A3C7C" w:rsidP="004A3C7C">
      <w:pPr>
        <w:pStyle w:val="Sangradetextonormal"/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lastRenderedPageBreak/>
        <w:t>República Argentina: Ministerio del Interior – Ministerio de Seguridad</w:t>
      </w:r>
    </w:p>
    <w:p w14:paraId="43AEAC85" w14:textId="77777777" w:rsidR="004A3C7C" w:rsidRDefault="004A3C7C" w:rsidP="004A3C7C">
      <w:pPr>
        <w:pStyle w:val="Sangradetextonormal"/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República Federativa del Brasil: Secretaría Especial da Receita Federal do Brasil</w:t>
      </w:r>
    </w:p>
    <w:p w14:paraId="1F1D32C6" w14:textId="77777777" w:rsidR="004A3C7C" w:rsidRDefault="004A3C7C" w:rsidP="004A3C7C">
      <w:pPr>
        <w:pStyle w:val="Sangradetextonormal"/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República del Paraguay: Dirección Nacional de Aduanas</w:t>
      </w:r>
    </w:p>
    <w:p w14:paraId="3E31A235" w14:textId="77777777" w:rsidR="004A3C7C" w:rsidRDefault="004A3C7C" w:rsidP="004A3C7C">
      <w:pPr>
        <w:pStyle w:val="Sangradetextonormal"/>
        <w:widowControl w:val="0"/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República Oriental del Uruguay: Dirección Nacional de Pasos de Frontera</w:t>
      </w:r>
    </w:p>
    <w:p w14:paraId="1128A1A6" w14:textId="77777777" w:rsidR="004A3C7C" w:rsidRPr="00403C1B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hAnsi="Arial" w:cs="Arial"/>
          <w:sz w:val="24"/>
          <w:szCs w:val="24"/>
          <w:lang w:val="es-ES_tradnl" w:eastAsia="pt-BR"/>
        </w:rPr>
      </w:pPr>
    </w:p>
    <w:p w14:paraId="219EEE97" w14:textId="588A4ADE" w:rsidR="00A209FD" w:rsidRPr="00A209FD" w:rsidRDefault="004A3C7C" w:rsidP="00A209FD">
      <w:pPr>
        <w:pStyle w:val="Sangradetextonormal"/>
        <w:widowControl w:val="0"/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 xml:space="preserve">Si la referencia es a los organismos responsables de ejercer sus controles en las ACI, la Res GMC N° 29/07 que los enumera, también se encuentra en proceso de revisión y actualización en virtud de que han variado las autoridades de algunos Estados Partes. En el caso de Argentina, corresponde </w:t>
      </w:r>
      <w:r w:rsidR="00A209FD" w:rsidRPr="00A209FD">
        <w:rPr>
          <w:rFonts w:ascii="Arial" w:hAnsi="Arial" w:cs="Arial"/>
          <w:sz w:val="24"/>
          <w:szCs w:val="24"/>
          <w:lang w:val="es-PY" w:eastAsia="pt-BR"/>
        </w:rPr>
        <w:t xml:space="preserve">reemplazar Secretaría de Seguridad Interior por Dirección Nacional de Asuntos Técnicos de Frontera (Min Interior) y Dirección Nacional de Fronteras e </w:t>
      </w:r>
      <w:r w:rsidR="00D5052C" w:rsidRPr="00A209FD">
        <w:rPr>
          <w:rFonts w:ascii="Arial" w:hAnsi="Arial" w:cs="Arial"/>
          <w:sz w:val="24"/>
          <w:szCs w:val="24"/>
          <w:lang w:val="es-PY" w:eastAsia="pt-BR"/>
        </w:rPr>
        <w:t>Hidrovía</w:t>
      </w:r>
      <w:bookmarkStart w:id="0" w:name="_GoBack"/>
      <w:bookmarkEnd w:id="0"/>
      <w:r w:rsidR="00A209FD" w:rsidRPr="00A209FD">
        <w:rPr>
          <w:rFonts w:ascii="Arial" w:hAnsi="Arial" w:cs="Arial"/>
          <w:sz w:val="24"/>
          <w:szCs w:val="24"/>
          <w:lang w:val="es-PY" w:eastAsia="pt-BR"/>
        </w:rPr>
        <w:t xml:space="preserve"> </w:t>
      </w:r>
      <w:r w:rsidR="005A709A" w:rsidRPr="00A209FD">
        <w:rPr>
          <w:rFonts w:ascii="Arial" w:hAnsi="Arial" w:cs="Arial"/>
          <w:sz w:val="24"/>
          <w:szCs w:val="24"/>
          <w:lang w:val="es-PY" w:eastAsia="pt-BR"/>
        </w:rPr>
        <w:t>(Min</w:t>
      </w:r>
      <w:r w:rsidR="00A209FD" w:rsidRPr="00A209FD">
        <w:rPr>
          <w:rFonts w:ascii="Arial" w:hAnsi="Arial" w:cs="Arial"/>
          <w:sz w:val="24"/>
          <w:szCs w:val="24"/>
          <w:lang w:val="es-PY" w:eastAsia="pt-BR"/>
        </w:rPr>
        <w:t xml:space="preserve"> de seguridad).</w:t>
      </w:r>
    </w:p>
    <w:p w14:paraId="24E1DDC0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567" w:firstLine="0"/>
        <w:textAlignment w:val="baseline"/>
        <w:rPr>
          <w:rFonts w:ascii="Arial" w:hAnsi="Arial" w:cs="Arial"/>
          <w:sz w:val="24"/>
          <w:szCs w:val="24"/>
          <w:lang w:val="es-PY" w:eastAsia="pt-BR"/>
        </w:rPr>
      </w:pPr>
    </w:p>
    <w:p w14:paraId="0804CBBF" w14:textId="4A157210" w:rsidR="004A3C7C" w:rsidRPr="00B52807" w:rsidRDefault="004A3C7C" w:rsidP="004A3C7C">
      <w:pPr>
        <w:pStyle w:val="Sangradetextonormal"/>
        <w:widowControl w:val="0"/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284" w:firstLine="0"/>
        <w:textAlignment w:val="baseline"/>
        <w:rPr>
          <w:rFonts w:ascii="Arial" w:hAnsi="Arial" w:cs="Arial"/>
          <w:sz w:val="24"/>
          <w:szCs w:val="24"/>
          <w:lang w:val="es-ES_tradnl" w:eastAsia="pt-BR"/>
        </w:rPr>
      </w:pPr>
      <w:r>
        <w:rPr>
          <w:rFonts w:ascii="Arial" w:hAnsi="Arial" w:cs="Arial"/>
          <w:sz w:val="24"/>
          <w:szCs w:val="24"/>
          <w:lang w:val="es-PY" w:eastAsia="pt-BR"/>
        </w:rPr>
        <w:t>En el caso de Brasil, la denominación correcta es Secretaría</w:t>
      </w:r>
      <w:r w:rsidR="00044567">
        <w:rPr>
          <w:rFonts w:ascii="Arial" w:hAnsi="Arial" w:cs="Arial"/>
          <w:sz w:val="24"/>
          <w:szCs w:val="24"/>
          <w:lang w:val="es-PY" w:eastAsia="pt-BR"/>
        </w:rPr>
        <w:t xml:space="preserve"> Especial da Receita  Federal do</w:t>
      </w:r>
      <w:r>
        <w:rPr>
          <w:rFonts w:ascii="Arial" w:hAnsi="Arial" w:cs="Arial"/>
          <w:sz w:val="24"/>
          <w:szCs w:val="24"/>
          <w:lang w:val="es-PY" w:eastAsia="pt-BR"/>
        </w:rPr>
        <w:t xml:space="preserve"> Brasil.</w:t>
      </w:r>
    </w:p>
    <w:p w14:paraId="652A6686" w14:textId="77777777" w:rsidR="004A3C7C" w:rsidRDefault="004A3C7C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b/>
          <w:sz w:val="24"/>
          <w:szCs w:val="24"/>
          <w:lang w:val="es-PY" w:eastAsia="pt-BR"/>
        </w:rPr>
      </w:pPr>
    </w:p>
    <w:p w14:paraId="403617F5" w14:textId="77777777" w:rsidR="00142CA6" w:rsidRPr="00247282" w:rsidRDefault="00142CA6" w:rsidP="004A3C7C">
      <w:pPr>
        <w:pStyle w:val="Sangradetextonormal"/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Arial" w:hAnsi="Arial" w:cs="Arial"/>
          <w:b/>
          <w:sz w:val="24"/>
          <w:szCs w:val="24"/>
          <w:lang w:val="es-PY" w:eastAsia="pt-BR"/>
        </w:rPr>
      </w:pPr>
    </w:p>
    <w:p w14:paraId="26AC207C" w14:textId="77777777" w:rsidR="004A3C7C" w:rsidRDefault="004A3C7C" w:rsidP="004A3C7C">
      <w:pPr>
        <w:suppressAutoHyphens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val="es-ES" w:eastAsia="pt-BR"/>
        </w:rPr>
      </w:pPr>
      <w:r w:rsidRPr="00247282">
        <w:rPr>
          <w:rFonts w:ascii="Arial" w:hAnsi="Arial" w:cs="Arial"/>
          <w:b/>
          <w:sz w:val="24"/>
          <w:szCs w:val="24"/>
          <w:lang w:val="es-ES" w:eastAsia="pt-BR"/>
        </w:rPr>
        <w:t>LISTA DE ANEXOS</w:t>
      </w:r>
    </w:p>
    <w:p w14:paraId="24339D46" w14:textId="77777777" w:rsidR="00044567" w:rsidRPr="00247282" w:rsidRDefault="00044567" w:rsidP="004A3C7C">
      <w:pPr>
        <w:suppressAutoHyphens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val="es-ES" w:eastAsia="pt-B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07"/>
        <w:gridCol w:w="7030"/>
      </w:tblGrid>
      <w:tr w:rsidR="004A3C7C" w:rsidRPr="00B52807" w14:paraId="1F29DB3B" w14:textId="77777777" w:rsidTr="0031402E">
        <w:trPr>
          <w:trHeight w:hRule="exact" w:val="373"/>
        </w:trPr>
        <w:tc>
          <w:tcPr>
            <w:tcW w:w="1643" w:type="dxa"/>
          </w:tcPr>
          <w:p w14:paraId="01867388" w14:textId="77777777" w:rsidR="004A3C7C" w:rsidRPr="00B91678" w:rsidRDefault="004A3C7C" w:rsidP="004F7AC6">
            <w:pPr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sz w:val="24"/>
                <w:szCs w:val="24"/>
                <w:lang w:val="es-UY"/>
              </w:rPr>
              <w:br w:type="page"/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nexo</w:t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 xml:space="preserve"> I</w:t>
            </w:r>
          </w:p>
        </w:tc>
        <w:tc>
          <w:tcPr>
            <w:tcW w:w="7327" w:type="dxa"/>
          </w:tcPr>
          <w:p w14:paraId="1E0ACB66" w14:textId="77777777" w:rsidR="004A3C7C" w:rsidRPr="00B91678" w:rsidRDefault="004A3C7C" w:rsidP="004F7AC6">
            <w:pPr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 w:rsidRPr="00B91678">
              <w:rPr>
                <w:rFonts w:ascii="Arial" w:hAnsi="Arial" w:cs="Arial"/>
                <w:sz w:val="24"/>
                <w:szCs w:val="24"/>
                <w:lang w:val="pt-BR" w:eastAsia="pt-BR"/>
              </w:rPr>
              <w:t>Lista de Participantes</w:t>
            </w:r>
          </w:p>
        </w:tc>
      </w:tr>
      <w:tr w:rsidR="004A3C7C" w:rsidRPr="00B91678" w14:paraId="0FE9293F" w14:textId="77777777" w:rsidTr="0031402E">
        <w:trPr>
          <w:trHeight w:hRule="exact" w:val="351"/>
        </w:trPr>
        <w:tc>
          <w:tcPr>
            <w:tcW w:w="1643" w:type="dxa"/>
          </w:tcPr>
          <w:p w14:paraId="23CC16E0" w14:textId="77777777" w:rsidR="004A3C7C" w:rsidRPr="00B91678" w:rsidRDefault="004A3C7C" w:rsidP="004F7AC6">
            <w:pPr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nexo</w:t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  <w:t xml:space="preserve"> II</w:t>
            </w:r>
          </w:p>
        </w:tc>
        <w:tc>
          <w:tcPr>
            <w:tcW w:w="7327" w:type="dxa"/>
          </w:tcPr>
          <w:p w14:paraId="6796668D" w14:textId="77777777" w:rsidR="004A3C7C" w:rsidRPr="00B91678" w:rsidRDefault="004A3C7C" w:rsidP="004F7AC6">
            <w:pPr>
              <w:rPr>
                <w:rFonts w:ascii="Arial" w:hAnsi="Arial" w:cs="Arial"/>
                <w:sz w:val="24"/>
                <w:szCs w:val="24"/>
                <w:lang w:val="es-UY"/>
              </w:rPr>
            </w:pPr>
            <w:r w:rsidRPr="00B91678">
              <w:rPr>
                <w:rFonts w:ascii="Arial" w:hAnsi="Arial" w:cs="Arial"/>
                <w:sz w:val="24"/>
                <w:szCs w:val="24"/>
                <w:lang w:val="pt-BR" w:eastAsia="pt-BR"/>
              </w:rPr>
              <w:t>Agenda</w:t>
            </w:r>
          </w:p>
        </w:tc>
      </w:tr>
      <w:tr w:rsidR="004A3C7C" w:rsidRPr="00D5052C" w14:paraId="6CAAAD05" w14:textId="77777777" w:rsidTr="0031402E">
        <w:trPr>
          <w:trHeight w:hRule="exact" w:val="639"/>
        </w:trPr>
        <w:tc>
          <w:tcPr>
            <w:tcW w:w="1643" w:type="dxa"/>
          </w:tcPr>
          <w:p w14:paraId="7EE014F9" w14:textId="77777777" w:rsidR="004A3C7C" w:rsidRPr="00B91678" w:rsidRDefault="004A3C7C" w:rsidP="004F7AC6">
            <w:pPr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</w:pPr>
            <w:r w:rsidRPr="00B91678">
              <w:rPr>
                <w:rFonts w:ascii="Arial" w:hAnsi="Arial" w:cs="Arial"/>
                <w:b/>
                <w:sz w:val="24"/>
                <w:szCs w:val="24"/>
                <w:lang w:val="es-UY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nexo</w:t>
            </w:r>
            <w:r w:rsidRPr="00B91678"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  <w:t xml:space="preserve"> III</w:t>
            </w:r>
          </w:p>
        </w:tc>
        <w:tc>
          <w:tcPr>
            <w:tcW w:w="7327" w:type="dxa"/>
          </w:tcPr>
          <w:p w14:paraId="75919269" w14:textId="77777777" w:rsidR="004A3C7C" w:rsidRPr="00B91678" w:rsidRDefault="004A3C7C" w:rsidP="004F7AC6">
            <w:pPr>
              <w:rPr>
                <w:rFonts w:ascii="Arial" w:hAnsi="Arial" w:cs="Arial"/>
                <w:b/>
                <w:sz w:val="24"/>
                <w:szCs w:val="24"/>
                <w:lang w:val="pt-BR" w:eastAsia="pt-BR"/>
              </w:rPr>
            </w:pPr>
            <w:r>
              <w:rPr>
                <w:rFonts w:ascii="Arial" w:hAnsi="Arial" w:cs="Arial"/>
                <w:sz w:val="24"/>
                <w:szCs w:val="24"/>
                <w:lang w:val="es-UY" w:eastAsia="pt-BR"/>
              </w:rPr>
              <w:t>Fichas temáticas elaboradas por la CRPM sobre el Estatuto de la Ciudadanía con aportes CT N° 2</w:t>
            </w:r>
          </w:p>
        </w:tc>
      </w:tr>
    </w:tbl>
    <w:p w14:paraId="765A5E53" w14:textId="628FF755" w:rsidR="00DD0F9A" w:rsidRDefault="00DD0F9A" w:rsidP="00044567">
      <w:pPr>
        <w:tabs>
          <w:tab w:val="left" w:pos="1005"/>
        </w:tabs>
        <w:spacing w:after="0" w:line="240" w:lineRule="auto"/>
        <w:rPr>
          <w:lang w:val="es-UY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4"/>
        <w:gridCol w:w="4323"/>
      </w:tblGrid>
      <w:tr w:rsidR="0031402E" w:rsidRPr="00D5052C" w14:paraId="26064D50" w14:textId="77777777" w:rsidTr="00142CA6">
        <w:trPr>
          <w:trHeight w:val="2123"/>
        </w:trPr>
        <w:tc>
          <w:tcPr>
            <w:tcW w:w="4485" w:type="dxa"/>
          </w:tcPr>
          <w:p w14:paraId="51B75CEC" w14:textId="77777777" w:rsidR="005A709A" w:rsidRDefault="00142CA6" w:rsidP="00142CA6">
            <w:pPr>
              <w:tabs>
                <w:tab w:val="left" w:pos="1005"/>
              </w:tabs>
              <w:rPr>
                <w:rFonts w:ascii="Arial" w:hAnsi="Arial" w:cs="Arial"/>
                <w:noProof/>
                <w:sz w:val="24"/>
                <w:szCs w:val="24"/>
                <w:lang w:val="es-UY" w:eastAsia="es-UY"/>
              </w:rPr>
            </w:pPr>
            <w:r>
              <w:rPr>
                <w:lang w:val="es-UY"/>
              </w:rPr>
              <w:t xml:space="preserve">            </w:t>
            </w:r>
          </w:p>
          <w:p w14:paraId="4E669F13" w14:textId="77777777" w:rsidR="005A709A" w:rsidRDefault="005A709A" w:rsidP="00142CA6">
            <w:pPr>
              <w:tabs>
                <w:tab w:val="left" w:pos="1005"/>
              </w:tabs>
              <w:rPr>
                <w:rFonts w:ascii="Arial" w:hAnsi="Arial" w:cs="Arial"/>
                <w:noProof/>
                <w:sz w:val="24"/>
                <w:szCs w:val="24"/>
                <w:lang w:val="es-UY" w:eastAsia="es-UY"/>
              </w:rPr>
            </w:pPr>
          </w:p>
          <w:p w14:paraId="51F186FA" w14:textId="77777777" w:rsidR="005A709A" w:rsidRDefault="005A709A" w:rsidP="00142CA6">
            <w:pPr>
              <w:tabs>
                <w:tab w:val="left" w:pos="1005"/>
              </w:tabs>
              <w:rPr>
                <w:rFonts w:ascii="Arial" w:hAnsi="Arial" w:cs="Arial"/>
                <w:noProof/>
                <w:sz w:val="24"/>
                <w:szCs w:val="24"/>
                <w:lang w:val="es-UY" w:eastAsia="es-UY"/>
              </w:rPr>
            </w:pPr>
          </w:p>
          <w:p w14:paraId="39D404F4" w14:textId="77777777" w:rsidR="005A709A" w:rsidRDefault="005A709A" w:rsidP="00142CA6">
            <w:pPr>
              <w:tabs>
                <w:tab w:val="left" w:pos="1005"/>
              </w:tabs>
              <w:rPr>
                <w:rFonts w:ascii="Arial" w:hAnsi="Arial" w:cs="Arial"/>
                <w:noProof/>
                <w:sz w:val="24"/>
                <w:szCs w:val="24"/>
                <w:lang w:val="es-UY" w:eastAsia="es-UY"/>
              </w:rPr>
            </w:pPr>
          </w:p>
          <w:p w14:paraId="699A6774" w14:textId="02749AE3" w:rsidR="00142CA6" w:rsidRDefault="00142CA6" w:rsidP="00142CA6">
            <w:pPr>
              <w:tabs>
                <w:tab w:val="left" w:pos="1005"/>
              </w:tabs>
              <w:rPr>
                <w:lang w:val="es-UY"/>
              </w:rPr>
            </w:pPr>
            <w:r>
              <w:rPr>
                <w:lang w:val="es-UY"/>
              </w:rPr>
              <w:t xml:space="preserve">         </w:t>
            </w:r>
          </w:p>
          <w:p w14:paraId="2494BC9E" w14:textId="24493A18" w:rsidR="0031402E" w:rsidRDefault="00142CA6" w:rsidP="00AA2876">
            <w:pPr>
              <w:tabs>
                <w:tab w:val="left" w:pos="1005"/>
              </w:tabs>
              <w:spacing w:line="300" w:lineRule="exact"/>
              <w:rPr>
                <w:lang w:val="es-UY"/>
              </w:rPr>
            </w:pPr>
            <w:r>
              <w:rPr>
                <w:lang w:val="es-UY"/>
              </w:rPr>
              <w:t xml:space="preserve">     </w:t>
            </w:r>
            <w:r w:rsidR="0031402E">
              <w:rPr>
                <w:lang w:val="es-UY"/>
              </w:rPr>
              <w:t>___________________________________</w:t>
            </w:r>
          </w:p>
          <w:p w14:paraId="0068C636" w14:textId="4792C928" w:rsidR="0031402E" w:rsidRDefault="0031402E" w:rsidP="0031402E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Por la Delegación de Argentina</w:t>
            </w:r>
          </w:p>
          <w:p w14:paraId="0276C5FF" w14:textId="2B9B1C62" w:rsidR="0031402E" w:rsidRDefault="0031402E" w:rsidP="0031402E">
            <w:pPr>
              <w:tabs>
                <w:tab w:val="left" w:pos="1005"/>
              </w:tabs>
              <w:jc w:val="center"/>
              <w:rPr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María Luisa Carbonell</w:t>
            </w:r>
          </w:p>
        </w:tc>
        <w:tc>
          <w:tcPr>
            <w:tcW w:w="4485" w:type="dxa"/>
          </w:tcPr>
          <w:p w14:paraId="135BEF6E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48FCF879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67919147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7D732E7C" w14:textId="77777777" w:rsidR="00142CA6" w:rsidRDefault="00142CA6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29177A59" w14:textId="77777777" w:rsidR="00142CA6" w:rsidRDefault="00142CA6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5EEC130D" w14:textId="77777777" w:rsidR="00142CA6" w:rsidRDefault="00142CA6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0308744F" w14:textId="6FA6844D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  <w:r>
              <w:rPr>
                <w:lang w:val="es-UY"/>
              </w:rPr>
              <w:t>____________________________________</w:t>
            </w:r>
          </w:p>
          <w:p w14:paraId="76629F90" w14:textId="174E7810" w:rsidR="00044567" w:rsidRDefault="00044567" w:rsidP="0004456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Por la Delegación de Brasil</w:t>
            </w:r>
          </w:p>
          <w:p w14:paraId="21968202" w14:textId="55FE58D1" w:rsidR="0031402E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Edison Introvini</w:t>
            </w:r>
          </w:p>
        </w:tc>
      </w:tr>
      <w:tr w:rsidR="0031402E" w:rsidRPr="00D5052C" w14:paraId="6215DEC1" w14:textId="77777777" w:rsidTr="00142CA6">
        <w:trPr>
          <w:trHeight w:val="1934"/>
        </w:trPr>
        <w:tc>
          <w:tcPr>
            <w:tcW w:w="4485" w:type="dxa"/>
          </w:tcPr>
          <w:p w14:paraId="0BA34543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11A4CFA5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1CAD49EC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724C1814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7ABE982C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1B0F26B3" w14:textId="77777777" w:rsidR="00044567" w:rsidRDefault="00044567" w:rsidP="00044567">
            <w:pPr>
              <w:tabs>
                <w:tab w:val="left" w:pos="1005"/>
              </w:tabs>
              <w:rPr>
                <w:lang w:val="es-UY"/>
              </w:rPr>
            </w:pPr>
          </w:p>
          <w:p w14:paraId="0F5473B0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  <w:r>
              <w:rPr>
                <w:lang w:val="es-UY"/>
              </w:rPr>
              <w:t>______________________________________</w:t>
            </w:r>
          </w:p>
          <w:p w14:paraId="35E6D099" w14:textId="7AA07F75" w:rsidR="00044567" w:rsidRDefault="00044567" w:rsidP="0004456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Por la Delegación de Paraguay</w:t>
            </w:r>
          </w:p>
          <w:p w14:paraId="5AD0C496" w14:textId="797F132A" w:rsidR="0031402E" w:rsidRDefault="00044567" w:rsidP="00044567">
            <w:pPr>
              <w:tabs>
                <w:tab w:val="left" w:pos="1005"/>
              </w:tabs>
              <w:spacing w:line="480" w:lineRule="auto"/>
              <w:jc w:val="center"/>
              <w:rPr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Ramón Gómez</w:t>
            </w:r>
          </w:p>
        </w:tc>
        <w:tc>
          <w:tcPr>
            <w:tcW w:w="4485" w:type="dxa"/>
          </w:tcPr>
          <w:p w14:paraId="5830EC41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67E44FA1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6970850E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3CCFC169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6C44BDD6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093B9E88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6A8A74F0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  <w:r>
              <w:rPr>
                <w:lang w:val="es-UY"/>
              </w:rPr>
              <w:t>______________________________________</w:t>
            </w:r>
          </w:p>
          <w:p w14:paraId="5CB51AA4" w14:textId="4E72E809" w:rsidR="00044567" w:rsidRDefault="00044567" w:rsidP="0004456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Por la Delegación de Uruguay</w:t>
            </w:r>
          </w:p>
          <w:p w14:paraId="1612961F" w14:textId="44E1F8E1" w:rsidR="0031402E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Laura Dighiero</w:t>
            </w:r>
          </w:p>
        </w:tc>
      </w:tr>
      <w:tr w:rsidR="00044567" w:rsidRPr="00D5052C" w14:paraId="3E587380" w14:textId="77777777" w:rsidTr="00142CA6">
        <w:trPr>
          <w:trHeight w:val="1934"/>
        </w:trPr>
        <w:tc>
          <w:tcPr>
            <w:tcW w:w="4485" w:type="dxa"/>
          </w:tcPr>
          <w:p w14:paraId="272329D7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0B08F646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71DC94BF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0C88AC71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364361DE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  <w:p w14:paraId="78077411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  <w:r>
              <w:rPr>
                <w:lang w:val="es-UY"/>
              </w:rPr>
              <w:t>______________________________________</w:t>
            </w:r>
          </w:p>
          <w:p w14:paraId="159E9970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Por la Delegación de Bolivia</w:t>
            </w:r>
          </w:p>
          <w:p w14:paraId="22F9B3E1" w14:textId="60CCAD59" w:rsidR="00044567" w:rsidRPr="00044567" w:rsidRDefault="00044567" w:rsidP="0004456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val="es-U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UY"/>
              </w:rPr>
              <w:t>Wendy Torrejón</w:t>
            </w:r>
          </w:p>
        </w:tc>
        <w:tc>
          <w:tcPr>
            <w:tcW w:w="4485" w:type="dxa"/>
          </w:tcPr>
          <w:p w14:paraId="60768851" w14:textId="77777777" w:rsidR="00044567" w:rsidRDefault="00044567" w:rsidP="00044567">
            <w:pPr>
              <w:tabs>
                <w:tab w:val="left" w:pos="1005"/>
              </w:tabs>
              <w:jc w:val="center"/>
              <w:rPr>
                <w:lang w:val="es-UY"/>
              </w:rPr>
            </w:pPr>
          </w:p>
        </w:tc>
      </w:tr>
    </w:tbl>
    <w:p w14:paraId="28BF0599" w14:textId="77777777" w:rsidR="0031402E" w:rsidRPr="004A3C7C" w:rsidRDefault="0031402E" w:rsidP="004A3C7C">
      <w:pPr>
        <w:tabs>
          <w:tab w:val="left" w:pos="1005"/>
        </w:tabs>
        <w:rPr>
          <w:lang w:val="es-UY"/>
        </w:rPr>
      </w:pPr>
    </w:p>
    <w:sectPr w:rsidR="0031402E" w:rsidRPr="004A3C7C" w:rsidSect="00B639C0">
      <w:headerReference w:type="default" r:id="rId7"/>
      <w:footerReference w:type="default" r:id="rId8"/>
      <w:headerReference w:type="first" r:id="rId9"/>
      <w:footerReference w:type="first" r:id="rId10"/>
      <w:pgSz w:w="11907" w:h="16840" w:code="9"/>
      <w:pgMar w:top="709" w:right="1701" w:bottom="1247" w:left="1559" w:header="96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796969" w14:textId="77777777" w:rsidR="00BA6337" w:rsidRDefault="00BA6337" w:rsidP="00BA6337">
      <w:pPr>
        <w:spacing w:after="0" w:line="240" w:lineRule="auto"/>
      </w:pPr>
      <w:r>
        <w:separator/>
      </w:r>
    </w:p>
  </w:endnote>
  <w:endnote w:type="continuationSeparator" w:id="0">
    <w:p w14:paraId="71BE8DDE" w14:textId="77777777" w:rsidR="00BA6337" w:rsidRDefault="00BA6337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814558"/>
      <w:docPartObj>
        <w:docPartGallery w:val="Page Numbers (Bottom of Page)"/>
        <w:docPartUnique/>
      </w:docPartObj>
    </w:sdtPr>
    <w:sdtEndPr/>
    <w:sdtContent>
      <w:p w14:paraId="1A149F85" w14:textId="22F56C1E" w:rsidR="00DD191F" w:rsidRDefault="00DD191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52C" w:rsidRPr="00D5052C">
          <w:rPr>
            <w:noProof/>
            <w:lang w:val="es-ES"/>
          </w:rPr>
          <w:t>2</w:t>
        </w:r>
        <w:r>
          <w:fldChar w:fldCharType="end"/>
        </w:r>
      </w:p>
    </w:sdtContent>
  </w:sdt>
  <w:p w14:paraId="626092F8" w14:textId="4F5732C7" w:rsidR="00195C60" w:rsidRPr="00195C60" w:rsidRDefault="00195C60" w:rsidP="00195C6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62ED1" w14:textId="5F0ECA63" w:rsidR="00044567" w:rsidRPr="00142CA6" w:rsidRDefault="00044567">
    <w:pPr>
      <w:pStyle w:val="Piedepgina"/>
      <w:rPr>
        <w:b/>
      </w:rPr>
    </w:pPr>
    <w:r w:rsidRPr="00142CA6">
      <w:rPr>
        <w:rFonts w:ascii="Arial" w:hAnsi="Arial" w:cs="Arial"/>
        <w:b/>
        <w:bCs/>
        <w:noProof/>
        <w:sz w:val="24"/>
        <w:szCs w:val="24"/>
        <w:lang w:val="es-UY" w:eastAsia="es-UY"/>
      </w:rPr>
      <w:drawing>
        <wp:inline distT="0" distB="0" distL="0" distR="0" wp14:anchorId="55771639" wp14:editId="7F09B9C2">
          <wp:extent cx="1127692" cy="42862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10" cy="43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BF785" w14:textId="77777777" w:rsidR="00BA6337" w:rsidRDefault="00BA6337" w:rsidP="00BA6337">
      <w:pPr>
        <w:spacing w:after="0" w:line="240" w:lineRule="auto"/>
      </w:pPr>
      <w:r>
        <w:separator/>
      </w:r>
    </w:p>
  </w:footnote>
  <w:footnote w:type="continuationSeparator" w:id="0">
    <w:p w14:paraId="1CA37DDE" w14:textId="77777777" w:rsidR="00BA6337" w:rsidRDefault="00BA6337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CD098" w14:textId="11D4B1B8" w:rsidR="00195C60" w:rsidRPr="00BA6337" w:rsidRDefault="00195C60" w:rsidP="00A209FD">
    <w:pPr>
      <w:pStyle w:val="Encabezado"/>
      <w:tabs>
        <w:tab w:val="clear" w:pos="4419"/>
        <w:tab w:val="clear" w:pos="8838"/>
        <w:tab w:val="left" w:pos="4678"/>
      </w:tabs>
    </w:pPr>
    <w:r>
      <w:rPr>
        <w:noProof/>
        <w:lang w:val="es-UY" w:eastAsia="es-UY"/>
      </w:rPr>
      <w:drawing>
        <wp:anchor distT="0" distB="0" distL="114300" distR="114300" simplePos="0" relativeHeight="251662336" behindDoc="1" locked="0" layoutInCell="0" allowOverlap="1" wp14:anchorId="0ACC2CC5" wp14:editId="5588C455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 w:rsidR="00A209FD">
      <w:tab/>
    </w:r>
    <w:r w:rsidR="00A209FD">
      <w:tab/>
    </w:r>
    <w:r>
      <w:t xml:space="preserve">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4BE21" w14:textId="481F89ED" w:rsidR="00A209FD" w:rsidRDefault="00A209FD" w:rsidP="00A209FD">
    <w:pPr>
      <w:pStyle w:val="Encabezado"/>
      <w:tabs>
        <w:tab w:val="clear" w:pos="4419"/>
        <w:tab w:val="left" w:pos="6663"/>
      </w:tabs>
    </w:pPr>
    <w:r>
      <w:rPr>
        <w:noProof/>
        <w:lang w:val="es-UY" w:eastAsia="es-UY"/>
      </w:rPr>
      <w:drawing>
        <wp:inline distT="0" distB="0" distL="0" distR="0" wp14:anchorId="1AF6D540" wp14:editId="0A5FC880">
          <wp:extent cx="1199515" cy="760095"/>
          <wp:effectExtent l="0" t="0" r="635" b="190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s-UY" w:eastAsia="es-UY"/>
      </w:rPr>
      <w:drawing>
        <wp:inline distT="0" distB="0" distL="0" distR="0" wp14:anchorId="7CFB3418" wp14:editId="4C0A653E">
          <wp:extent cx="1199515" cy="760095"/>
          <wp:effectExtent l="0" t="0" r="635" b="190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multilevel"/>
    <w:tmpl w:val="00000010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8C116D7"/>
    <w:multiLevelType w:val="multilevel"/>
    <w:tmpl w:val="D0E0CB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BA866F4"/>
    <w:multiLevelType w:val="hybridMultilevel"/>
    <w:tmpl w:val="DDB27E4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B7BA9"/>
    <w:multiLevelType w:val="hybridMultilevel"/>
    <w:tmpl w:val="98FA3D74"/>
    <w:lvl w:ilvl="0" w:tplc="3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37C08EB"/>
    <w:multiLevelType w:val="multilevel"/>
    <w:tmpl w:val="BDCCAAE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D9D131B"/>
    <w:multiLevelType w:val="hybridMultilevel"/>
    <w:tmpl w:val="EB7ED0DC"/>
    <w:lvl w:ilvl="0" w:tplc="8B2466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831AF"/>
    <w:multiLevelType w:val="multilevel"/>
    <w:tmpl w:val="35D6CE9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44F5B06"/>
    <w:multiLevelType w:val="hybridMultilevel"/>
    <w:tmpl w:val="EB548F62"/>
    <w:lvl w:ilvl="0" w:tplc="2E48F4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94603"/>
    <w:multiLevelType w:val="hybridMultilevel"/>
    <w:tmpl w:val="2C808CA8"/>
    <w:lvl w:ilvl="0" w:tplc="C2DC0C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UY" w:vendorID="64" w:dllVersion="131078" w:nlCheck="1" w:checkStyle="1"/>
  <w:activeWritingStyle w:appName="MSWord" w:lang="es-PY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AR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37"/>
    <w:rsid w:val="00042744"/>
    <w:rsid w:val="00044567"/>
    <w:rsid w:val="00142CA6"/>
    <w:rsid w:val="00154461"/>
    <w:rsid w:val="00195C60"/>
    <w:rsid w:val="001D1B89"/>
    <w:rsid w:val="002166B9"/>
    <w:rsid w:val="002B3654"/>
    <w:rsid w:val="0031402E"/>
    <w:rsid w:val="0035712A"/>
    <w:rsid w:val="003B64DE"/>
    <w:rsid w:val="004A3C7C"/>
    <w:rsid w:val="004B67BB"/>
    <w:rsid w:val="005A709A"/>
    <w:rsid w:val="005B74D0"/>
    <w:rsid w:val="00832A03"/>
    <w:rsid w:val="008D7D5C"/>
    <w:rsid w:val="009F3508"/>
    <w:rsid w:val="009F7F2D"/>
    <w:rsid w:val="00A209FD"/>
    <w:rsid w:val="00AA2876"/>
    <w:rsid w:val="00AE1A72"/>
    <w:rsid w:val="00B639C0"/>
    <w:rsid w:val="00BA2536"/>
    <w:rsid w:val="00BA6337"/>
    <w:rsid w:val="00C77FFB"/>
    <w:rsid w:val="00CD4932"/>
    <w:rsid w:val="00D5052C"/>
    <w:rsid w:val="00D87A03"/>
    <w:rsid w:val="00DD0F9A"/>
    <w:rsid w:val="00DD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,"/>
  <w14:docId w14:val="46D9A9A8"/>
  <w15:chartTrackingRefBased/>
  <w15:docId w15:val="{39F76AB1-FBE7-4658-851D-FEC9E0CD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95C60"/>
    <w:pPr>
      <w:keepNext/>
      <w:tabs>
        <w:tab w:val="left" w:pos="360"/>
      </w:tabs>
      <w:suppressAutoHyphens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lang w:val="es-AR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qFormat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character" w:customStyle="1" w:styleId="Ttulo1Car">
    <w:name w:val="Título 1 Car"/>
    <w:basedOn w:val="Fuentedeprrafopredeter"/>
    <w:link w:val="Ttulo1"/>
    <w:qFormat/>
    <w:rsid w:val="00195C60"/>
    <w:rPr>
      <w:rFonts w:ascii="Arial" w:eastAsia="Times New Roman" w:hAnsi="Arial" w:cs="Times New Roman"/>
      <w:b/>
      <w:sz w:val="24"/>
      <w:szCs w:val="20"/>
      <w:lang w:val="es-AR" w:eastAsia="ar-SA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195C60"/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qFormat/>
    <w:locked/>
    <w:rsid w:val="00195C60"/>
  </w:style>
  <w:style w:type="paragraph" w:styleId="Textoindependiente">
    <w:name w:val="Body Text"/>
    <w:basedOn w:val="Normal"/>
    <w:link w:val="TextoindependienteCar"/>
    <w:unhideWhenUsed/>
    <w:rsid w:val="00195C60"/>
    <w:pPr>
      <w:spacing w:after="12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195C60"/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,Negrito"/>
    <w:basedOn w:val="Normal"/>
    <w:link w:val="PrrafodelistaCar"/>
    <w:uiPriority w:val="34"/>
    <w:qFormat/>
    <w:rsid w:val="00195C60"/>
    <w:pPr>
      <w:spacing w:after="200" w:line="276" w:lineRule="auto"/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195C60"/>
    <w:pPr>
      <w:spacing w:after="200" w:line="276" w:lineRule="auto"/>
      <w:ind w:firstLine="708"/>
      <w:jc w:val="both"/>
    </w:pPr>
    <w:rPr>
      <w:bCs/>
      <w:lang w:val="pt-BR"/>
    </w:rPr>
  </w:style>
  <w:style w:type="character" w:customStyle="1" w:styleId="SangradetextonormalCar">
    <w:name w:val="Sangría de texto normal Car"/>
    <w:basedOn w:val="Fuentedeprrafopredeter"/>
    <w:link w:val="Sangradetextonormal"/>
    <w:rsid w:val="00195C60"/>
    <w:rPr>
      <w:bCs/>
      <w:lang w:val="pt-BR"/>
    </w:rPr>
  </w:style>
  <w:style w:type="paragraph" w:styleId="Textosinformato">
    <w:name w:val="Plain Text"/>
    <w:basedOn w:val="Normal"/>
    <w:link w:val="TextosinformatoCar"/>
    <w:uiPriority w:val="99"/>
    <w:unhideWhenUsed/>
    <w:rsid w:val="00195C60"/>
    <w:pPr>
      <w:spacing w:after="0" w:line="240" w:lineRule="auto"/>
    </w:pPr>
    <w:rPr>
      <w:rFonts w:ascii="Consolas" w:hAnsi="Consolas" w:cs="Consolas"/>
      <w:sz w:val="21"/>
      <w:szCs w:val="21"/>
      <w:lang w:val="es-AR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95C60"/>
    <w:rPr>
      <w:rFonts w:ascii="Consolas" w:hAnsi="Consolas" w:cs="Consolas"/>
      <w:sz w:val="21"/>
      <w:szCs w:val="21"/>
      <w:lang w:val="es-AR"/>
    </w:rPr>
  </w:style>
  <w:style w:type="table" w:styleId="Tablaconcuadrcula">
    <w:name w:val="Table Grid"/>
    <w:basedOn w:val="Tablanormal"/>
    <w:uiPriority w:val="59"/>
    <w:rsid w:val="00195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AR"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95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msonormal">
    <w:name w:val="x_msonormal"/>
    <w:basedOn w:val="Normal"/>
    <w:rsid w:val="00195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Y" w:eastAsia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4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Dighiero, Laura</cp:lastModifiedBy>
  <cp:revision>3</cp:revision>
  <cp:lastPrinted>2020-09-22T18:03:00Z</cp:lastPrinted>
  <dcterms:created xsi:type="dcterms:W3CDTF">2020-09-28T16:04:00Z</dcterms:created>
  <dcterms:modified xsi:type="dcterms:W3CDTF">2020-09-28T16:07:00Z</dcterms:modified>
</cp:coreProperties>
</file>