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337" w:rsidRDefault="00BA6337"/>
    <w:p w:rsidR="00B618D9" w:rsidRPr="00B618D9" w:rsidRDefault="00B618D9" w:rsidP="00B618D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:rsidR="00B618D9" w:rsidRPr="00B618D9" w:rsidRDefault="00B618D9" w:rsidP="00B618D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pt-B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pt-BR"/>
        </w:rPr>
        <w:t>MERCOSUR/SGT N° 8/CV/ACTA N° 03/20</w:t>
      </w:r>
    </w:p>
    <w:p w:rsidR="00B618D9" w:rsidRPr="00B618D9" w:rsidRDefault="00B618D9" w:rsidP="00B618D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:rsidR="00B618D9" w:rsidRPr="00B618D9" w:rsidRDefault="00B618D9" w:rsidP="00B618D9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  <w:lang w:val="pt-BR"/>
        </w:rPr>
      </w:pPr>
    </w:p>
    <w:p w:rsidR="00B618D9" w:rsidRPr="00B618D9" w:rsidRDefault="00B618D9" w:rsidP="00B618D9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REUNIÓN ORDINARIA DE LA COMISIÓN VITIVINÍCOLA </w:t>
      </w:r>
    </w:p>
    <w:p w:rsidR="00B618D9" w:rsidRPr="00B618D9" w:rsidRDefault="00B618D9" w:rsidP="00B618D9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ind w:firstLine="708"/>
        <w:jc w:val="center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Se realizó, el día 5 de agosto de 2020, en ejercicio de la Presidencia </w:t>
      </w:r>
      <w:r w:rsidRPr="00B618D9">
        <w:rPr>
          <w:rFonts w:ascii="Arial" w:eastAsia="Times New Roman" w:hAnsi="Arial" w:cs="Arial"/>
          <w:bCs/>
          <w:i/>
          <w:iCs/>
          <w:sz w:val="24"/>
          <w:szCs w:val="24"/>
          <w:lang w:val="es-ES_tradnl" w:eastAsia="es-ES"/>
        </w:rPr>
        <w:t>Pro Tempore</w:t>
      </w:r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de Uruguay (PPTU), conforme se establece en la Resolución GMC </w:t>
      </w:r>
      <w:proofErr w:type="spellStart"/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Nº</w:t>
      </w:r>
      <w:proofErr w:type="spellEnd"/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19/12 “Reuniones por el Sistema de Videoconferencia”, la Reunión Ordinaria de la Comisión Vitivinícola (CV), dependiente del Subgrupo de Trabajo </w:t>
      </w:r>
      <w:proofErr w:type="spellStart"/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Nº</w:t>
      </w:r>
      <w:proofErr w:type="spellEnd"/>
      <w:r w:rsidRPr="00B618D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 xml:space="preserve"> 8 “Agricultura”, con la presencia de las Delegaciones de Argentina, Brasil, Paraguay y Uruguay. 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618D9" w:rsidRPr="00B618D9" w:rsidRDefault="00B618D9" w:rsidP="00B618D9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La Lista de Participantes consta como </w:t>
      </w: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Anexo I</w:t>
      </w:r>
      <w:r w:rsidRPr="00B618D9">
        <w:rPr>
          <w:rFonts w:ascii="Arial" w:eastAsia="Calibri" w:hAnsi="Arial" w:cs="Arial"/>
          <w:sz w:val="24"/>
          <w:szCs w:val="24"/>
          <w:lang w:val="es-AR"/>
        </w:rPr>
        <w:t>.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ab/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La Agenda consta como </w:t>
      </w: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Anexo II</w:t>
      </w:r>
      <w:r w:rsidRPr="00B618D9">
        <w:rPr>
          <w:rFonts w:ascii="Arial" w:eastAsia="Calibri" w:hAnsi="Arial" w:cs="Arial"/>
          <w:sz w:val="24"/>
          <w:szCs w:val="24"/>
          <w:lang w:val="es-AR"/>
        </w:rPr>
        <w:t>.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Pr="00B618D9">
        <w:rPr>
          <w:rFonts w:ascii="Arial" w:eastAsia="Calibri" w:hAnsi="Arial" w:cs="Arial"/>
          <w:sz w:val="24"/>
          <w:szCs w:val="24"/>
          <w:lang w:val="es-AR"/>
        </w:rPr>
        <w:tab/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Cs/>
          <w:sz w:val="24"/>
          <w:szCs w:val="24"/>
          <w:lang w:val="es-AR"/>
        </w:rPr>
        <w:t>Durante la reunión fueron tratados los siguientes temas: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INSTRUCCIONES DEL SUBGRUPO DE TRABAJO </w:t>
      </w:r>
      <w:proofErr w:type="spellStart"/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Nº</w:t>
      </w:r>
      <w:proofErr w:type="spellEnd"/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 8 (SGT </w:t>
      </w:r>
      <w:proofErr w:type="spellStart"/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Nº</w:t>
      </w:r>
      <w:proofErr w:type="spellEnd"/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 8)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Informe de cumplimiento del Programa de Trabajo 2019-2020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>Las delegaciones comentaron sobre el Informe de Cumplimiento del Programa de Trabajo 2019 – 2020 y acordaron continuar con el tratamiento del tema en la reunión a realizarse en el mes de octubre próximo.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Elaboración del Programa de Trabajo 2021-2022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Teniendo en cuenta que el Informe de Cumplimiento del Programa de Trabajo 2019 – 2020 será tratado en la próxima reunión y que se prevé finalizar la revisión parcial de la Resolución GMC </w:t>
      </w:r>
      <w:proofErr w:type="spellStart"/>
      <w:r w:rsidRPr="00B618D9">
        <w:rPr>
          <w:rFonts w:ascii="Arial" w:eastAsia="Calibri" w:hAnsi="Arial" w:cs="Arial"/>
          <w:sz w:val="24"/>
          <w:szCs w:val="24"/>
          <w:lang w:val="es-AR"/>
        </w:rPr>
        <w:t>N°</w:t>
      </w:r>
      <w:proofErr w:type="spellEnd"/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 45/96 en el transcurso de estos meses, el tema será tratado en la reunión de octubre de 2020.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Las delegaciones acordaron incluir a dicho Programa de Trabajo 2021 – 2022 el tema Jugos de uvas. 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  <w:sectPr w:rsidR="00B618D9" w:rsidSect="00D87A03">
          <w:headerReference w:type="default" r:id="rId7"/>
          <w:footerReference w:type="default" r:id="rId8"/>
          <w:pgSz w:w="12240" w:h="15840"/>
          <w:pgMar w:top="709" w:right="1701" w:bottom="1418" w:left="1560" w:header="964" w:footer="709" w:gutter="0"/>
          <w:cols w:space="708"/>
          <w:docGrid w:linePitch="360"/>
        </w:sect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bookmarkStart w:id="0" w:name="_GoBack"/>
      <w:bookmarkEnd w:id="0"/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REVISIÓN DEL REGLAMENTO TÉCNICO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Borrador de Proyecto de Resolución con las modificaciones acordadas en los distintos capítulos del Reglamento Técnico</w:t>
      </w:r>
    </w:p>
    <w:p w:rsidR="00B618D9" w:rsidRPr="00B618D9" w:rsidRDefault="00B618D9" w:rsidP="00B618D9">
      <w:pPr>
        <w:spacing w:after="0" w:line="240" w:lineRule="auto"/>
        <w:ind w:left="792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Las delegaciones avanzaron en la revisión de la </w:t>
      </w:r>
      <w:bookmarkStart w:id="1" w:name="_Hlk47518735"/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Resolución GMC </w:t>
      </w:r>
      <w:proofErr w:type="spellStart"/>
      <w:r w:rsidRPr="00B618D9">
        <w:rPr>
          <w:rFonts w:ascii="Arial" w:eastAsia="Calibri" w:hAnsi="Arial" w:cs="Arial"/>
          <w:sz w:val="24"/>
          <w:szCs w:val="24"/>
          <w:lang w:val="es-AR"/>
        </w:rPr>
        <w:t>N°</w:t>
      </w:r>
      <w:proofErr w:type="spellEnd"/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 45/96</w:t>
      </w:r>
      <w:bookmarkEnd w:id="1"/>
      <w:r w:rsidRPr="00B618D9">
        <w:rPr>
          <w:rFonts w:ascii="Arial" w:eastAsia="Calibri" w:hAnsi="Arial" w:cs="Arial"/>
          <w:sz w:val="24"/>
          <w:szCs w:val="24"/>
          <w:lang w:val="es-AR"/>
        </w:rPr>
        <w:t>. El proyecto revisado consta como</w:t>
      </w: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 Anexo III - RESERVADO</w:t>
      </w:r>
      <w:r w:rsidRPr="00B618D9">
        <w:rPr>
          <w:rFonts w:ascii="Arial" w:eastAsia="Calibri" w:hAnsi="Arial" w:cs="Arial"/>
          <w:sz w:val="24"/>
          <w:szCs w:val="24"/>
          <w:lang w:val="es-AR"/>
        </w:rPr>
        <w:t>.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>Avances del Grupo de Trabajo Electrónico sobre el Capítulo V - 5.2 -Límites admitidos</w:t>
      </w:r>
    </w:p>
    <w:p w:rsidR="00B618D9" w:rsidRPr="00B618D9" w:rsidRDefault="00B618D9" w:rsidP="00B618D9">
      <w:pPr>
        <w:spacing w:after="0" w:line="240" w:lineRule="auto"/>
        <w:ind w:left="708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Las delegaciones solicitaron al grupo de trabajo que avancen sobre la tabla de limites admitidos junto a los parámetros analíticos y las unidades de medida y la presenten antes de la reunión de octubre próximo. Una vez consensuada la tabla será incluida al proyecto de revisión de la Resolución GMC </w:t>
      </w:r>
      <w:proofErr w:type="spellStart"/>
      <w:r w:rsidRPr="00B618D9">
        <w:rPr>
          <w:rFonts w:ascii="Arial" w:eastAsia="Calibri" w:hAnsi="Arial" w:cs="Arial"/>
          <w:sz w:val="24"/>
          <w:szCs w:val="24"/>
          <w:lang w:val="es-AR"/>
        </w:rPr>
        <w:t>N°</w:t>
      </w:r>
      <w:proofErr w:type="spellEnd"/>
      <w:r w:rsidRPr="00B618D9">
        <w:rPr>
          <w:rFonts w:ascii="Arial" w:eastAsia="Calibri" w:hAnsi="Arial" w:cs="Arial"/>
          <w:sz w:val="24"/>
          <w:szCs w:val="24"/>
          <w:lang w:val="es-AR"/>
        </w:rPr>
        <w:t xml:space="preserve"> 45/96.</w:t>
      </w:r>
    </w:p>
    <w:p w:rsidR="00B618D9" w:rsidRPr="00B618D9" w:rsidRDefault="00B618D9" w:rsidP="00B618D9">
      <w:pPr>
        <w:spacing w:after="0" w:line="240" w:lineRule="auto"/>
        <w:ind w:left="708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Avanzar en la revisión del Capítulo de Etiquetado. </w:t>
      </w:r>
    </w:p>
    <w:p w:rsidR="00B618D9" w:rsidRPr="00B618D9" w:rsidRDefault="00B618D9" w:rsidP="00B618D9">
      <w:pPr>
        <w:spacing w:after="0" w:line="240" w:lineRule="auto"/>
        <w:ind w:left="792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B618D9">
        <w:rPr>
          <w:rFonts w:ascii="Arial" w:eastAsia="Calibri" w:hAnsi="Arial" w:cs="Arial"/>
          <w:sz w:val="24"/>
          <w:szCs w:val="24"/>
          <w:lang w:val="es-AR"/>
        </w:rPr>
        <w:t>El tema será tratado en la próxima reunión.</w:t>
      </w:r>
    </w:p>
    <w:p w:rsidR="00B618D9" w:rsidRPr="00B618D9" w:rsidRDefault="00B618D9" w:rsidP="00B618D9">
      <w:pPr>
        <w:spacing w:after="0" w:line="240" w:lineRule="auto"/>
        <w:ind w:left="792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/>
          <w:bCs/>
          <w:sz w:val="24"/>
          <w:szCs w:val="24"/>
          <w:lang w:val="es-AR"/>
        </w:rPr>
        <w:t xml:space="preserve"> Avances del Grupo de Trabajo Electrónico sobre el Capítulo III – Prácticas Enológicas Permitidas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val="es-AR"/>
        </w:rPr>
      </w:pPr>
      <w:r w:rsidRPr="00B618D9">
        <w:rPr>
          <w:rFonts w:ascii="Arial" w:eastAsia="Calibri" w:hAnsi="Arial" w:cs="Arial"/>
          <w:bCs/>
          <w:sz w:val="24"/>
          <w:szCs w:val="24"/>
          <w:lang w:val="es-AR"/>
        </w:rPr>
        <w:t>Las delegaciones solicitan al grupo de trabajo que avancen en el tratamiento del tema.</w:t>
      </w: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val="es-AR"/>
        </w:rPr>
      </w:pPr>
    </w:p>
    <w:p w:rsidR="00B618D9" w:rsidRPr="00B618D9" w:rsidRDefault="00B618D9" w:rsidP="00B618D9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0"/>
          <w:lang w:val="es-UY" w:eastAsia="es-ES"/>
        </w:rPr>
      </w:pPr>
      <w:r w:rsidRPr="00B618D9">
        <w:rPr>
          <w:rFonts w:ascii="Arial" w:eastAsia="Times New Roman" w:hAnsi="Arial" w:cs="Arial"/>
          <w:b/>
          <w:sz w:val="24"/>
          <w:szCs w:val="20"/>
          <w:lang w:val="es-UY" w:eastAsia="es-ES"/>
        </w:rPr>
        <w:t>PRÓXIMA REUNIÓN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UY" w:eastAsia="es-ES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UY" w:eastAsia="es-ES"/>
        </w:rPr>
      </w:pPr>
      <w:r w:rsidRPr="00B618D9">
        <w:rPr>
          <w:rFonts w:ascii="Arial" w:eastAsia="Times New Roman" w:hAnsi="Arial" w:cs="Arial"/>
          <w:sz w:val="24"/>
          <w:szCs w:val="24"/>
          <w:lang w:val="es-UY" w:eastAsia="es-ES"/>
        </w:rPr>
        <w:t xml:space="preserve">La próxima reunión de la Comisión Vitivinícola se realizará </w:t>
      </w:r>
      <w:proofErr w:type="gramStart"/>
      <w:r w:rsidRPr="00B618D9">
        <w:rPr>
          <w:rFonts w:ascii="Arial" w:eastAsia="Times New Roman" w:hAnsi="Arial" w:cs="Arial"/>
          <w:sz w:val="24"/>
          <w:szCs w:val="24"/>
          <w:lang w:val="es-UY" w:eastAsia="es-ES"/>
        </w:rPr>
        <w:t>día martes</w:t>
      </w:r>
      <w:proofErr w:type="gramEnd"/>
      <w:r w:rsidRPr="00B618D9">
        <w:rPr>
          <w:rFonts w:ascii="Arial" w:eastAsia="Times New Roman" w:hAnsi="Arial" w:cs="Arial"/>
          <w:sz w:val="24"/>
          <w:szCs w:val="24"/>
          <w:lang w:val="es-UY" w:eastAsia="es-ES"/>
        </w:rPr>
        <w:t xml:space="preserve"> 6 de octubre de 2020.</w:t>
      </w:r>
    </w:p>
    <w:p w:rsidR="00B618D9" w:rsidRPr="00B618D9" w:rsidRDefault="00B618D9" w:rsidP="00B618D9">
      <w:pPr>
        <w:widowControl w:val="0"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UY" w:eastAsia="es-ES"/>
        </w:rPr>
      </w:pPr>
    </w:p>
    <w:p w:rsidR="00B618D9" w:rsidRPr="00B618D9" w:rsidRDefault="00B618D9" w:rsidP="00B618D9">
      <w:pPr>
        <w:widowControl w:val="0"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UY" w:eastAsia="es-ES"/>
        </w:rPr>
      </w:pPr>
    </w:p>
    <w:p w:rsidR="00B618D9" w:rsidRPr="00B618D9" w:rsidRDefault="00B618D9" w:rsidP="00B618D9">
      <w:pPr>
        <w:widowControl w:val="0"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UY" w:eastAsia="es-ES"/>
        </w:rPr>
      </w:pPr>
      <w:r w:rsidRPr="00B618D9">
        <w:rPr>
          <w:rFonts w:ascii="Arial" w:eastAsia="Times New Roman" w:hAnsi="Arial" w:cs="Arial"/>
          <w:b/>
          <w:snapToGrid w:val="0"/>
          <w:sz w:val="24"/>
          <w:szCs w:val="24"/>
          <w:lang w:val="es-UY" w:eastAsia="es-ES"/>
        </w:rPr>
        <w:t>ANEXOS:</w:t>
      </w:r>
    </w:p>
    <w:p w:rsidR="00B618D9" w:rsidRPr="00B618D9" w:rsidRDefault="00B618D9" w:rsidP="00B618D9">
      <w:pPr>
        <w:widowControl w:val="0"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UY" w:eastAsia="es-ES"/>
        </w:rPr>
      </w:pPr>
    </w:p>
    <w:p w:rsidR="00B618D9" w:rsidRPr="00B618D9" w:rsidRDefault="00B618D9" w:rsidP="00B618D9">
      <w:pPr>
        <w:widowControl w:val="0"/>
        <w:tabs>
          <w:tab w:val="center" w:pos="4252"/>
          <w:tab w:val="right" w:pos="8504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s-UY" w:eastAsia="es-ES"/>
        </w:rPr>
      </w:pPr>
      <w:r w:rsidRPr="00B618D9">
        <w:rPr>
          <w:rFonts w:ascii="Arial" w:eastAsia="Times New Roman" w:hAnsi="Arial" w:cs="Arial"/>
          <w:snapToGrid w:val="0"/>
          <w:sz w:val="24"/>
          <w:szCs w:val="24"/>
          <w:lang w:val="es-UY" w:eastAsia="es-ES"/>
        </w:rPr>
        <w:t>Los Anexos que hacen parte de la presente acta son los siguientes:</w:t>
      </w: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s-UY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2"/>
        <w:gridCol w:w="6982"/>
      </w:tblGrid>
      <w:tr w:rsidR="00B618D9" w:rsidRPr="00B618D9" w:rsidTr="00B618D9">
        <w:trPr>
          <w:trHeight w:val="350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  <w:t>Lista de Participantes</w:t>
            </w:r>
          </w:p>
        </w:tc>
      </w:tr>
      <w:tr w:rsidR="00B618D9" w:rsidRPr="00B618D9" w:rsidTr="00B618D9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t>Anexo II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  <w:t>Agenda</w:t>
            </w:r>
          </w:p>
        </w:tc>
      </w:tr>
    </w:tbl>
    <w:p w:rsidR="00B618D9" w:rsidRPr="00B618D9" w:rsidRDefault="00B618D9" w:rsidP="00B618D9">
      <w:pPr>
        <w:spacing w:after="200" w:line="276" w:lineRule="auto"/>
        <w:rPr>
          <w:rFonts w:ascii="Calibri" w:eastAsia="Calibri" w:hAnsi="Calibri" w:cs="Calibri"/>
          <w:lang w:val="es-VE"/>
        </w:rPr>
      </w:pPr>
      <w:r w:rsidRPr="00B618D9">
        <w:rPr>
          <w:rFonts w:ascii="Calibri" w:eastAsia="Calibri" w:hAnsi="Calibri" w:cs="Calibri"/>
          <w:lang w:val="es-V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2"/>
        <w:gridCol w:w="6982"/>
      </w:tblGrid>
      <w:tr w:rsidR="00B618D9" w:rsidRPr="00B618D9" w:rsidTr="00B618D9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Y" w:eastAsia="es-ES"/>
              </w:rPr>
              <w:lastRenderedPageBreak/>
              <w:t>Anexo III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8D9" w:rsidRPr="00B618D9" w:rsidRDefault="00B618D9" w:rsidP="00B618D9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UY" w:eastAsia="es-ES"/>
              </w:rPr>
            </w:pPr>
            <w:r w:rsidRPr="00B618D9">
              <w:rPr>
                <w:rFonts w:ascii="Arial" w:eastAsia="Times New Roman" w:hAnsi="Arial" w:cs="Arial"/>
                <w:b/>
                <w:sz w:val="24"/>
                <w:szCs w:val="24"/>
                <w:lang w:val="es-UY" w:eastAsia="es-ES"/>
              </w:rPr>
              <w:t xml:space="preserve">RESERVADO - </w:t>
            </w:r>
            <w:r w:rsidRPr="00B618D9">
              <w:rPr>
                <w:rFonts w:ascii="Arial" w:eastAsia="Calibri" w:hAnsi="Arial" w:cs="Arial"/>
                <w:bCs/>
                <w:sz w:val="24"/>
                <w:szCs w:val="24"/>
                <w:lang w:val="es-UY" w:eastAsia="es-ES"/>
              </w:rPr>
              <w:t>R</w:t>
            </w:r>
            <w:proofErr w:type="spellStart"/>
            <w:r w:rsidRPr="00B618D9">
              <w:rPr>
                <w:rFonts w:ascii="Arial" w:eastAsia="Calibri" w:hAnsi="Arial" w:cs="Arial"/>
                <w:sz w:val="24"/>
                <w:szCs w:val="24"/>
                <w:lang w:val="es-AR"/>
              </w:rPr>
              <w:t>evisión</w:t>
            </w:r>
            <w:proofErr w:type="spellEnd"/>
            <w:r w:rsidRPr="00B618D9">
              <w:rPr>
                <w:rFonts w:ascii="Arial" w:eastAsia="Calibri" w:hAnsi="Arial" w:cs="Arial"/>
                <w:sz w:val="24"/>
                <w:szCs w:val="24"/>
                <w:lang w:val="es-AR"/>
              </w:rPr>
              <w:t xml:space="preserve"> de la Resolución GMC </w:t>
            </w:r>
            <w:proofErr w:type="spellStart"/>
            <w:r w:rsidRPr="00B618D9">
              <w:rPr>
                <w:rFonts w:ascii="Arial" w:eastAsia="Calibri" w:hAnsi="Arial" w:cs="Arial"/>
                <w:sz w:val="24"/>
                <w:szCs w:val="24"/>
                <w:lang w:val="es-AR"/>
              </w:rPr>
              <w:t>N°</w:t>
            </w:r>
            <w:proofErr w:type="spellEnd"/>
            <w:r w:rsidRPr="00B618D9">
              <w:rPr>
                <w:rFonts w:ascii="Arial" w:eastAsia="Calibri" w:hAnsi="Arial" w:cs="Arial"/>
                <w:sz w:val="24"/>
                <w:szCs w:val="24"/>
                <w:lang w:val="es-AR"/>
              </w:rPr>
              <w:t xml:space="preserve"> 45/96</w:t>
            </w:r>
          </w:p>
        </w:tc>
      </w:tr>
    </w:tbl>
    <w:p w:rsidR="00B618D9" w:rsidRPr="00B618D9" w:rsidRDefault="00B618D9" w:rsidP="00B618D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UY" w:eastAsia="es-ES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UY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VE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VE"/>
        </w:rPr>
      </w:pPr>
    </w:p>
    <w:p w:rsidR="00B618D9" w:rsidRPr="00B618D9" w:rsidRDefault="00B618D9" w:rsidP="00B618D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VE"/>
        </w:rPr>
      </w:pPr>
    </w:p>
    <w:tbl>
      <w:tblPr>
        <w:tblW w:w="9315" w:type="dxa"/>
        <w:tblInd w:w="-28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270"/>
        <w:gridCol w:w="360"/>
        <w:gridCol w:w="4685"/>
      </w:tblGrid>
      <w:tr w:rsidR="00B618D9" w:rsidRPr="00B618D9" w:rsidTr="00B618D9">
        <w:trPr>
          <w:cantSplit/>
          <w:trHeight w:val="1913"/>
        </w:trPr>
        <w:tc>
          <w:tcPr>
            <w:tcW w:w="427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  <w:t>______________________________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  <w:t>Por la Delegación de Argentina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  <w:t>Claudia Quini</w:t>
            </w:r>
          </w:p>
        </w:tc>
        <w:tc>
          <w:tcPr>
            <w:tcW w:w="360" w:type="dxa"/>
            <w:shd w:val="clear" w:color="auto" w:fill="FFFFFF"/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</w:tc>
        <w:tc>
          <w:tcPr>
            <w:tcW w:w="468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  <w:t>______________________________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  <w:t>Por la Delegación de Brasil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bCs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Cs/>
                <w:color w:val="000000"/>
                <w:sz w:val="24"/>
                <w:szCs w:val="24"/>
                <w:lang w:val="es-AR" w:eastAsia="pt-BR"/>
              </w:rPr>
              <w:t>Carlos Vitor Müller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</w:p>
        </w:tc>
      </w:tr>
      <w:tr w:rsidR="00B618D9" w:rsidRPr="00B618D9" w:rsidTr="00B618D9">
        <w:trPr>
          <w:cantSplit/>
          <w:trHeight w:val="1980"/>
        </w:trPr>
        <w:tc>
          <w:tcPr>
            <w:tcW w:w="427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  <w:t>_______________________________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b/>
                <w:bCs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/>
                <w:bCs/>
                <w:color w:val="000000"/>
                <w:sz w:val="24"/>
                <w:szCs w:val="24"/>
                <w:lang w:val="es-AR" w:eastAsia="pt-BR"/>
              </w:rPr>
              <w:t>Por la Delegación de Paraguay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color w:val="000000"/>
                <w:sz w:val="24"/>
                <w:szCs w:val="24"/>
                <w:lang w:val="es-AR" w:eastAsia="pt-BR"/>
              </w:rPr>
              <w:t>Francisco Burgos</w:t>
            </w:r>
          </w:p>
        </w:tc>
        <w:tc>
          <w:tcPr>
            <w:tcW w:w="360" w:type="dxa"/>
            <w:shd w:val="clear" w:color="auto" w:fill="FFFFFF"/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</w:p>
        </w:tc>
        <w:tc>
          <w:tcPr>
            <w:tcW w:w="468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40" w:lineRule="auto"/>
              <w:jc w:val="center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  <w:t>_______________________________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40" w:lineRule="auto"/>
              <w:jc w:val="center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  <w:t>Por la Delegación de Uruguay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jc w:val="center"/>
              <w:rPr>
                <w:rFonts w:ascii="Arial" w:eastAsia="ヒラギノ角ゴ Pro W3" w:hAnsi="Arial" w:cs="Arial"/>
                <w:bCs/>
                <w:color w:val="000000"/>
                <w:sz w:val="24"/>
                <w:szCs w:val="24"/>
                <w:lang w:val="es-AR" w:eastAsia="pt-BR"/>
              </w:rPr>
            </w:pPr>
            <w:r w:rsidRPr="00B618D9">
              <w:rPr>
                <w:rFonts w:ascii="Arial" w:eastAsia="ヒラギノ角ゴ Pro W3" w:hAnsi="Arial" w:cs="Arial"/>
                <w:bCs/>
                <w:color w:val="000000"/>
                <w:sz w:val="24"/>
                <w:szCs w:val="24"/>
                <w:lang w:val="es-AR" w:eastAsia="pt-BR"/>
              </w:rPr>
              <w:t>Ricardo Cabrera</w:t>
            </w:r>
          </w:p>
          <w:p w:rsidR="00B618D9" w:rsidRPr="00B618D9" w:rsidRDefault="00B618D9" w:rsidP="00B618D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-15268"/>
                <w:tab w:val="left" w:pos="-14560"/>
                <w:tab w:val="left" w:pos="-13852"/>
                <w:tab w:val="left" w:pos="-13144"/>
                <w:tab w:val="left" w:pos="-12436"/>
                <w:tab w:val="left" w:pos="-11728"/>
                <w:tab w:val="center" w:pos="4419"/>
                <w:tab w:val="right" w:pos="8838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</w:tabs>
              <w:spacing w:after="0" w:line="256" w:lineRule="auto"/>
              <w:rPr>
                <w:rFonts w:ascii="Arial" w:eastAsia="ヒラギノ角ゴ Pro W3" w:hAnsi="Arial" w:cs="Arial"/>
                <w:b/>
                <w:color w:val="000000"/>
                <w:sz w:val="24"/>
                <w:szCs w:val="24"/>
                <w:lang w:val="es-AR" w:eastAsia="pt-BR"/>
              </w:rPr>
            </w:pPr>
          </w:p>
        </w:tc>
      </w:tr>
    </w:tbl>
    <w:p w:rsidR="00B618D9" w:rsidRPr="00B618D9" w:rsidRDefault="00B618D9" w:rsidP="00B618D9">
      <w:pPr>
        <w:spacing w:after="0" w:line="240" w:lineRule="auto"/>
        <w:rPr>
          <w:rFonts w:ascii="Calibri" w:eastAsia="Calibri" w:hAnsi="Calibri" w:cs="Calibri"/>
          <w:lang w:val="es-AR"/>
        </w:rPr>
      </w:pPr>
    </w:p>
    <w:p w:rsidR="00BA6337" w:rsidRPr="00B618D9" w:rsidRDefault="00BA6337" w:rsidP="00BA6337">
      <w:pPr>
        <w:rPr>
          <w:lang w:val="es-AR"/>
        </w:rPr>
      </w:pP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tabs>
          <w:tab w:val="left" w:pos="5872"/>
        </w:tabs>
        <w:rPr>
          <w:lang w:val="es-UY"/>
        </w:rPr>
      </w:pPr>
      <w:r w:rsidRPr="00B618D9">
        <w:rPr>
          <w:lang w:val="es-UY"/>
        </w:rPr>
        <w:tab/>
      </w: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rPr>
          <w:lang w:val="es-UY"/>
        </w:rPr>
      </w:pPr>
    </w:p>
    <w:p w:rsidR="00BA6337" w:rsidRPr="00B618D9" w:rsidRDefault="00BA6337" w:rsidP="00BA6337">
      <w:pPr>
        <w:tabs>
          <w:tab w:val="left" w:pos="3722"/>
        </w:tabs>
        <w:rPr>
          <w:lang w:val="es-UY"/>
        </w:rPr>
      </w:pPr>
      <w:r w:rsidRPr="00B618D9">
        <w:rPr>
          <w:lang w:val="es-UY"/>
        </w:rPr>
        <w:tab/>
      </w:r>
    </w:p>
    <w:p w:rsidR="00BA6337" w:rsidRPr="00B618D9" w:rsidRDefault="00BA6337" w:rsidP="00BA6337">
      <w:pPr>
        <w:rPr>
          <w:lang w:val="es-UY"/>
        </w:rPr>
      </w:pPr>
    </w:p>
    <w:p w:rsidR="00DD0F9A" w:rsidRPr="00B618D9" w:rsidRDefault="00BA6337" w:rsidP="00BA6337">
      <w:pPr>
        <w:tabs>
          <w:tab w:val="left" w:pos="3179"/>
        </w:tabs>
        <w:rPr>
          <w:lang w:val="es-UY"/>
        </w:rPr>
      </w:pPr>
      <w:r w:rsidRPr="00B618D9">
        <w:rPr>
          <w:lang w:val="es-UY"/>
        </w:rPr>
        <w:tab/>
      </w:r>
    </w:p>
    <w:sectPr w:rsidR="00DD0F9A" w:rsidRPr="00B618D9" w:rsidSect="00D87A03">
      <w:headerReference w:type="default" r:id="rId9"/>
      <w:footerReference w:type="default" r:id="rId10"/>
      <w:pgSz w:w="12240" w:h="15840"/>
      <w:pgMar w:top="709" w:right="1701" w:bottom="1418" w:left="1560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337" w:rsidRDefault="00BA6337" w:rsidP="00BA6337">
      <w:pPr>
        <w:spacing w:after="0" w:line="240" w:lineRule="auto"/>
      </w:pPr>
      <w:r>
        <w:separator/>
      </w:r>
    </w:p>
  </w:endnote>
  <w:endnote w:type="continuationSeparator" w:id="0">
    <w:p w:rsidR="00BA6337" w:rsidRDefault="00BA6337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337" w:rsidRPr="00BA6337" w:rsidRDefault="00BA6337" w:rsidP="00BA633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:rsidR="00BA6337" w:rsidRPr="00BA6337" w:rsidRDefault="00BA6337" w:rsidP="00BA6337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</w:t>
    </w:r>
    <w:proofErr w:type="spellStart"/>
    <w:r w:rsidRPr="00BA6337">
      <w:rPr>
        <w:rFonts w:ascii="Arial" w:hAnsi="Arial" w:cs="Arial"/>
        <w:b/>
        <w:sz w:val="16"/>
        <w:lang w:val="es-UY"/>
      </w:rPr>
      <w:t>Arhivo</w:t>
    </w:r>
    <w:proofErr w:type="spellEnd"/>
    <w:r w:rsidRPr="00BA6337">
      <w:rPr>
        <w:rFonts w:ascii="Arial" w:hAnsi="Arial" w:cs="Arial"/>
        <w:b/>
        <w:sz w:val="16"/>
        <w:lang w:val="es-UY"/>
      </w:rPr>
      <w:t xml:space="preserve"> Oficial</w:t>
    </w:r>
  </w:p>
  <w:p w:rsidR="00BA6337" w:rsidRPr="00BA6337" w:rsidRDefault="00BA6337" w:rsidP="00BA6337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6840838"/>
      <w:docPartObj>
        <w:docPartGallery w:val="Page Numbers (Bottom of Page)"/>
        <w:docPartUnique/>
      </w:docPartObj>
    </w:sdtPr>
    <w:sdtContent>
      <w:p w:rsidR="00B618D9" w:rsidRDefault="00B618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B618D9" w:rsidRPr="00B618D9" w:rsidRDefault="00B618D9" w:rsidP="00B618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337" w:rsidRDefault="00BA6337" w:rsidP="00BA6337">
      <w:pPr>
        <w:spacing w:after="0" w:line="240" w:lineRule="auto"/>
      </w:pPr>
      <w:r>
        <w:separator/>
      </w:r>
    </w:p>
  </w:footnote>
  <w:footnote w:type="continuationSeparator" w:id="0">
    <w:p w:rsidR="00BA6337" w:rsidRDefault="00BA6337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337" w:rsidRPr="00BA6337" w:rsidRDefault="00D87A03" w:rsidP="00BA6337">
    <w:pPr>
      <w:pStyle w:val="Encabezado"/>
      <w:tabs>
        <w:tab w:val="clear" w:pos="4419"/>
        <w:tab w:val="clear" w:pos="8838"/>
        <w:tab w:val="left" w:pos="7705"/>
      </w:tabs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margin">
            <wp:posOffset>4543200</wp:posOffset>
          </wp:positionH>
          <wp:positionV relativeFrom="margin">
            <wp:posOffset>-751135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337">
      <w:rPr>
        <w:noProof/>
      </w:rPr>
      <w:drawing>
        <wp:anchor distT="0" distB="0" distL="114300" distR="114300" simplePos="0" relativeHeight="251659264" behindDoc="1" locked="0" layoutInCell="0" allowOverlap="1" wp14:anchorId="0DBF94DD" wp14:editId="09BE9431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337">
      <w:rPr>
        <w:noProof/>
      </w:rPr>
      <w:drawing>
        <wp:inline distT="0" distB="0" distL="0" distR="0" wp14:anchorId="120F25F7" wp14:editId="6A303B9C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6337">
      <w:t xml:space="preserve">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8D9" w:rsidRPr="00BA6337" w:rsidRDefault="00B618D9" w:rsidP="00BA6337">
    <w:pPr>
      <w:pStyle w:val="Encabezado"/>
      <w:tabs>
        <w:tab w:val="clear" w:pos="4419"/>
        <w:tab w:val="clear" w:pos="8838"/>
        <w:tab w:val="left" w:pos="7705"/>
      </w:tabs>
    </w:pPr>
    <w:r>
      <w:rPr>
        <w:noProof/>
      </w:rPr>
      <w:drawing>
        <wp:anchor distT="0" distB="0" distL="114300" distR="114300" simplePos="0" relativeHeight="251662336" behindDoc="1" locked="0" layoutInCell="0" allowOverlap="1" wp14:anchorId="7A9BEE58" wp14:editId="4B13A92B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13A44"/>
    <w:multiLevelType w:val="multilevel"/>
    <w:tmpl w:val="3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37"/>
    <w:rsid w:val="002166B9"/>
    <w:rsid w:val="00B618D9"/>
    <w:rsid w:val="00BA6337"/>
    <w:rsid w:val="00D87A03"/>
    <w:rsid w:val="00DD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chartTrackingRefBased/>
  <w15:docId w15:val="{39F76AB1-FBE7-4658-851D-FEC9E0CD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Irene Kutscher</cp:lastModifiedBy>
  <cp:revision>2</cp:revision>
  <dcterms:created xsi:type="dcterms:W3CDTF">2020-08-05T15:13:00Z</dcterms:created>
  <dcterms:modified xsi:type="dcterms:W3CDTF">2020-08-05T15:13:00Z</dcterms:modified>
</cp:coreProperties>
</file>