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C73D7" w14:textId="77777777" w:rsidR="00FD4160" w:rsidRDefault="00FD4160">
      <w:pPr>
        <w:jc w:val="both"/>
        <w:rPr>
          <w:rFonts w:ascii="Arial" w:eastAsia="Arial" w:hAnsi="Arial" w:cs="Arial"/>
        </w:rPr>
      </w:pPr>
    </w:p>
    <w:p w14:paraId="5404CB28" w14:textId="77777777" w:rsidR="00FD4160" w:rsidRDefault="00FD4160">
      <w:pPr>
        <w:jc w:val="both"/>
        <w:rPr>
          <w:rFonts w:ascii="Arial" w:eastAsia="Arial" w:hAnsi="Arial" w:cs="Arial"/>
        </w:rPr>
      </w:pPr>
    </w:p>
    <w:p w14:paraId="56F2A561" w14:textId="77777777" w:rsidR="00FD4160" w:rsidRDefault="007165C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MERCOSUR/GRELEX/ACTA Nº 02/20</w:t>
      </w:r>
    </w:p>
    <w:p w14:paraId="35BF7100" w14:textId="77777777" w:rsidR="00FD4160" w:rsidRDefault="00FD4160">
      <w:pPr>
        <w:jc w:val="both"/>
        <w:rPr>
          <w:rFonts w:ascii="Arial" w:eastAsia="Arial" w:hAnsi="Arial" w:cs="Arial"/>
        </w:rPr>
      </w:pPr>
    </w:p>
    <w:p w14:paraId="0C5EE305" w14:textId="77777777" w:rsidR="00FD4160" w:rsidRDefault="007165CA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XVI REUNIÓN DEL GRUPO DE RELACIONAMIENTO EXTERNO</w:t>
      </w:r>
    </w:p>
    <w:p w14:paraId="2F37FE60" w14:textId="77777777" w:rsidR="00FD4160" w:rsidRDefault="00FD4160">
      <w:pPr>
        <w:ind w:firstLine="708"/>
        <w:jc w:val="both"/>
        <w:rPr>
          <w:rFonts w:ascii="Arial" w:eastAsia="Arial" w:hAnsi="Arial" w:cs="Arial"/>
        </w:rPr>
      </w:pPr>
    </w:p>
    <w:p w14:paraId="12266E43" w14:textId="77777777" w:rsidR="00FD4160" w:rsidRDefault="007165C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 realizó por sistema de videoconferencia, el día 27 de julio de 2020, bajo la Presidencia </w:t>
      </w:r>
      <w:r>
        <w:rPr>
          <w:rFonts w:ascii="Arial" w:eastAsia="Arial" w:hAnsi="Arial" w:cs="Arial"/>
          <w:i/>
        </w:rPr>
        <w:t>Pro Tempore</w:t>
      </w:r>
      <w:r>
        <w:rPr>
          <w:rFonts w:ascii="Arial" w:eastAsia="Arial" w:hAnsi="Arial" w:cs="Arial"/>
        </w:rPr>
        <w:t xml:space="preserve"> de Uruguay, la XVI Reunión Ordinaria del Grupo de Relacionamiento Externo, con la participación de las Delegaciones de Argentina, Brasil, Paraguay y Uruguay. </w:t>
      </w:r>
    </w:p>
    <w:p w14:paraId="6760BB75" w14:textId="77777777" w:rsidR="00FD4160" w:rsidRDefault="00FD4160">
      <w:pPr>
        <w:jc w:val="both"/>
        <w:rPr>
          <w:rFonts w:ascii="Arial" w:eastAsia="Arial" w:hAnsi="Arial" w:cs="Arial"/>
        </w:rPr>
      </w:pPr>
    </w:p>
    <w:p w14:paraId="05045D69" w14:textId="77777777" w:rsidR="00FD4160" w:rsidRDefault="007165CA">
      <w:pPr>
        <w:widowControl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 Lista de Participantes consta en el </w:t>
      </w:r>
      <w:r>
        <w:rPr>
          <w:rFonts w:ascii="Arial" w:eastAsia="Arial" w:hAnsi="Arial" w:cs="Arial"/>
          <w:b/>
        </w:rPr>
        <w:t>Anexo I</w:t>
      </w:r>
      <w:r>
        <w:rPr>
          <w:rFonts w:ascii="Arial" w:eastAsia="Arial" w:hAnsi="Arial" w:cs="Arial"/>
        </w:rPr>
        <w:t xml:space="preserve">. </w:t>
      </w:r>
    </w:p>
    <w:p w14:paraId="138039D2" w14:textId="77777777" w:rsidR="00FD4160" w:rsidRDefault="00FD4160">
      <w:pPr>
        <w:widowControl w:val="0"/>
        <w:jc w:val="both"/>
        <w:rPr>
          <w:rFonts w:ascii="Arial" w:eastAsia="Arial" w:hAnsi="Arial" w:cs="Arial"/>
        </w:rPr>
      </w:pPr>
    </w:p>
    <w:p w14:paraId="3936FB5D" w14:textId="77777777" w:rsidR="00FD4160" w:rsidRDefault="007165CA">
      <w:pPr>
        <w:widowControl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 Agenda consta en el </w:t>
      </w:r>
      <w:r>
        <w:rPr>
          <w:rFonts w:ascii="Arial" w:eastAsia="Arial" w:hAnsi="Arial" w:cs="Arial"/>
          <w:b/>
        </w:rPr>
        <w:t>Anexo II</w:t>
      </w:r>
      <w:r>
        <w:rPr>
          <w:rFonts w:ascii="Arial" w:eastAsia="Arial" w:hAnsi="Arial" w:cs="Arial"/>
        </w:rPr>
        <w:t>.</w:t>
      </w:r>
    </w:p>
    <w:p w14:paraId="0D5602F8" w14:textId="77777777" w:rsidR="00FD4160" w:rsidRDefault="00FD4160">
      <w:pPr>
        <w:widowControl w:val="0"/>
        <w:jc w:val="both"/>
        <w:rPr>
          <w:rFonts w:ascii="Arial" w:eastAsia="Arial" w:hAnsi="Arial" w:cs="Arial"/>
        </w:rPr>
      </w:pPr>
    </w:p>
    <w:p w14:paraId="37BC91F3" w14:textId="77777777" w:rsidR="00FD4160" w:rsidRDefault="007165CA">
      <w:pPr>
        <w:widowControl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Resumen del Acta consta en el </w:t>
      </w:r>
      <w:r>
        <w:rPr>
          <w:rFonts w:ascii="Arial" w:eastAsia="Arial" w:hAnsi="Arial" w:cs="Arial"/>
          <w:b/>
        </w:rPr>
        <w:t>Anexo III</w:t>
      </w:r>
      <w:r>
        <w:rPr>
          <w:rFonts w:ascii="Arial" w:eastAsia="Arial" w:hAnsi="Arial" w:cs="Arial"/>
        </w:rPr>
        <w:t>.</w:t>
      </w:r>
    </w:p>
    <w:p w14:paraId="5837F769" w14:textId="77777777" w:rsidR="00FD4160" w:rsidRDefault="00FD4160">
      <w:pPr>
        <w:widowControl w:val="0"/>
        <w:jc w:val="both"/>
        <w:rPr>
          <w:rFonts w:ascii="Arial" w:eastAsia="Arial" w:hAnsi="Arial" w:cs="Arial"/>
        </w:rPr>
      </w:pPr>
    </w:p>
    <w:p w14:paraId="761B52B4" w14:textId="77777777" w:rsidR="00FD4160" w:rsidRDefault="00FD4160">
      <w:pPr>
        <w:widowControl w:val="0"/>
        <w:jc w:val="both"/>
        <w:rPr>
          <w:rFonts w:ascii="Arial" w:eastAsia="Arial" w:hAnsi="Arial" w:cs="Arial"/>
        </w:rPr>
      </w:pPr>
    </w:p>
    <w:p w14:paraId="1140C23F" w14:textId="77777777" w:rsidR="00FD4160" w:rsidRDefault="007165CA">
      <w:pPr>
        <w:ind w:left="709" w:hanging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Fueron tratados los siguientes temas:</w:t>
      </w:r>
    </w:p>
    <w:p w14:paraId="7C68B24A" w14:textId="77777777" w:rsidR="00FD4160" w:rsidRDefault="00FD4160">
      <w:pPr>
        <w:ind w:left="709" w:hanging="709"/>
        <w:jc w:val="both"/>
        <w:rPr>
          <w:rFonts w:ascii="Arial" w:eastAsia="Arial" w:hAnsi="Arial" w:cs="Arial"/>
        </w:rPr>
      </w:pPr>
      <w:bookmarkStart w:id="0" w:name="_gjdgxs" w:colFirst="0" w:colLast="0"/>
      <w:bookmarkEnd w:id="0"/>
    </w:p>
    <w:p w14:paraId="578CC50E" w14:textId="77777777" w:rsidR="00FD4160" w:rsidRDefault="007165CA">
      <w:pPr>
        <w:numPr>
          <w:ilvl w:val="0"/>
          <w:numId w:val="1"/>
        </w:numPr>
        <w:jc w:val="both"/>
        <w:rPr>
          <w:rFonts w:ascii="Arial" w:eastAsia="Arial" w:hAnsi="Arial" w:cs="Arial"/>
        </w:rPr>
      </w:pPr>
      <w:r w:rsidRPr="00AA0304">
        <w:rPr>
          <w:rFonts w:ascii="Arial" w:eastAsia="Arial" w:hAnsi="Arial" w:cs="Arial"/>
          <w:b/>
          <w:color w:val="000000"/>
        </w:rPr>
        <w:t>PRIORIDADES EN EL RELACIONAMIENTO</w:t>
      </w:r>
      <w:r w:rsidRPr="00085E2A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EXTERNO DEL MERCOSUR</w:t>
      </w:r>
    </w:p>
    <w:p w14:paraId="4E7093CF" w14:textId="77777777" w:rsidR="00FD4160" w:rsidRDefault="007165CA">
      <w:pPr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Los Estados Partes intercambiaron posiciones sobre las prioridades de relacionamiento externo para el semestre en curso.</w:t>
      </w:r>
    </w:p>
    <w:p w14:paraId="4FE3515A" w14:textId="77777777" w:rsidR="00FD4160" w:rsidRDefault="00FD4160">
      <w:pPr>
        <w:jc w:val="both"/>
        <w:rPr>
          <w:rFonts w:ascii="Arial" w:eastAsia="Arial" w:hAnsi="Arial" w:cs="Arial"/>
        </w:rPr>
      </w:pPr>
    </w:p>
    <w:p w14:paraId="5EB4CBC6" w14:textId="77777777" w:rsidR="00FD4160" w:rsidRPr="00AA0304" w:rsidRDefault="007165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Arial" w:eastAsia="Arial" w:hAnsi="Arial" w:cs="Arial"/>
          <w:b/>
          <w:color w:val="000000"/>
        </w:rPr>
      </w:pPr>
      <w:r w:rsidRPr="00085E2A">
        <w:rPr>
          <w:rFonts w:ascii="Arial" w:eastAsia="Arial" w:hAnsi="Arial" w:cs="Arial"/>
          <w:b/>
          <w:color w:val="000000"/>
        </w:rPr>
        <w:t>NEGOCIACION</w:t>
      </w:r>
      <w:r>
        <w:rPr>
          <w:rFonts w:ascii="Arial" w:eastAsia="Arial" w:hAnsi="Arial" w:cs="Arial"/>
          <w:b/>
          <w:color w:val="000000"/>
        </w:rPr>
        <w:t>ES CONCLUIDAS</w:t>
      </w:r>
    </w:p>
    <w:p w14:paraId="58FA6237" w14:textId="77777777" w:rsidR="00FD4160" w:rsidRDefault="007165C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 xml:space="preserve">MERCOSUR – UE </w:t>
      </w:r>
    </w:p>
    <w:p w14:paraId="1896B86A" w14:textId="77777777" w:rsidR="00FD4160" w:rsidRDefault="007165CA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PPTU realizó un resumen de los asuntos pendientes para la finalización del proceso hacia un Acuerdo entre el MERCOSUR y la Unión Europea.</w:t>
      </w:r>
    </w:p>
    <w:p w14:paraId="692D8B94" w14:textId="77777777" w:rsidR="00FD4160" w:rsidRDefault="007165CA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Las delegaciones acordaron mantener los contactos con la contraparte de forma continuada a efectos de la pronta conclusión de los trabajos necesarios para su firma en el presente semestre.</w:t>
      </w:r>
    </w:p>
    <w:p w14:paraId="13509B23" w14:textId="77777777" w:rsidR="00FD4160" w:rsidRDefault="007165C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MERCOSUR – EFTA</w:t>
      </w:r>
    </w:p>
    <w:p w14:paraId="165C568C" w14:textId="4BCC00D3" w:rsidR="00FD4160" w:rsidRDefault="007165CA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delegación Argentina, en su calidad de coordinadora de las negociaciones con EFTA, realizó un repaso del estado de situación de</w:t>
      </w:r>
      <w:r w:rsidR="00250D18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 w:rsidR="00250D18"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</w:rPr>
        <w:t xml:space="preserve"> </w:t>
      </w:r>
      <w:r w:rsidR="00250D18">
        <w:rPr>
          <w:rFonts w:ascii="Arial" w:eastAsia="Arial" w:hAnsi="Arial" w:cs="Arial"/>
          <w:color w:val="000000"/>
        </w:rPr>
        <w:t>negociaciones concluidas</w:t>
      </w:r>
      <w:r>
        <w:rPr>
          <w:rFonts w:ascii="Arial" w:eastAsia="Arial" w:hAnsi="Arial" w:cs="Arial"/>
          <w:color w:val="000000"/>
        </w:rPr>
        <w:t xml:space="preserve"> en agosto de 2019. Los Estados Partes se comprometieron a continuar los trabajos necesarios para la firma del acuerdo durante el presente semestre.</w:t>
      </w:r>
    </w:p>
    <w:p w14:paraId="6F71019D" w14:textId="77777777" w:rsidR="00FD4160" w:rsidRDefault="00FD4160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Arial" w:eastAsia="Arial" w:hAnsi="Arial" w:cs="Arial"/>
          <w:color w:val="000000"/>
        </w:rPr>
      </w:pPr>
    </w:p>
    <w:p w14:paraId="11BE6EB8" w14:textId="77777777" w:rsidR="00AA0304" w:rsidRDefault="00AA0304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Arial" w:eastAsia="Arial" w:hAnsi="Arial" w:cs="Arial"/>
          <w:color w:val="000000"/>
        </w:rPr>
      </w:pPr>
    </w:p>
    <w:p w14:paraId="51AA3D5E" w14:textId="77777777" w:rsidR="00AA0304" w:rsidRDefault="00AA0304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Arial" w:eastAsia="Arial" w:hAnsi="Arial" w:cs="Arial"/>
          <w:color w:val="000000"/>
        </w:rPr>
      </w:pPr>
    </w:p>
    <w:p w14:paraId="0B0125A7" w14:textId="77777777" w:rsidR="00AA0304" w:rsidRDefault="00AA0304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Arial" w:eastAsia="Arial" w:hAnsi="Arial" w:cs="Arial"/>
          <w:color w:val="000000"/>
        </w:rPr>
      </w:pPr>
    </w:p>
    <w:p w14:paraId="5D57CC2F" w14:textId="77777777" w:rsidR="00FD4160" w:rsidRPr="00AA0304" w:rsidRDefault="007165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NEGOCIACIONES EN CURSO</w:t>
      </w:r>
    </w:p>
    <w:p w14:paraId="0C411380" w14:textId="77777777" w:rsidR="00FD4160" w:rsidRDefault="007165C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MERCOSUR – Corea</w:t>
      </w:r>
    </w:p>
    <w:p w14:paraId="3795C29C" w14:textId="3BE463D7" w:rsidR="00FD4160" w:rsidRDefault="007165CA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Las delegaciones </w:t>
      </w:r>
      <w:r w:rsidR="00250D18">
        <w:rPr>
          <w:rFonts w:ascii="Arial" w:eastAsia="Arial" w:hAnsi="Arial" w:cs="Arial"/>
          <w:color w:val="000000"/>
        </w:rPr>
        <w:t xml:space="preserve">acordaron lineamientos </w:t>
      </w:r>
      <w:r w:rsidR="00282503">
        <w:rPr>
          <w:rFonts w:ascii="Arial" w:eastAsia="Arial" w:hAnsi="Arial" w:cs="Arial"/>
          <w:color w:val="000000"/>
        </w:rPr>
        <w:t xml:space="preserve">generales </w:t>
      </w:r>
      <w:r w:rsidR="00250D18">
        <w:rPr>
          <w:rFonts w:ascii="Arial" w:eastAsia="Arial" w:hAnsi="Arial" w:cs="Arial"/>
          <w:color w:val="000000"/>
        </w:rPr>
        <w:t xml:space="preserve">sobre la continuidad de la negociación </w:t>
      </w:r>
      <w:r w:rsidR="00025CC6">
        <w:rPr>
          <w:rFonts w:ascii="Arial" w:eastAsia="Arial" w:hAnsi="Arial" w:cs="Arial"/>
          <w:color w:val="000000"/>
        </w:rPr>
        <w:t>con Corea,</w:t>
      </w:r>
      <w:r w:rsidR="00085E2A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contemplando l</w:t>
      </w:r>
      <w:r w:rsidR="00085E2A"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</w:rPr>
        <w:t>s distint</w:t>
      </w:r>
      <w:r w:rsidR="00250D18"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</w:rPr>
        <w:t xml:space="preserve"> </w:t>
      </w:r>
      <w:r w:rsidR="00282503">
        <w:rPr>
          <w:rFonts w:ascii="Arial" w:eastAsia="Arial" w:hAnsi="Arial" w:cs="Arial"/>
          <w:color w:val="000000"/>
        </w:rPr>
        <w:t xml:space="preserve">formas </w:t>
      </w:r>
      <w:r>
        <w:rPr>
          <w:rFonts w:ascii="Arial" w:eastAsia="Arial" w:hAnsi="Arial" w:cs="Arial"/>
          <w:color w:val="000000"/>
        </w:rPr>
        <w:t>de participación</w:t>
      </w:r>
      <w:r w:rsidR="00025CC6">
        <w:rPr>
          <w:rFonts w:ascii="Arial" w:eastAsia="Arial" w:hAnsi="Arial" w:cs="Arial"/>
          <w:color w:val="000000"/>
        </w:rPr>
        <w:t xml:space="preserve"> de los Estados Partes de MERCOSUR. </w:t>
      </w:r>
      <w:r>
        <w:rPr>
          <w:rFonts w:ascii="Arial" w:eastAsia="Arial" w:hAnsi="Arial" w:cs="Arial"/>
          <w:color w:val="000000"/>
        </w:rPr>
        <w:t xml:space="preserve"> </w:t>
      </w:r>
    </w:p>
    <w:p w14:paraId="07579B7D" w14:textId="77777777" w:rsidR="00FD4160" w:rsidRDefault="007165C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MERCOSUR – Canadá</w:t>
      </w:r>
    </w:p>
    <w:p w14:paraId="46F4C275" w14:textId="77777777" w:rsidR="00FD4160" w:rsidRDefault="007165CA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 delegación de Brasil, en su calidad de coordinadora de las negociaciones con Canadá, hizo una puesta a punto sobre la situación de las negociaciones. </w:t>
      </w:r>
    </w:p>
    <w:p w14:paraId="36D4D740" w14:textId="708A65E8" w:rsidR="00FD4160" w:rsidRDefault="007165CA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Mientras persistan las restricciones sanitarias provocadas por la pandemia Covid-19, se evaluará la posibilidad de realizar videoconferencias </w:t>
      </w:r>
      <w:r w:rsidR="00025CC6">
        <w:rPr>
          <w:rFonts w:ascii="Arial" w:eastAsia="Arial" w:hAnsi="Arial" w:cs="Arial"/>
          <w:color w:val="000000"/>
        </w:rPr>
        <w:t xml:space="preserve">de </w:t>
      </w:r>
      <w:r>
        <w:rPr>
          <w:rFonts w:ascii="Arial" w:eastAsia="Arial" w:hAnsi="Arial" w:cs="Arial"/>
          <w:color w:val="000000"/>
        </w:rPr>
        <w:t xml:space="preserve">algunos </w:t>
      </w:r>
      <w:r w:rsidR="00025CC6">
        <w:rPr>
          <w:rFonts w:ascii="Arial" w:eastAsia="Arial" w:hAnsi="Arial" w:cs="Arial"/>
          <w:color w:val="000000"/>
        </w:rPr>
        <w:t xml:space="preserve">grupos técnicos de </w:t>
      </w:r>
      <w:r>
        <w:rPr>
          <w:rFonts w:ascii="Arial" w:eastAsia="Arial" w:hAnsi="Arial" w:cs="Arial"/>
          <w:color w:val="000000"/>
        </w:rPr>
        <w:t>la negociación.</w:t>
      </w:r>
    </w:p>
    <w:p w14:paraId="1E527670" w14:textId="77777777" w:rsidR="00FD4160" w:rsidRDefault="007165C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MERCOSUR – Singapur</w:t>
      </w:r>
    </w:p>
    <w:p w14:paraId="5C966567" w14:textId="145E1A16" w:rsidR="00FD4160" w:rsidRDefault="007165CA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 delegación de Paraguay, en su calidad de coordinadora de las negociaciones  con Singapur, </w:t>
      </w:r>
      <w:r w:rsidR="00282503">
        <w:rPr>
          <w:rFonts w:ascii="Arial" w:eastAsia="Arial" w:hAnsi="Arial" w:cs="Arial"/>
          <w:color w:val="000000"/>
        </w:rPr>
        <w:t xml:space="preserve">informó </w:t>
      </w:r>
      <w:r>
        <w:rPr>
          <w:rFonts w:ascii="Arial" w:eastAsia="Arial" w:hAnsi="Arial" w:cs="Arial"/>
          <w:color w:val="000000"/>
        </w:rPr>
        <w:t xml:space="preserve">sobre los recientes intercambios y propuestas recibidas de la contraparte, las cuales se han puesto a consideración de los Estados Partes. Asimismo, se comprometió a convocar reuniones </w:t>
      </w:r>
      <w:r w:rsidR="0003211D">
        <w:rPr>
          <w:rFonts w:ascii="Arial" w:eastAsia="Arial" w:hAnsi="Arial" w:cs="Arial"/>
          <w:color w:val="000000"/>
        </w:rPr>
        <w:t xml:space="preserve">intra-MERCOSUR </w:t>
      </w:r>
      <w:r>
        <w:rPr>
          <w:rFonts w:ascii="Arial" w:eastAsia="Arial" w:hAnsi="Arial" w:cs="Arial"/>
          <w:color w:val="000000"/>
        </w:rPr>
        <w:t xml:space="preserve">de </w:t>
      </w:r>
      <w:r w:rsidR="00282503">
        <w:rPr>
          <w:rFonts w:ascii="Arial" w:eastAsia="Arial" w:hAnsi="Arial" w:cs="Arial"/>
          <w:color w:val="000000"/>
        </w:rPr>
        <w:t xml:space="preserve">diversos grupos técnicos, entre ellos, </w:t>
      </w:r>
      <w:r>
        <w:rPr>
          <w:rFonts w:ascii="Arial" w:eastAsia="Arial" w:hAnsi="Arial" w:cs="Arial"/>
          <w:color w:val="000000"/>
        </w:rPr>
        <w:t>servicios, inversiones y reglas de origen</w:t>
      </w:r>
      <w:r w:rsidR="00282503"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</w:rPr>
        <w:t xml:space="preserve"> para avanzar con los trabajos</w:t>
      </w:r>
      <w:r w:rsidR="00282503">
        <w:rPr>
          <w:rFonts w:ascii="Arial" w:eastAsia="Arial" w:hAnsi="Arial" w:cs="Arial"/>
          <w:color w:val="000000"/>
        </w:rPr>
        <w:t xml:space="preserve"> de evaluación</w:t>
      </w:r>
      <w:r>
        <w:rPr>
          <w:rFonts w:ascii="Arial" w:eastAsia="Arial" w:hAnsi="Arial" w:cs="Arial"/>
          <w:color w:val="000000"/>
        </w:rPr>
        <w:t>.</w:t>
      </w:r>
    </w:p>
    <w:p w14:paraId="10BCFB89" w14:textId="77777777" w:rsidR="00FD4160" w:rsidRDefault="007165C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MERCOSUR – Líbano</w:t>
      </w:r>
    </w:p>
    <w:p w14:paraId="3D0A6573" w14:textId="5725C63C" w:rsidR="00FD4160" w:rsidRDefault="007165CA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delegación de Brasil, en su calidad de coordinadora de las negociaciones con Líbano, actualizó su estado de situación, donde las partes convinieron en intensificar los trabajos</w:t>
      </w:r>
      <w:r w:rsidR="00282503">
        <w:rPr>
          <w:rFonts w:ascii="Arial" w:eastAsia="Arial" w:hAnsi="Arial" w:cs="Arial"/>
          <w:color w:val="000000"/>
        </w:rPr>
        <w:t xml:space="preserve"> </w:t>
      </w:r>
      <w:r w:rsidR="00965C4F">
        <w:rPr>
          <w:rFonts w:ascii="Arial" w:eastAsia="Arial" w:hAnsi="Arial" w:cs="Arial"/>
          <w:color w:val="000000"/>
        </w:rPr>
        <w:t>durante el último trimestre del año</w:t>
      </w:r>
      <w:r>
        <w:rPr>
          <w:rFonts w:ascii="Arial" w:eastAsia="Arial" w:hAnsi="Arial" w:cs="Arial"/>
          <w:color w:val="000000"/>
        </w:rPr>
        <w:t>.</w:t>
      </w:r>
    </w:p>
    <w:p w14:paraId="52E2CCD6" w14:textId="77777777" w:rsidR="00FD4160" w:rsidRDefault="00FD4160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Arial" w:eastAsia="Arial" w:hAnsi="Arial" w:cs="Arial"/>
          <w:color w:val="000000"/>
        </w:rPr>
      </w:pPr>
    </w:p>
    <w:p w14:paraId="61D90256" w14:textId="77777777" w:rsidR="00FD4160" w:rsidRPr="00AA0304" w:rsidRDefault="007165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ACUERDOS EN VIGOR</w:t>
      </w:r>
    </w:p>
    <w:p w14:paraId="5D3B79DA" w14:textId="77777777" w:rsidR="00FD4160" w:rsidRDefault="007165C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 xml:space="preserve">MERCOSUR – Israel </w:t>
      </w:r>
    </w:p>
    <w:p w14:paraId="4DBE8D84" w14:textId="6CE154AC" w:rsidR="00FD4160" w:rsidRDefault="007165CA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Las delegaciones acordaron realizar una videoconferencia en fecha a definir para acordar los parámetros de la profundización del Acuerdo. Asimismo, coincidieron en la importancia de culminar a la brevedad el proceso de transposición de las listas.</w:t>
      </w:r>
    </w:p>
    <w:p w14:paraId="2247DB52" w14:textId="77777777" w:rsidR="00FD4160" w:rsidRDefault="007165C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 xml:space="preserve">MERCOSUR – Colombia: Comisión Administradora del ACE N° 72 </w:t>
      </w:r>
    </w:p>
    <w:p w14:paraId="305E3BE7" w14:textId="43D6F2C4" w:rsidR="00557684" w:rsidRDefault="007165CA" w:rsidP="00557684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 PPTU informó acerca de la culminación del proceso de revisión del Protocolo sobre el Comercio de Servicios MERCOSUR-Colombia. Las delegaciones se comprometieron a instruir a sus Representaciones Permanentes ante ALADI a </w:t>
      </w:r>
      <w:r>
        <w:rPr>
          <w:rFonts w:ascii="Arial" w:eastAsia="Arial" w:hAnsi="Arial" w:cs="Arial"/>
          <w:color w:val="000000"/>
        </w:rPr>
        <w:lastRenderedPageBreak/>
        <w:t>efecto de iniciar su proceso de protocolización.</w:t>
      </w:r>
      <w:r w:rsidR="00557684" w:rsidRPr="00557684">
        <w:rPr>
          <w:rFonts w:ascii="Arial" w:eastAsia="Arial" w:hAnsi="Arial" w:cs="Arial"/>
          <w:color w:val="000000"/>
        </w:rPr>
        <w:t xml:space="preserve"> </w:t>
      </w:r>
      <w:r w:rsidR="00557684">
        <w:rPr>
          <w:rFonts w:ascii="Arial" w:eastAsia="Arial" w:hAnsi="Arial" w:cs="Arial"/>
          <w:color w:val="000000"/>
        </w:rPr>
        <w:t>La</w:t>
      </w:r>
      <w:r w:rsidR="00965C4F">
        <w:rPr>
          <w:rFonts w:ascii="Arial" w:eastAsia="Arial" w:hAnsi="Arial" w:cs="Arial"/>
          <w:color w:val="000000"/>
        </w:rPr>
        <w:t>s</w:t>
      </w:r>
      <w:r w:rsidR="00557684">
        <w:rPr>
          <w:rFonts w:ascii="Arial" w:eastAsia="Arial" w:hAnsi="Arial" w:cs="Arial"/>
          <w:color w:val="000000"/>
        </w:rPr>
        <w:t xml:space="preserve"> delegaci</w:t>
      </w:r>
      <w:r w:rsidR="00965C4F">
        <w:rPr>
          <w:rFonts w:ascii="Arial" w:eastAsia="Arial" w:hAnsi="Arial" w:cs="Arial"/>
          <w:color w:val="000000"/>
        </w:rPr>
        <w:t>ones</w:t>
      </w:r>
      <w:r w:rsidR="00557684">
        <w:rPr>
          <w:rFonts w:ascii="Arial" w:eastAsia="Arial" w:hAnsi="Arial" w:cs="Arial"/>
          <w:color w:val="000000"/>
        </w:rPr>
        <w:t xml:space="preserve"> record</w:t>
      </w:r>
      <w:r w:rsidR="00965C4F">
        <w:rPr>
          <w:rFonts w:ascii="Arial" w:eastAsia="Arial" w:hAnsi="Arial" w:cs="Arial"/>
          <w:color w:val="000000"/>
        </w:rPr>
        <w:t>aron</w:t>
      </w:r>
      <w:r w:rsidR="00085E2A">
        <w:rPr>
          <w:rFonts w:ascii="Arial" w:eastAsia="Arial" w:hAnsi="Arial" w:cs="Arial"/>
          <w:color w:val="000000"/>
        </w:rPr>
        <w:t xml:space="preserve"> </w:t>
      </w:r>
      <w:r w:rsidR="00557684">
        <w:rPr>
          <w:rFonts w:ascii="Arial" w:eastAsia="Arial" w:hAnsi="Arial" w:cs="Arial"/>
          <w:color w:val="000000"/>
        </w:rPr>
        <w:t>la necesidad de enviar formalmente el Acta de la I Reunión de la Comisión Administradora del ACE No. 72 a la ALADI y de solicitar la formalización de la retificación y de los protocolos adicionales resultantes de dicha reunión.</w:t>
      </w:r>
    </w:p>
    <w:p w14:paraId="39B58E83" w14:textId="2A2CD321" w:rsidR="00FD4160" w:rsidRDefault="00FD4160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Arial" w:eastAsia="Arial" w:hAnsi="Arial" w:cs="Arial"/>
          <w:color w:val="000000"/>
        </w:rPr>
      </w:pPr>
    </w:p>
    <w:p w14:paraId="05291A80" w14:textId="77777777" w:rsidR="00FD4160" w:rsidRDefault="007165C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MERCOSUR – India</w:t>
      </w:r>
    </w:p>
    <w:p w14:paraId="14EA4AFD" w14:textId="663F98BC" w:rsidR="00FD4160" w:rsidRDefault="007165CA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Las delegaciones intercambiaron comentarios sobre la posible profundización del Acuerdo de Preferencias fijas con India y coincidieron en la importancia de reanudar el diálogo </w:t>
      </w:r>
      <w:r w:rsidR="00A66A9B">
        <w:rPr>
          <w:rFonts w:ascii="Arial" w:eastAsia="Arial" w:hAnsi="Arial" w:cs="Arial"/>
          <w:color w:val="000000"/>
        </w:rPr>
        <w:t>con</w:t>
      </w:r>
      <w:r w:rsidR="00085E2A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la contraparte. </w:t>
      </w:r>
      <w:r w:rsidR="00551F20" w:rsidRPr="00085E2A">
        <w:rPr>
          <w:rFonts w:ascii="Arial" w:eastAsia="Arial" w:hAnsi="Arial" w:cs="Arial"/>
          <w:color w:val="000000"/>
        </w:rPr>
        <w:t>L</w:t>
      </w:r>
      <w:r w:rsidR="00A66A9B" w:rsidRPr="00085E2A">
        <w:rPr>
          <w:rFonts w:ascii="Arial" w:eastAsia="Arial" w:hAnsi="Arial" w:cs="Arial"/>
          <w:color w:val="000000"/>
        </w:rPr>
        <w:t>a</w:t>
      </w:r>
      <w:r w:rsidR="00551F20" w:rsidRPr="00085E2A">
        <w:rPr>
          <w:rFonts w:ascii="Arial" w:eastAsia="Arial" w:hAnsi="Arial" w:cs="Arial"/>
          <w:color w:val="000000"/>
        </w:rPr>
        <w:t xml:space="preserve"> PPTU convocará </w:t>
      </w:r>
      <w:r w:rsidR="00557684" w:rsidRPr="00085E2A">
        <w:rPr>
          <w:rFonts w:ascii="Arial" w:eastAsia="Arial" w:hAnsi="Arial" w:cs="Arial"/>
          <w:color w:val="000000"/>
        </w:rPr>
        <w:t xml:space="preserve">a la brevedad </w:t>
      </w:r>
      <w:r w:rsidR="00551F20" w:rsidRPr="00085E2A">
        <w:rPr>
          <w:rFonts w:ascii="Arial" w:eastAsia="Arial" w:hAnsi="Arial" w:cs="Arial"/>
          <w:color w:val="000000"/>
        </w:rPr>
        <w:t>videoconfer</w:t>
      </w:r>
      <w:r w:rsidR="00A66A9B" w:rsidRPr="00085E2A">
        <w:rPr>
          <w:rFonts w:ascii="Arial" w:eastAsia="Arial" w:hAnsi="Arial" w:cs="Arial"/>
          <w:color w:val="000000"/>
        </w:rPr>
        <w:t>e</w:t>
      </w:r>
      <w:r w:rsidR="00551F20" w:rsidRPr="00085E2A">
        <w:rPr>
          <w:rFonts w:ascii="Arial" w:eastAsia="Arial" w:hAnsi="Arial" w:cs="Arial"/>
          <w:color w:val="000000"/>
        </w:rPr>
        <w:t>ncia intra-Mercosur espec</w:t>
      </w:r>
      <w:r w:rsidR="00085E2A">
        <w:rPr>
          <w:rFonts w:ascii="Arial" w:eastAsia="Arial" w:hAnsi="Arial" w:cs="Arial"/>
          <w:color w:val="000000"/>
        </w:rPr>
        <w:t>í</w:t>
      </w:r>
      <w:r w:rsidR="00551F20" w:rsidRPr="00085E2A">
        <w:rPr>
          <w:rFonts w:ascii="Arial" w:eastAsia="Arial" w:hAnsi="Arial" w:cs="Arial"/>
          <w:color w:val="000000"/>
        </w:rPr>
        <w:t xml:space="preserve">ficamente </w:t>
      </w:r>
      <w:r w:rsidR="00557684" w:rsidRPr="00085E2A">
        <w:rPr>
          <w:rFonts w:ascii="Arial" w:eastAsia="Arial" w:hAnsi="Arial" w:cs="Arial"/>
          <w:color w:val="000000"/>
        </w:rPr>
        <w:t>sobre</w:t>
      </w:r>
      <w:r w:rsidR="00551F20" w:rsidRPr="00085E2A">
        <w:rPr>
          <w:rFonts w:ascii="Arial" w:eastAsia="Arial" w:hAnsi="Arial" w:cs="Arial"/>
          <w:color w:val="000000"/>
        </w:rPr>
        <w:t xml:space="preserve"> este frente negociador.</w:t>
      </w:r>
    </w:p>
    <w:p w14:paraId="7B4B7F02" w14:textId="77777777" w:rsidR="00FD4160" w:rsidRDefault="007165C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MERCOSUR – Egipto</w:t>
      </w:r>
    </w:p>
    <w:p w14:paraId="1A546B49" w14:textId="77777777" w:rsidR="00FD4160" w:rsidRPr="00085E2A" w:rsidRDefault="007165CA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El tema continua en Agenda.</w:t>
      </w:r>
    </w:p>
    <w:p w14:paraId="33A4973A" w14:textId="77777777" w:rsidR="00FD4160" w:rsidRPr="00085E2A" w:rsidRDefault="00FD4160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Arial" w:eastAsia="Arial" w:hAnsi="Arial" w:cs="Arial"/>
          <w:b/>
          <w:color w:val="000000"/>
        </w:rPr>
      </w:pPr>
    </w:p>
    <w:p w14:paraId="4C4A5F64" w14:textId="77777777" w:rsidR="00FD4160" w:rsidRPr="00085E2A" w:rsidRDefault="007165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Arial" w:eastAsia="Arial" w:hAnsi="Arial" w:cs="Arial"/>
          <w:b/>
          <w:color w:val="000000"/>
        </w:rPr>
      </w:pPr>
      <w:r w:rsidRPr="00085E2A">
        <w:rPr>
          <w:rFonts w:ascii="Arial" w:eastAsia="Arial" w:hAnsi="Arial" w:cs="Arial"/>
          <w:b/>
          <w:color w:val="000000"/>
        </w:rPr>
        <w:t xml:space="preserve">DIALOGOS EXPLORATORIOS </w:t>
      </w:r>
    </w:p>
    <w:p w14:paraId="5C3A5891" w14:textId="77777777" w:rsidR="00FD4160" w:rsidRDefault="007165C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Vietnam</w:t>
      </w:r>
    </w:p>
    <w:p w14:paraId="45649954" w14:textId="2CD706F1" w:rsidR="00FD4160" w:rsidRDefault="007165CA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Las delegaciones se congratularon por la conclusión </w:t>
      </w:r>
      <w:r w:rsidR="00A66A9B">
        <w:rPr>
          <w:rFonts w:ascii="Arial" w:eastAsia="Arial" w:hAnsi="Arial" w:cs="Arial"/>
          <w:color w:val="000000"/>
        </w:rPr>
        <w:t>de los Términos de Referencia</w:t>
      </w:r>
      <w:r>
        <w:rPr>
          <w:rFonts w:ascii="Arial" w:eastAsia="Arial" w:hAnsi="Arial" w:cs="Arial"/>
          <w:color w:val="000000"/>
        </w:rPr>
        <w:t xml:space="preserve"> e informaron que se encuentran realizando sus evaluaciones internas</w:t>
      </w:r>
      <w:r w:rsidR="00A66A9B">
        <w:rPr>
          <w:rFonts w:ascii="Arial" w:eastAsia="Arial" w:hAnsi="Arial" w:cs="Arial"/>
          <w:color w:val="000000"/>
        </w:rPr>
        <w:t xml:space="preserve"> respecto de próximos pasos</w:t>
      </w:r>
      <w:r>
        <w:rPr>
          <w:rFonts w:ascii="Arial" w:eastAsia="Arial" w:hAnsi="Arial" w:cs="Arial"/>
          <w:color w:val="000000"/>
        </w:rPr>
        <w:t xml:space="preserve">. La PPTU se comprometió a </w:t>
      </w:r>
      <w:r w:rsidR="00A66A9B">
        <w:rPr>
          <w:rFonts w:ascii="Arial" w:eastAsia="Arial" w:hAnsi="Arial" w:cs="Arial"/>
          <w:color w:val="000000"/>
        </w:rPr>
        <w:t>mantener informada a la</w:t>
      </w:r>
      <w:r>
        <w:rPr>
          <w:rFonts w:ascii="Arial" w:eastAsia="Arial" w:hAnsi="Arial" w:cs="Arial"/>
          <w:color w:val="000000"/>
        </w:rPr>
        <w:t xml:space="preserve"> contraparte</w:t>
      </w:r>
      <w:r w:rsidR="00A66A9B"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 xml:space="preserve"> </w:t>
      </w:r>
    </w:p>
    <w:p w14:paraId="3F5AFF83" w14:textId="77777777" w:rsidR="00FD4160" w:rsidRDefault="007165C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 xml:space="preserve">Indonesia </w:t>
      </w:r>
    </w:p>
    <w:p w14:paraId="21090FD2" w14:textId="50321401" w:rsidR="00FD4160" w:rsidRDefault="007165CA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Las delegaciones resaltaron la importancia de Indonesia como socio comercial</w:t>
      </w:r>
      <w:r w:rsidR="002B5143"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 xml:space="preserve"> La PPTU convocará una videoconferencia a la brevedad para discutir el contenido de un futuro documento de Términos de Referencia</w:t>
      </w:r>
      <w:r w:rsidR="00025CC6">
        <w:rPr>
          <w:rFonts w:ascii="Arial" w:eastAsia="Arial" w:hAnsi="Arial" w:cs="Arial"/>
          <w:color w:val="000000"/>
        </w:rPr>
        <w:t xml:space="preserve">, para ser enviado a la contraparte </w:t>
      </w:r>
      <w:r w:rsidR="00A66A9B">
        <w:rPr>
          <w:rFonts w:ascii="Arial" w:eastAsia="Arial" w:hAnsi="Arial" w:cs="Arial"/>
          <w:color w:val="000000"/>
        </w:rPr>
        <w:t>i</w:t>
      </w:r>
      <w:r w:rsidR="00025CC6">
        <w:rPr>
          <w:rFonts w:ascii="Arial" w:eastAsia="Arial" w:hAnsi="Arial" w:cs="Arial"/>
          <w:color w:val="000000"/>
        </w:rPr>
        <w:t>ndonesia</w:t>
      </w:r>
      <w:r>
        <w:rPr>
          <w:rFonts w:ascii="Arial" w:eastAsia="Arial" w:hAnsi="Arial" w:cs="Arial"/>
          <w:color w:val="000000"/>
        </w:rPr>
        <w:t xml:space="preserve">.  </w:t>
      </w:r>
    </w:p>
    <w:p w14:paraId="73B0ACD9" w14:textId="77777777" w:rsidR="00FD4160" w:rsidRDefault="007165C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MERCOSUR-América Central y Caribe</w:t>
      </w:r>
    </w:p>
    <w:p w14:paraId="5BE3FE8F" w14:textId="30D35A29" w:rsidR="00FD4160" w:rsidRDefault="007165CA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Las Delegaciones acordaron realizar una videoconferencia para consensuar los términos de referencia a presentar a los países de América Central y el Caribe.</w:t>
      </w:r>
      <w:r w:rsidR="00557684">
        <w:rPr>
          <w:rFonts w:ascii="Arial" w:eastAsia="Arial" w:hAnsi="Arial" w:cs="Arial"/>
          <w:color w:val="000000"/>
        </w:rPr>
        <w:t xml:space="preserve"> </w:t>
      </w:r>
    </w:p>
    <w:p w14:paraId="54A9AC5C" w14:textId="77777777" w:rsidR="00FD4160" w:rsidRDefault="00FD4160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Arial" w:eastAsia="Arial" w:hAnsi="Arial" w:cs="Arial"/>
          <w:color w:val="000000"/>
        </w:rPr>
      </w:pPr>
    </w:p>
    <w:p w14:paraId="692AAC56" w14:textId="77777777" w:rsidR="00AA0304" w:rsidRDefault="00AA0304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Arial" w:eastAsia="Arial" w:hAnsi="Arial" w:cs="Arial"/>
          <w:color w:val="000000"/>
        </w:rPr>
      </w:pPr>
    </w:p>
    <w:p w14:paraId="25224A04" w14:textId="77777777" w:rsidR="00AA0304" w:rsidRDefault="00AA0304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Arial" w:eastAsia="Arial" w:hAnsi="Arial" w:cs="Arial"/>
          <w:color w:val="000000"/>
        </w:rPr>
      </w:pPr>
    </w:p>
    <w:p w14:paraId="2F7E4F13" w14:textId="77777777" w:rsidR="00AA0304" w:rsidRDefault="00AA0304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Arial" w:eastAsia="Arial" w:hAnsi="Arial" w:cs="Arial"/>
          <w:color w:val="000000"/>
        </w:rPr>
      </w:pPr>
    </w:p>
    <w:p w14:paraId="1BAC5AA8" w14:textId="77777777" w:rsidR="00AA0304" w:rsidRDefault="00AA0304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Arial" w:eastAsia="Arial" w:hAnsi="Arial" w:cs="Arial"/>
          <w:color w:val="000000"/>
        </w:rPr>
      </w:pPr>
    </w:p>
    <w:p w14:paraId="3E1E8ED6" w14:textId="77777777" w:rsidR="00AA0304" w:rsidRDefault="00AA0304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Arial" w:eastAsia="Arial" w:hAnsi="Arial" w:cs="Arial"/>
          <w:color w:val="000000"/>
        </w:rPr>
      </w:pPr>
    </w:p>
    <w:p w14:paraId="0C461B4B" w14:textId="77777777" w:rsidR="00FD4160" w:rsidRPr="00085E2A" w:rsidRDefault="007165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Arial" w:eastAsia="Arial" w:hAnsi="Arial" w:cs="Arial"/>
          <w:b/>
          <w:color w:val="000000"/>
        </w:rPr>
      </w:pPr>
      <w:r w:rsidRPr="00085E2A">
        <w:rPr>
          <w:rFonts w:ascii="Arial" w:eastAsia="Arial" w:hAnsi="Arial" w:cs="Arial"/>
          <w:b/>
          <w:color w:val="000000"/>
        </w:rPr>
        <w:t xml:space="preserve">OTROS MECANISMOS Y DIALOGOS </w:t>
      </w:r>
    </w:p>
    <w:p w14:paraId="7891C5DD" w14:textId="77777777" w:rsidR="00FD4160" w:rsidRDefault="007165C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MERCOSUR – Alianza del Pacífico</w:t>
      </w:r>
    </w:p>
    <w:p w14:paraId="0B60A347" w14:textId="77777777" w:rsidR="00FD4160" w:rsidRDefault="007165CA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Las delegaciones realizaron una puesta a punto sobre los temas de interés existentes entre ambos bloques y acordaron explorar a nivel de Presidencias Pro Tempore vías de acción en asuntos de impacto comercial enmarcados en el Plan de Acción de Puerto Vallarta.</w:t>
      </w:r>
    </w:p>
    <w:p w14:paraId="1564952A" w14:textId="3826DF84" w:rsidR="00FD4160" w:rsidRDefault="007165CA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Las delegaciones acordaron convocar una videoconferencia conjunta con la Alianza del Pacifico para </w:t>
      </w:r>
      <w:r w:rsidR="00557684">
        <w:rPr>
          <w:rFonts w:ascii="Arial" w:eastAsia="Arial" w:hAnsi="Arial" w:cs="Arial"/>
          <w:color w:val="000000"/>
        </w:rPr>
        <w:t>discutir formas</w:t>
      </w:r>
      <w:r w:rsidR="00FB158A">
        <w:rPr>
          <w:rFonts w:ascii="Arial" w:eastAsia="Arial" w:hAnsi="Arial" w:cs="Arial"/>
          <w:color w:val="000000"/>
        </w:rPr>
        <w:t xml:space="preserve"> de</w:t>
      </w:r>
      <w:r w:rsidR="00557684">
        <w:rPr>
          <w:rFonts w:ascii="Arial" w:eastAsia="Arial" w:hAnsi="Arial" w:cs="Arial"/>
          <w:color w:val="000000"/>
        </w:rPr>
        <w:t xml:space="preserve"> </w:t>
      </w:r>
      <w:r w:rsidR="00FB158A">
        <w:rPr>
          <w:rFonts w:ascii="Arial" w:eastAsia="Arial" w:hAnsi="Arial" w:cs="Arial"/>
          <w:color w:val="000000"/>
        </w:rPr>
        <w:t xml:space="preserve">alcanzar avances concretos en </w:t>
      </w:r>
      <w:r>
        <w:rPr>
          <w:rFonts w:ascii="Arial" w:eastAsia="Arial" w:hAnsi="Arial" w:cs="Arial"/>
          <w:color w:val="000000"/>
        </w:rPr>
        <w:t xml:space="preserve">el relacionamiento entre los bloques.  </w:t>
      </w:r>
    </w:p>
    <w:p w14:paraId="445DFCCB" w14:textId="4659A4A4" w:rsidR="00557684" w:rsidRDefault="00557684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Las delegaciones recordaron la importancia de que la Alianza del Pacifico envíe sus comentarios a la contrapropuesta de MERCOSU</w:t>
      </w:r>
      <w:r w:rsidR="00FB158A"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</w:rPr>
        <w:t xml:space="preserve"> de creación de una comisión para facilitación y fortalecimiento del comercio entre los dos bloques, remitida durante la PPTP.</w:t>
      </w:r>
    </w:p>
    <w:p w14:paraId="4EBB32D7" w14:textId="77777777" w:rsidR="00FD4160" w:rsidRDefault="007165CA">
      <w:pPr>
        <w:numPr>
          <w:ilvl w:val="1"/>
          <w:numId w:val="1"/>
        </w:numPr>
        <w:spacing w:before="240"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Union Económica Euroasiática</w:t>
      </w:r>
    </w:p>
    <w:p w14:paraId="7E9A3FFD" w14:textId="4EC8FB7B" w:rsidR="00FD4160" w:rsidRDefault="00921FD1">
      <w:pPr>
        <w:spacing w:before="240"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Las delegaciones reafirmaron su interés en iniciar el diálogo exploratorio para un posible Acuerdo comercial con la UEE. </w:t>
      </w:r>
      <w:r w:rsidR="007165CA">
        <w:rPr>
          <w:rFonts w:ascii="Arial" w:eastAsia="Arial" w:hAnsi="Arial" w:cs="Arial"/>
        </w:rPr>
        <w:t xml:space="preserve">La PPTU contactará a la contraparte para </w:t>
      </w:r>
      <w:r>
        <w:rPr>
          <w:rFonts w:ascii="Arial" w:eastAsia="Arial" w:hAnsi="Arial" w:cs="Arial"/>
        </w:rPr>
        <w:t xml:space="preserve">evaluar </w:t>
      </w:r>
      <w:r w:rsidR="007165CA">
        <w:rPr>
          <w:rFonts w:ascii="Arial" w:eastAsia="Arial" w:hAnsi="Arial" w:cs="Arial"/>
        </w:rPr>
        <w:t>los pasos a seguir en el dialogo comercial entre ambos bloques</w:t>
      </w:r>
      <w:r w:rsidR="002B5143">
        <w:rPr>
          <w:rFonts w:ascii="Arial" w:eastAsia="Arial" w:hAnsi="Arial" w:cs="Arial"/>
        </w:rPr>
        <w:t>.</w:t>
      </w:r>
    </w:p>
    <w:p w14:paraId="7E95BD99" w14:textId="77777777" w:rsidR="00FD4160" w:rsidRDefault="007165CA">
      <w:pPr>
        <w:numPr>
          <w:ilvl w:val="1"/>
          <w:numId w:val="1"/>
        </w:numPr>
        <w:spacing w:before="240"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China</w:t>
      </w:r>
    </w:p>
    <w:p w14:paraId="51979DFA" w14:textId="77777777" w:rsidR="00FD4160" w:rsidRDefault="007165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PPTU propuso convocar la VII Reunion del  Diálogo MERCOSUR-China durante el presente semestre, teniendo en cuenta que la ultima reunión tuvo lugar en 2018</w:t>
      </w:r>
      <w:r>
        <w:rPr>
          <w:rFonts w:ascii="Arial" w:eastAsia="Arial" w:hAnsi="Arial" w:cs="Arial"/>
          <w:b/>
          <w:color w:val="000000"/>
        </w:rPr>
        <w:t>.</w:t>
      </w:r>
    </w:p>
    <w:p w14:paraId="4094625A" w14:textId="77777777" w:rsidR="00FD4160" w:rsidRDefault="00FD416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178DEB11" w14:textId="1A72B690" w:rsidR="00FD4160" w:rsidRDefault="007165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Las demás delegaciones expresaron que en virtud del calendario de actividades previstas y los frentes de negociaciones que se encuentran abiertos, no ser</w:t>
      </w:r>
      <w:r w:rsidR="002B5143">
        <w:rPr>
          <w:rFonts w:ascii="Arial" w:eastAsia="Arial" w:hAnsi="Arial" w:cs="Arial"/>
          <w:color w:val="000000"/>
        </w:rPr>
        <w:t>í</w:t>
      </w:r>
      <w:r>
        <w:rPr>
          <w:rFonts w:ascii="Arial" w:eastAsia="Arial" w:hAnsi="Arial" w:cs="Arial"/>
          <w:color w:val="000000"/>
        </w:rPr>
        <w:t>a posible avanzar en el di</w:t>
      </w:r>
      <w:r w:rsidR="002B5143">
        <w:rPr>
          <w:rFonts w:ascii="Arial" w:eastAsia="Arial" w:hAnsi="Arial" w:cs="Arial"/>
          <w:color w:val="000000"/>
        </w:rPr>
        <w:t>á</w:t>
      </w:r>
      <w:r>
        <w:rPr>
          <w:rFonts w:ascii="Arial" w:eastAsia="Arial" w:hAnsi="Arial" w:cs="Arial"/>
          <w:color w:val="000000"/>
        </w:rPr>
        <w:t>logo con esta contraparte en el presente semestre.</w:t>
      </w:r>
    </w:p>
    <w:p w14:paraId="3A5AFAD7" w14:textId="77777777" w:rsidR="00AA0304" w:rsidRDefault="00AA03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4FFE5B6C" w14:textId="77777777" w:rsidR="00FD4160" w:rsidRPr="00085E2A" w:rsidRDefault="007165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Arial" w:eastAsia="Arial" w:hAnsi="Arial" w:cs="Arial"/>
          <w:b/>
          <w:color w:val="000000"/>
        </w:rPr>
      </w:pPr>
      <w:r w:rsidRPr="00085E2A">
        <w:rPr>
          <w:rFonts w:ascii="Arial" w:eastAsia="Arial" w:hAnsi="Arial" w:cs="Arial"/>
          <w:b/>
          <w:color w:val="000000"/>
        </w:rPr>
        <w:t>TEMAS EN EL AMBITO DE LA CCM</w:t>
      </w:r>
    </w:p>
    <w:p w14:paraId="6C061779" w14:textId="77777777" w:rsidR="00FD4160" w:rsidRDefault="007165CA">
      <w:pPr>
        <w:spacing w:before="240" w:after="240"/>
        <w:ind w:left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Las delegaciones coincidieron en la importancia del diálogo institucional entre el GRELEX y la CCM en los temas de mutuo interés. </w:t>
      </w:r>
    </w:p>
    <w:p w14:paraId="40BF639C" w14:textId="77777777" w:rsidR="00FD4160" w:rsidRDefault="007165CA">
      <w:pPr>
        <w:numPr>
          <w:ilvl w:val="1"/>
          <w:numId w:val="1"/>
        </w:numPr>
        <w:spacing w:before="240"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CTAT</w:t>
      </w:r>
    </w:p>
    <w:p w14:paraId="3570827D" w14:textId="3DD27D04" w:rsidR="00921FD1" w:rsidRDefault="007165CA">
      <w:pPr>
        <w:spacing w:before="240" w:after="240"/>
        <w:ind w:left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 PPTU expresó que considera crucial avanzar en la transposición de las listas de concesiones del Tratado de Libre Comercio MERCOSUR-Israel. </w:t>
      </w:r>
    </w:p>
    <w:p w14:paraId="095D2BD2" w14:textId="3736A605" w:rsidR="00FD4160" w:rsidRDefault="00551F20">
      <w:pPr>
        <w:spacing w:before="240" w:after="240"/>
        <w:ind w:left="284"/>
        <w:jc w:val="both"/>
        <w:rPr>
          <w:rFonts w:ascii="Arial" w:eastAsia="Arial" w:hAnsi="Arial" w:cs="Arial"/>
        </w:rPr>
      </w:pPr>
      <w:r w:rsidRPr="00551F20">
        <w:rPr>
          <w:rFonts w:ascii="Arial" w:eastAsia="Arial" w:hAnsi="Arial" w:cs="Arial"/>
        </w:rPr>
        <w:t xml:space="preserve">Las delegaciones resaltaron la necesidad de acordar el momento correcto de </w:t>
      </w:r>
      <w:r w:rsidR="00921FD1">
        <w:rPr>
          <w:rFonts w:ascii="Arial" w:eastAsia="Arial" w:hAnsi="Arial" w:cs="Arial"/>
        </w:rPr>
        <w:t>intercambio</w:t>
      </w:r>
      <w:r w:rsidRPr="00551F20">
        <w:rPr>
          <w:rFonts w:ascii="Arial" w:eastAsia="Arial" w:hAnsi="Arial" w:cs="Arial"/>
        </w:rPr>
        <w:t xml:space="preserve"> de las transposiciones </w:t>
      </w:r>
      <w:r w:rsidR="00921FD1">
        <w:rPr>
          <w:rFonts w:ascii="Arial" w:eastAsia="Arial" w:hAnsi="Arial" w:cs="Arial"/>
        </w:rPr>
        <w:t>con Egipto y SACU</w:t>
      </w:r>
      <w:r w:rsidRPr="00551F20">
        <w:rPr>
          <w:rFonts w:ascii="Arial" w:eastAsia="Arial" w:hAnsi="Arial" w:cs="Arial"/>
        </w:rPr>
        <w:t>.</w:t>
      </w:r>
    </w:p>
    <w:p w14:paraId="5666CA17" w14:textId="77777777" w:rsidR="00FD4160" w:rsidRDefault="007165CA">
      <w:pPr>
        <w:numPr>
          <w:ilvl w:val="1"/>
          <w:numId w:val="1"/>
        </w:numPr>
        <w:spacing w:before="240"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CUPOS</w:t>
      </w:r>
    </w:p>
    <w:p w14:paraId="0F73234E" w14:textId="4F55E4B1" w:rsidR="00085E2A" w:rsidRDefault="007165CA">
      <w:pPr>
        <w:spacing w:before="240" w:after="240"/>
        <w:ind w:left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tema continúa en agenda.</w:t>
      </w:r>
    </w:p>
    <w:p w14:paraId="4F1E1E68" w14:textId="77777777" w:rsidR="00085E2A" w:rsidRDefault="00085E2A">
      <w:pPr>
        <w:spacing w:before="240" w:after="240"/>
        <w:ind w:left="284"/>
        <w:jc w:val="both"/>
        <w:rPr>
          <w:rFonts w:ascii="Arial" w:eastAsia="Arial" w:hAnsi="Arial" w:cs="Arial"/>
        </w:rPr>
      </w:pPr>
    </w:p>
    <w:p w14:paraId="06757F9B" w14:textId="77777777" w:rsidR="00FD4160" w:rsidRPr="00085E2A" w:rsidRDefault="007165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Arial" w:eastAsia="Arial" w:hAnsi="Arial" w:cs="Arial"/>
          <w:b/>
          <w:color w:val="000000"/>
        </w:rPr>
      </w:pPr>
      <w:r w:rsidRPr="00085E2A">
        <w:rPr>
          <w:rFonts w:ascii="Arial" w:eastAsia="Arial" w:hAnsi="Arial" w:cs="Arial"/>
          <w:b/>
          <w:color w:val="000000"/>
        </w:rPr>
        <w:t>OTROS</w:t>
      </w:r>
    </w:p>
    <w:p w14:paraId="64AD2264" w14:textId="77777777" w:rsidR="00FD4160" w:rsidRDefault="007165C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Japón</w:t>
      </w:r>
    </w:p>
    <w:p w14:paraId="610D424C" w14:textId="468BE076" w:rsidR="00FD4160" w:rsidRDefault="007165CA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Las delegaciones reafirmaron su interés </w:t>
      </w:r>
      <w:r w:rsidR="00921FD1">
        <w:rPr>
          <w:rFonts w:ascii="Arial" w:eastAsia="Arial" w:hAnsi="Arial" w:cs="Arial"/>
          <w:color w:val="000000"/>
        </w:rPr>
        <w:t>en continuar el proceso de</w:t>
      </w:r>
      <w:r>
        <w:rPr>
          <w:rFonts w:ascii="Arial" w:eastAsia="Arial" w:hAnsi="Arial" w:cs="Arial"/>
          <w:color w:val="000000"/>
        </w:rPr>
        <w:t xml:space="preserve"> diálogo para un posible </w:t>
      </w:r>
      <w:r w:rsidR="00085E2A"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</w:rPr>
        <w:t>cuerdo comercial.</w:t>
      </w:r>
    </w:p>
    <w:p w14:paraId="54B553FF" w14:textId="77777777" w:rsidR="00FD4160" w:rsidRDefault="007165CA">
      <w:pPr>
        <w:numPr>
          <w:ilvl w:val="1"/>
          <w:numId w:val="1"/>
        </w:numPr>
        <w:spacing w:before="240"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Reino Unido</w:t>
      </w:r>
    </w:p>
    <w:p w14:paraId="4B64372D" w14:textId="6389B096" w:rsidR="00FD4160" w:rsidRDefault="007165CA">
      <w:pPr>
        <w:spacing w:before="240"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tema continua en agenda.</w:t>
      </w:r>
      <w:r w:rsidR="00025CC6">
        <w:rPr>
          <w:rFonts w:ascii="Arial" w:eastAsia="Arial" w:hAnsi="Arial" w:cs="Arial"/>
        </w:rPr>
        <w:t xml:space="preserve"> </w:t>
      </w:r>
    </w:p>
    <w:p w14:paraId="5EA59582" w14:textId="77777777" w:rsidR="00FD4160" w:rsidRDefault="00FD4160">
      <w:pPr>
        <w:spacing w:before="240" w:after="240"/>
        <w:ind w:left="716"/>
        <w:jc w:val="both"/>
        <w:rPr>
          <w:rFonts w:ascii="Arial" w:eastAsia="Arial" w:hAnsi="Arial" w:cs="Arial"/>
          <w:highlight w:val="magenta"/>
        </w:rPr>
      </w:pPr>
    </w:p>
    <w:p w14:paraId="1165861A" w14:textId="77777777" w:rsidR="00FD4160" w:rsidRDefault="007165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PRÓXIMA REUNIÓN</w:t>
      </w:r>
    </w:p>
    <w:p w14:paraId="7ED6602B" w14:textId="77777777" w:rsidR="00FD4160" w:rsidRDefault="00FD416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013451D4" w14:textId="77777777" w:rsidR="00FD4160" w:rsidRDefault="007165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próxima reunión del GRELEX será convocada oportunamente.</w:t>
      </w:r>
    </w:p>
    <w:p w14:paraId="4F33DD66" w14:textId="77777777" w:rsidR="00FD4160" w:rsidRDefault="00FD4160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jc w:val="both"/>
        <w:rPr>
          <w:rFonts w:ascii="Arial" w:eastAsia="Arial" w:hAnsi="Arial" w:cs="Arial"/>
          <w:color w:val="000000"/>
        </w:rPr>
      </w:pPr>
    </w:p>
    <w:p w14:paraId="13C1726B" w14:textId="77777777" w:rsidR="00FD4160" w:rsidRDefault="00FD4160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jc w:val="both"/>
        <w:rPr>
          <w:rFonts w:ascii="Arial" w:eastAsia="Arial" w:hAnsi="Arial" w:cs="Arial"/>
          <w:color w:val="000000"/>
        </w:rPr>
      </w:pPr>
    </w:p>
    <w:p w14:paraId="7F4F2213" w14:textId="77777777" w:rsidR="00FD4160" w:rsidRDefault="007165CA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ANEXOS:</w:t>
      </w:r>
    </w:p>
    <w:p w14:paraId="19DB1D61" w14:textId="77777777" w:rsidR="00FD4160" w:rsidRDefault="007165C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071"/>
          <w:tab w:val="left" w:pos="2130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ab/>
      </w:r>
    </w:p>
    <w:p w14:paraId="0602CA10" w14:textId="77777777" w:rsidR="00FD4160" w:rsidRDefault="007165C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071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Los Anexos que forman parte de la presente Acta son los siguientes:</w:t>
      </w:r>
    </w:p>
    <w:p w14:paraId="340E87A7" w14:textId="77777777" w:rsidR="00FD4160" w:rsidRDefault="00FD416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071"/>
        </w:tabs>
        <w:jc w:val="both"/>
        <w:rPr>
          <w:rFonts w:ascii="Arial" w:eastAsia="Arial" w:hAnsi="Arial" w:cs="Arial"/>
          <w:color w:val="000000"/>
        </w:rPr>
      </w:pPr>
    </w:p>
    <w:tbl>
      <w:tblPr>
        <w:tblStyle w:val="a"/>
        <w:tblW w:w="8720" w:type="dxa"/>
        <w:tblLayout w:type="fixed"/>
        <w:tblLook w:val="0000" w:firstRow="0" w:lastRow="0" w:firstColumn="0" w:lastColumn="0" w:noHBand="0" w:noVBand="0"/>
      </w:tblPr>
      <w:tblGrid>
        <w:gridCol w:w="1384"/>
        <w:gridCol w:w="7336"/>
      </w:tblGrid>
      <w:tr w:rsidR="00FD4160" w14:paraId="60F52580" w14:textId="77777777">
        <w:tc>
          <w:tcPr>
            <w:tcW w:w="1384" w:type="dxa"/>
          </w:tcPr>
          <w:p w14:paraId="2C76E238" w14:textId="77777777" w:rsidR="00FD4160" w:rsidRDefault="00716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071"/>
              </w:tabs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Anexo I</w:t>
            </w:r>
          </w:p>
        </w:tc>
        <w:tc>
          <w:tcPr>
            <w:tcW w:w="7336" w:type="dxa"/>
          </w:tcPr>
          <w:p w14:paraId="67D13BEF" w14:textId="77777777" w:rsidR="00FD4160" w:rsidRDefault="00716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071"/>
              </w:tabs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Lista de Participantes</w:t>
            </w:r>
          </w:p>
        </w:tc>
      </w:tr>
      <w:tr w:rsidR="00FD4160" w14:paraId="5F3B0BF5" w14:textId="77777777">
        <w:tc>
          <w:tcPr>
            <w:tcW w:w="1384" w:type="dxa"/>
          </w:tcPr>
          <w:p w14:paraId="37AC8BFF" w14:textId="77777777" w:rsidR="00FD4160" w:rsidRDefault="00716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071"/>
              </w:tabs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Anexo II</w:t>
            </w:r>
          </w:p>
        </w:tc>
        <w:tc>
          <w:tcPr>
            <w:tcW w:w="7336" w:type="dxa"/>
          </w:tcPr>
          <w:p w14:paraId="71839013" w14:textId="77777777" w:rsidR="00FD4160" w:rsidRDefault="00716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071"/>
              </w:tabs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Agenda</w:t>
            </w:r>
          </w:p>
        </w:tc>
      </w:tr>
      <w:tr w:rsidR="00FD4160" w14:paraId="694A162E" w14:textId="77777777">
        <w:tc>
          <w:tcPr>
            <w:tcW w:w="1384" w:type="dxa"/>
          </w:tcPr>
          <w:p w14:paraId="774694EF" w14:textId="77777777" w:rsidR="00FD4160" w:rsidRDefault="00716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071"/>
              </w:tabs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Anexo III</w:t>
            </w:r>
          </w:p>
        </w:tc>
        <w:tc>
          <w:tcPr>
            <w:tcW w:w="7336" w:type="dxa"/>
          </w:tcPr>
          <w:p w14:paraId="69CC9A58" w14:textId="77777777" w:rsidR="00FD4160" w:rsidRDefault="00716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071"/>
              </w:tabs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Resumen del Acta</w:t>
            </w:r>
          </w:p>
        </w:tc>
      </w:tr>
      <w:tr w:rsidR="00FD4160" w14:paraId="79E42604" w14:textId="77777777">
        <w:tc>
          <w:tcPr>
            <w:tcW w:w="1384" w:type="dxa"/>
          </w:tcPr>
          <w:p w14:paraId="5A41D859" w14:textId="77777777" w:rsidR="00FD4160" w:rsidRDefault="00FD4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071"/>
              </w:tabs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336" w:type="dxa"/>
          </w:tcPr>
          <w:p w14:paraId="2B15AEEB" w14:textId="77777777" w:rsidR="00FD4160" w:rsidRDefault="00FD4160">
            <w:pP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40934D95" w14:textId="77777777" w:rsidR="00FD4160" w:rsidRDefault="00FD416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E1416C8" w14:textId="77777777" w:rsidR="00FD4160" w:rsidRDefault="00FD416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0"/>
        <w:tblW w:w="8932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4535"/>
        <w:gridCol w:w="4397"/>
      </w:tblGrid>
      <w:tr w:rsidR="00FD4160" w14:paraId="46B1D8D1" w14:textId="77777777">
        <w:trPr>
          <w:trHeight w:val="1597"/>
        </w:trPr>
        <w:tc>
          <w:tcPr>
            <w:tcW w:w="4535" w:type="dxa"/>
          </w:tcPr>
          <w:p w14:paraId="13BAE5B4" w14:textId="77777777" w:rsidR="00FD4160" w:rsidRDefault="00716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071"/>
                <w:tab w:val="left" w:pos="1418"/>
              </w:tabs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_______________________________</w:t>
            </w:r>
          </w:p>
          <w:p w14:paraId="040AE55D" w14:textId="77777777" w:rsidR="00FD4160" w:rsidRDefault="00716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071"/>
              </w:tabs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Por la Delegación de Argentina</w:t>
            </w:r>
          </w:p>
          <w:p w14:paraId="310DD264" w14:textId="77777777" w:rsidR="00FD4160" w:rsidRDefault="00FD4160">
            <w:pPr>
              <w:tabs>
                <w:tab w:val="left" w:pos="3015"/>
              </w:tabs>
              <w:jc w:val="center"/>
              <w:rPr>
                <w:rFonts w:ascii="Arial" w:eastAsia="Arial" w:hAnsi="Arial" w:cs="Arial"/>
                <w:color w:val="C00000"/>
              </w:rPr>
            </w:pPr>
          </w:p>
          <w:p w14:paraId="7A4D033E" w14:textId="77777777" w:rsidR="00FD4160" w:rsidRDefault="00FD4160">
            <w:pPr>
              <w:tabs>
                <w:tab w:val="left" w:pos="3015"/>
              </w:tabs>
              <w:jc w:val="center"/>
              <w:rPr>
                <w:rFonts w:ascii="Arial" w:eastAsia="Arial" w:hAnsi="Arial" w:cs="Arial"/>
                <w:color w:val="C00000"/>
              </w:rPr>
            </w:pPr>
          </w:p>
          <w:p w14:paraId="77825536" w14:textId="77777777" w:rsidR="00FD4160" w:rsidRDefault="00FD4160">
            <w:pPr>
              <w:tabs>
                <w:tab w:val="left" w:pos="3015"/>
              </w:tabs>
              <w:jc w:val="center"/>
              <w:rPr>
                <w:rFonts w:ascii="Arial" w:eastAsia="Arial" w:hAnsi="Arial" w:cs="Arial"/>
                <w:color w:val="C00000"/>
              </w:rPr>
            </w:pPr>
          </w:p>
          <w:p w14:paraId="5E0BE3D7" w14:textId="77777777" w:rsidR="00FD4160" w:rsidRDefault="00FD4160">
            <w:pPr>
              <w:tabs>
                <w:tab w:val="left" w:pos="3015"/>
              </w:tabs>
              <w:jc w:val="center"/>
              <w:rPr>
                <w:rFonts w:ascii="Arial" w:eastAsia="Arial" w:hAnsi="Arial" w:cs="Arial"/>
                <w:color w:val="C00000"/>
              </w:rPr>
            </w:pPr>
          </w:p>
        </w:tc>
        <w:tc>
          <w:tcPr>
            <w:tcW w:w="4397" w:type="dxa"/>
          </w:tcPr>
          <w:p w14:paraId="09308640" w14:textId="77777777" w:rsidR="00FD4160" w:rsidRDefault="00716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071"/>
                <w:tab w:val="left" w:pos="1418"/>
              </w:tabs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_______________________________</w:t>
            </w:r>
          </w:p>
          <w:p w14:paraId="259B023E" w14:textId="77777777" w:rsidR="00FD4160" w:rsidRDefault="00716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071"/>
              </w:tabs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Por la Delegación de Brasil</w:t>
            </w:r>
          </w:p>
        </w:tc>
      </w:tr>
      <w:tr w:rsidR="00FD4160" w14:paraId="2428084A" w14:textId="77777777">
        <w:trPr>
          <w:trHeight w:val="1506"/>
        </w:trPr>
        <w:tc>
          <w:tcPr>
            <w:tcW w:w="4535" w:type="dxa"/>
          </w:tcPr>
          <w:p w14:paraId="2FD7B107" w14:textId="77777777" w:rsidR="00FD4160" w:rsidRDefault="00716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071"/>
                <w:tab w:val="left" w:pos="1418"/>
              </w:tabs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_______________________________</w:t>
            </w:r>
          </w:p>
          <w:p w14:paraId="00AF30FD" w14:textId="77777777" w:rsidR="00FD4160" w:rsidRDefault="00716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071"/>
              </w:tabs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Por la Delegación de Paraguay</w:t>
            </w:r>
          </w:p>
          <w:p w14:paraId="5BF70C69" w14:textId="77777777" w:rsidR="00FD4160" w:rsidRDefault="00FD4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071"/>
                <w:tab w:val="left" w:pos="1418"/>
              </w:tabs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2FA40252" w14:textId="77777777" w:rsidR="00FD4160" w:rsidRDefault="00FD4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071"/>
                <w:tab w:val="left" w:pos="1418"/>
              </w:tabs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41F9D17D" w14:textId="77777777" w:rsidR="00FD4160" w:rsidRDefault="00FD4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071"/>
                <w:tab w:val="left" w:pos="1418"/>
              </w:tabs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27E6901D" w14:textId="77777777" w:rsidR="00FD4160" w:rsidRDefault="00FD4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071"/>
                <w:tab w:val="left" w:pos="1418"/>
              </w:tabs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397" w:type="dxa"/>
          </w:tcPr>
          <w:p w14:paraId="53336AFF" w14:textId="77777777" w:rsidR="00FD4160" w:rsidRDefault="00FD4160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tabs>
                <w:tab w:val="center" w:pos="4819"/>
                <w:tab w:val="right" w:pos="9071"/>
                <w:tab w:val="left" w:pos="1418"/>
              </w:tabs>
              <w:jc w:val="center"/>
              <w:rPr>
                <w:rFonts w:ascii="Arial" w:eastAsia="Arial" w:hAnsi="Arial" w:cs="Arial"/>
                <w:color w:val="C00000"/>
              </w:rPr>
            </w:pPr>
          </w:p>
          <w:p w14:paraId="769C96E5" w14:textId="77777777" w:rsidR="00FD4160" w:rsidRDefault="00716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071"/>
                <w:tab w:val="left" w:pos="1418"/>
              </w:tabs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Por la Delegación de Uruguay</w:t>
            </w:r>
          </w:p>
          <w:p w14:paraId="7055BC5C" w14:textId="77777777" w:rsidR="00FD4160" w:rsidRDefault="00FD4160">
            <w:pPr>
              <w:jc w:val="center"/>
              <w:rPr>
                <w:color w:val="C00000"/>
              </w:rPr>
            </w:pPr>
          </w:p>
        </w:tc>
      </w:tr>
    </w:tbl>
    <w:p w14:paraId="2ED2C3E5" w14:textId="77777777" w:rsidR="00FD4160" w:rsidRDefault="00FD4160">
      <w:pPr>
        <w:jc w:val="both"/>
        <w:rPr>
          <w:rFonts w:ascii="Arial" w:eastAsia="Arial" w:hAnsi="Arial" w:cs="Arial"/>
        </w:rPr>
      </w:pPr>
      <w:bookmarkStart w:id="1" w:name="_GoBack"/>
      <w:bookmarkEnd w:id="1"/>
    </w:p>
    <w:sectPr w:rsidR="00FD4160">
      <w:footerReference w:type="even" r:id="rId7"/>
      <w:footerReference w:type="default" r:id="rId8"/>
      <w:pgSz w:w="12240" w:h="15840"/>
      <w:pgMar w:top="1417" w:right="1701" w:bottom="1417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59390" w14:textId="77777777" w:rsidR="006857ED" w:rsidRDefault="006857ED">
      <w:r>
        <w:separator/>
      </w:r>
    </w:p>
  </w:endnote>
  <w:endnote w:type="continuationSeparator" w:id="0">
    <w:p w14:paraId="05303034" w14:textId="77777777" w:rsidR="006857ED" w:rsidRDefault="00685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2F2D8" w14:textId="77777777" w:rsidR="00FD4160" w:rsidRDefault="007165C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FEB2203" w14:textId="77777777" w:rsidR="00FD4160" w:rsidRDefault="00FD41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E2856" w14:textId="77777777" w:rsidR="00FD4160" w:rsidRDefault="007165C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AA0304">
      <w:rPr>
        <w:rFonts w:ascii="Arial" w:eastAsia="Arial" w:hAnsi="Arial" w:cs="Arial"/>
        <w:noProof/>
        <w:color w:val="000000"/>
        <w:sz w:val="20"/>
        <w:szCs w:val="20"/>
      </w:rPr>
      <w:t>5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467E5E55" w14:textId="77777777" w:rsidR="00FD4160" w:rsidRDefault="00FD41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4A225" w14:textId="77777777" w:rsidR="006857ED" w:rsidRDefault="006857ED">
      <w:r>
        <w:separator/>
      </w:r>
    </w:p>
  </w:footnote>
  <w:footnote w:type="continuationSeparator" w:id="0">
    <w:p w14:paraId="51455775" w14:textId="77777777" w:rsidR="006857ED" w:rsidRDefault="00685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C7BA3"/>
    <w:multiLevelType w:val="multilevel"/>
    <w:tmpl w:val="81B46784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160"/>
    <w:rsid w:val="00025CC6"/>
    <w:rsid w:val="0003211D"/>
    <w:rsid w:val="00085E2A"/>
    <w:rsid w:val="00250D18"/>
    <w:rsid w:val="00282503"/>
    <w:rsid w:val="002B5143"/>
    <w:rsid w:val="003E5189"/>
    <w:rsid w:val="0045171A"/>
    <w:rsid w:val="00551F20"/>
    <w:rsid w:val="00557684"/>
    <w:rsid w:val="006431BF"/>
    <w:rsid w:val="006857ED"/>
    <w:rsid w:val="007165CA"/>
    <w:rsid w:val="00721AA9"/>
    <w:rsid w:val="00921FD1"/>
    <w:rsid w:val="00965C4F"/>
    <w:rsid w:val="00A13F75"/>
    <w:rsid w:val="00A66A9B"/>
    <w:rsid w:val="00AA0304"/>
    <w:rsid w:val="00ED7923"/>
    <w:rsid w:val="00FB158A"/>
    <w:rsid w:val="00FD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76AEF"/>
  <w15:docId w15:val="{19DF9408-D216-1A4B-883E-B8FC2547E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UY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anormal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2B514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B514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B514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514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514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5143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14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1104</Words>
  <Characters>6073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PPTU</cp:lastModifiedBy>
  <cp:revision>2</cp:revision>
  <dcterms:created xsi:type="dcterms:W3CDTF">2020-07-28T20:16:00Z</dcterms:created>
  <dcterms:modified xsi:type="dcterms:W3CDTF">2020-07-28T20:16:00Z</dcterms:modified>
</cp:coreProperties>
</file>