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73" w:rsidRDefault="00677273">
      <w:pPr>
        <w:pStyle w:val="Padro"/>
        <w:spacing w:after="0" w:line="100" w:lineRule="atLeast"/>
        <w:jc w:val="both"/>
      </w:pPr>
      <w:bookmarkStart w:id="0" w:name="_GoBack"/>
      <w:bookmarkEnd w:id="0"/>
    </w:p>
    <w:p w:rsidR="00677273" w:rsidRDefault="00420AC8">
      <w:pPr>
        <w:pStyle w:val="Padro"/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MERCOSUR/REMPM/ATA Nº 5/2019</w:t>
      </w:r>
    </w:p>
    <w:p w:rsidR="00677273" w:rsidRDefault="00677273">
      <w:pPr>
        <w:pStyle w:val="Padro"/>
        <w:spacing w:after="0" w:line="100" w:lineRule="atLeast"/>
        <w:jc w:val="center"/>
      </w:pPr>
    </w:p>
    <w:p w:rsidR="00677273" w:rsidRDefault="00677273">
      <w:pPr>
        <w:pStyle w:val="Padro"/>
        <w:spacing w:after="0" w:line="100" w:lineRule="atLeast"/>
        <w:jc w:val="center"/>
      </w:pPr>
    </w:p>
    <w:p w:rsidR="00677273" w:rsidRDefault="00420AC8">
      <w:pPr>
        <w:pStyle w:val="Padro"/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XXVI REUNIÃO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ESPECIALIZADA DE MINISTÉRIOS PÚBLICOS DO MERCOSUL E ESTADOS ASSOCIADOS</w:t>
      </w:r>
    </w:p>
    <w:p w:rsidR="00677273" w:rsidRDefault="00677273">
      <w:pPr>
        <w:pStyle w:val="Padro"/>
        <w:spacing w:after="0" w:line="100" w:lineRule="atLeast"/>
        <w:jc w:val="center"/>
      </w:pP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Realizou-se em Salvador, no dia 23 de agosto de 2019, a XXVI Reunião Especializada de Ministérios Públicos do MERCOSUL e Estados Associados, com a presença das Delegações da República Argentina, República Federativa do Brasil, República do Paraguai e Repúb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lica Oriental do Uruguai, como Estados Partes, e da Delegação do Estado Plurinacional da Bolívia, nos termos da Decisão CMC 13/15, e das Delegações da República do Chile, República do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Equador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República do Peru, como Estados Associados.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Procuradora-Ger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da República, Raquel Elias Ferreira Dodge, no exercício da Presidência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Pro Tempore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 Brasil (PPTB), procedeu à abertura da reunião, saudando às delegações presentes e agradecendo especialmente a presença dos Procuradores-Gerais das nações irmãs da Repú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blica Argentina e da República do Paraguai. Registrou, igualmente, a presença do Procurador-Geral da Colômbia em 22 de agosto, cujo retorno foi necessário antes do início da Especializada. Cumprimentou às demais autoridades presentes, enaltecendo a acolhid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nesta cidade de Salvador, na Bahia, celebrando o aniversário do Ministério Público mais antigo das Américas. Abordou o desafio de equilibrar as missões institucionais do MPF, no enfrentamento ao crime organizado e no combate à corrupção, com a defesa 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democracia, das liberdades fundamentais, dos direitos das minorias e do meio-ambiente. Destacou o empenho para o fortalecimento do Ministério Público como instituição independente, autônoma e altiva, em todos os países da região. A instituição que atua col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ocando freios e contrapesos, em prol da construção de sociedades pacíficas e plurais, é o Ministério Público. 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Raquel Dodge também trouxe ao conhecimento dos presentes a preocupação em relação ao atual projeto de lei do abuso de autoridade no Brasil que,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conforme solicitou ao Presidente, deve ser integralmente vetado. Fez referência aos números da cooperação internacional ao longo de sua gestão, mencionando mais especificamente a colaboração com os países vizinhos em matéria de extradição e pedidos de assi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stência jurídica mútua penal, priorizados para maior celeridade e eficácia. Celebrou a recente formação de Equipes Conjuntas de Investigação entre Brasil e Paraguai, que visam enfrentar o crime organizado transnacional que acomete ambos países. Exaltou 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resultados alcançados em matéria de cooperação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internacional, que são fruto deste importante foro no âmbito do Mercosul. Agradeceu o empenho das delegações nos últimos dois dias de trabalho da Reunião preparatória e desejou trabalhos exitosos para esta jor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nada de cúpula. Encerrou celebrando a cultura local da Bahia e reforçando as boas-vindas a todos os presentes. 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Procurador-Geral da República Argentina Eduardo Casal expressou sua honra em participar desta Reunião e agradeceu aos anfitriões na pessoa da</w:t>
      </w:r>
      <w:r>
        <w:rPr>
          <w:rFonts w:ascii="Arial" w:hAnsi="Arial" w:cs="Arial"/>
          <w:sz w:val="24"/>
          <w:szCs w:val="24"/>
        </w:rPr>
        <w:t xml:space="preserve"> Sra. Procuradora-Geral do Brasil pela impecável organização do evento. Mencionou a relevância do Programa de trabalho estabelecido para esta reunião, particularmente a escolha do tema de combate à lavagem de ativos. Aquiesceu a importância dos laços de co</w:t>
      </w:r>
      <w:r>
        <w:rPr>
          <w:rFonts w:ascii="Arial" w:hAnsi="Arial" w:cs="Arial"/>
          <w:sz w:val="24"/>
          <w:szCs w:val="24"/>
        </w:rPr>
        <w:t xml:space="preserve">nfiança e conhecimento mútuo entre as respectivas equipes das unidades de cooperação internacional dos MPs da região e sua profissionalização, o que gera um produtivo resultado das Comissões e Subcomissões de Trabalho da REMPM. Notou o progresso alcançado </w:t>
      </w:r>
      <w:r>
        <w:rPr>
          <w:rFonts w:ascii="Arial" w:hAnsi="Arial" w:cs="Arial"/>
          <w:sz w:val="24"/>
          <w:szCs w:val="24"/>
        </w:rPr>
        <w:t xml:space="preserve">em matéria do Acordo Quadro de Equipes Conjuntas de Investigação, celebrando a recente aprovação pelo Senado paraguaio. Casal pontuou o marco </w:t>
      </w:r>
      <w:r>
        <w:rPr>
          <w:rFonts w:ascii="Arial" w:hAnsi="Arial" w:cs="Arial"/>
          <w:sz w:val="24"/>
          <w:szCs w:val="24"/>
        </w:rPr>
        <w:t>do Mandato Mercosul de Captura para agilizar a entrega de estrangeiros. Por fim, enalteceu a cooperação regional d</w:t>
      </w:r>
      <w:r>
        <w:rPr>
          <w:rFonts w:ascii="Arial" w:hAnsi="Arial" w:cs="Arial"/>
          <w:sz w:val="24"/>
          <w:szCs w:val="24"/>
        </w:rPr>
        <w:t>izendo: “Se quiser chegar longe, vá acompanhado”.</w:t>
      </w:r>
    </w:p>
    <w:p w:rsidR="00677273" w:rsidRDefault="00677273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Procuradora-Geral da República do Paraguai, Sandra </w:t>
      </w:r>
      <w:proofErr w:type="spellStart"/>
      <w:r>
        <w:rPr>
          <w:rFonts w:ascii="Arial" w:hAnsi="Arial" w:cs="Arial"/>
          <w:sz w:val="24"/>
          <w:szCs w:val="24"/>
        </w:rPr>
        <w:t>Quiñonez</w:t>
      </w:r>
      <w:proofErr w:type="spellEnd"/>
      <w:r>
        <w:rPr>
          <w:rFonts w:ascii="Arial" w:hAnsi="Arial" w:cs="Arial"/>
          <w:sz w:val="24"/>
          <w:szCs w:val="24"/>
        </w:rPr>
        <w:t>, manifestou sua gratidão pela hospitalidade de um país tão lindo e poder conhecer mais a sua história. Agradeceu as equipes que trabalharam ard</w:t>
      </w:r>
      <w:r>
        <w:rPr>
          <w:rFonts w:ascii="Arial" w:hAnsi="Arial" w:cs="Arial"/>
          <w:sz w:val="24"/>
          <w:szCs w:val="24"/>
        </w:rPr>
        <w:t xml:space="preserve">uamente na Reunião Preparatória. Manifestou a importância de superar as fronteiras e poder comunicar-se de maneira simples para conseguir com facilidade informações para lograr os compromissos das instituições. Exaltou a forma coordenada com que trabalham </w:t>
      </w:r>
      <w:r>
        <w:rPr>
          <w:rFonts w:ascii="Arial" w:hAnsi="Arial" w:cs="Arial"/>
          <w:sz w:val="24"/>
          <w:szCs w:val="24"/>
        </w:rPr>
        <w:t>com o Brasil na luta contra o crime organizado. Reiterou o compromisso do MP paraguaio no enfrentamento à criminalidade organizada e à corrupção, simultaneamente à manutenção da democracia em seu país, o que requer MPs fortes e independentes em relação aos</w:t>
      </w:r>
      <w:r>
        <w:rPr>
          <w:rFonts w:ascii="Arial" w:hAnsi="Arial" w:cs="Arial"/>
          <w:sz w:val="24"/>
          <w:szCs w:val="24"/>
        </w:rPr>
        <w:t xml:space="preserve"> poderes políticos. 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sua vez, a delegada do Uruguai, Gabriela Aguirre, em representação ao </w:t>
      </w:r>
      <w:r>
        <w:rPr>
          <w:rFonts w:ascii="Arial" w:hAnsi="Arial" w:cs="Arial"/>
          <w:color w:val="000000"/>
          <w:sz w:val="24"/>
          <w:szCs w:val="24"/>
        </w:rPr>
        <w:t xml:space="preserve">Procurador-Geral da República Oriental do Uruguai, manifestou suas escusas pela impossibilidade intempestiva de comparecer, embora desejoso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participar do </w:t>
      </w:r>
      <w:r>
        <w:rPr>
          <w:rFonts w:ascii="Arial" w:hAnsi="Arial" w:cs="Arial"/>
          <w:color w:val="000000"/>
          <w:sz w:val="24"/>
          <w:szCs w:val="24"/>
        </w:rPr>
        <w:t>evento. Agradeceu à equipe da Cooperação Internacional do MPF, por conseguirem juntos elaborar um plano de trabalho e um debate tão construtivo. Reforçou a importância dos vínculos de relação de confiança e o papel protagonista do MP como garantidor do sis</w:t>
      </w:r>
      <w:r>
        <w:rPr>
          <w:rFonts w:ascii="Arial" w:hAnsi="Arial" w:cs="Arial"/>
          <w:color w:val="000000"/>
          <w:sz w:val="24"/>
          <w:szCs w:val="24"/>
        </w:rPr>
        <w:t>tema democrático.</w:t>
      </w:r>
    </w:p>
    <w:p w:rsidR="00677273" w:rsidRDefault="00677273">
      <w:pPr>
        <w:pStyle w:val="Padro"/>
        <w:widowControl w:val="0"/>
        <w:spacing w:after="0"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677273" w:rsidRDefault="00420AC8">
      <w:pPr>
        <w:pStyle w:val="Padro"/>
        <w:widowControl w:val="0"/>
        <w:spacing w:after="0" w:line="100" w:lineRule="atLeast"/>
        <w:ind w:right="113"/>
        <w:jc w:val="both"/>
      </w:pPr>
      <w:r>
        <w:rPr>
          <w:rFonts w:ascii="Arial" w:hAnsi="Arial" w:cs="Arial"/>
          <w:color w:val="000000"/>
          <w:sz w:val="24"/>
          <w:szCs w:val="24"/>
        </w:rPr>
        <w:t>O representante da Bolívia, Roberto Gamarra, apresentou as saudações e escusas do Fiscal General que não pôde comparecer pessoalmente e agradeceu à organização. Aclamou o trabalho da REMPM pela equidade de gênero na carreira, pelo combat</w:t>
      </w:r>
      <w:r>
        <w:rPr>
          <w:rFonts w:ascii="Arial" w:hAnsi="Arial" w:cs="Arial"/>
          <w:color w:val="000000"/>
          <w:sz w:val="24"/>
          <w:szCs w:val="24"/>
        </w:rPr>
        <w:t xml:space="preserve">e à delinquência organizada e à corrupção, </w:t>
      </w:r>
      <w:r>
        <w:rPr>
          <w:rFonts w:ascii="Arial" w:hAnsi="Arial" w:cs="Arial"/>
          <w:color w:val="000000"/>
          <w:sz w:val="24"/>
          <w:szCs w:val="24"/>
        </w:rPr>
        <w:lastRenderedPageBreak/>
        <w:t>destacando a relevância da cooperação internacional nestas searas. Finalizou citando frase célebre de Einstein de que a força de vontade é mais potente que a força motriz e qualquer outra física</w:t>
      </w:r>
      <w:r>
        <w:t>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Contedodatabel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representante </w:t>
      </w:r>
      <w:r>
        <w:rPr>
          <w:rFonts w:ascii="Arial" w:hAnsi="Arial" w:cs="Arial"/>
        </w:rPr>
        <w:t xml:space="preserve">do Ministério Público da República do Chile, </w:t>
      </w: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Segovia</w:t>
      </w:r>
      <w:proofErr w:type="spellEnd"/>
      <w:r>
        <w:rPr>
          <w:rFonts w:ascii="Arial" w:hAnsi="Arial" w:cs="Arial"/>
        </w:rPr>
        <w:t>, após agradecimentos e escusas do PGR, agradeceu às boas-vindas e à energia da Bahia. Destacou que as reuniões da REMPM estão cada vez mais centradas na elaboração de produtos concretos, pautas m</w:t>
      </w:r>
      <w:r>
        <w:rPr>
          <w:rFonts w:ascii="Arial" w:hAnsi="Arial" w:cs="Arial"/>
        </w:rPr>
        <w:t>ais constantes. Felicitou a Argentina por haver adotado o sistema acusatório e ao Paraguai, pela iniciativa quanto às ECI. Finalizou destacando o papel dos MP para o estabelecimento de sociedades mais justas, com instituições sólidas, e para o pleno acesso</w:t>
      </w:r>
      <w:r>
        <w:rPr>
          <w:rFonts w:ascii="Arial" w:hAnsi="Arial" w:cs="Arial"/>
        </w:rPr>
        <w:t xml:space="preserve"> à justiça de todos os cidadãos.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representante do Equador, Patrícia </w:t>
      </w:r>
      <w:proofErr w:type="spellStart"/>
      <w:r>
        <w:rPr>
          <w:rFonts w:ascii="Arial" w:hAnsi="Arial" w:cs="Arial"/>
          <w:sz w:val="24"/>
          <w:szCs w:val="24"/>
        </w:rPr>
        <w:t>Carranco</w:t>
      </w:r>
      <w:proofErr w:type="spellEnd"/>
      <w:r>
        <w:rPr>
          <w:rFonts w:ascii="Arial" w:hAnsi="Arial" w:cs="Arial"/>
          <w:sz w:val="24"/>
          <w:szCs w:val="24"/>
        </w:rPr>
        <w:t xml:space="preserve">, disse sentir-se em casa, ao tempo em que apresentou escusas de seu Fiscal General. Equador tem um trabalho forte sobre combate à corrupção. Reforçou expressamente o compromisso da </w:t>
      </w:r>
      <w:proofErr w:type="spellStart"/>
      <w:r>
        <w:rPr>
          <w:rFonts w:ascii="Arial" w:hAnsi="Arial" w:cs="Arial"/>
          <w:sz w:val="24"/>
          <w:szCs w:val="24"/>
        </w:rPr>
        <w:t>Fiscalía</w:t>
      </w:r>
      <w:proofErr w:type="spellEnd"/>
      <w:r>
        <w:rPr>
          <w:rFonts w:ascii="Arial" w:hAnsi="Arial" w:cs="Arial"/>
          <w:sz w:val="24"/>
          <w:szCs w:val="24"/>
        </w:rPr>
        <w:t xml:space="preserve"> equatoriana de traba</w:t>
      </w:r>
      <w:r>
        <w:rPr>
          <w:rFonts w:ascii="Arial" w:hAnsi="Arial" w:cs="Arial"/>
          <w:sz w:val="24"/>
          <w:szCs w:val="24"/>
        </w:rPr>
        <w:t xml:space="preserve">lhar ativamente no marco da REMPM e manter fluída comunicação com todas as equipes com o objetivo de fortalecer e compartilhar as boas experiências. </w:t>
      </w:r>
    </w:p>
    <w:p w:rsidR="00677273" w:rsidRDefault="00677273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representante do Procurador Geral da República do Peru, Celia Ruiz, após cumprimentos e escusas do chef</w:t>
      </w:r>
      <w:r>
        <w:rPr>
          <w:rFonts w:ascii="Arial" w:hAnsi="Arial" w:cs="Arial"/>
          <w:sz w:val="24"/>
          <w:szCs w:val="24"/>
        </w:rPr>
        <w:t>e do MP, comentou sobre os desafios atualmente enfrentados em seu país na luta contra grandes delitos. Disse que a investigação de delitos de corrupção em seu país de altas autoridades, incluindo do próprio Ministério Público, tem sido eficaz também devido</w:t>
      </w:r>
      <w:r>
        <w:rPr>
          <w:rFonts w:ascii="Arial" w:hAnsi="Arial" w:cs="Arial"/>
          <w:sz w:val="24"/>
          <w:szCs w:val="24"/>
        </w:rPr>
        <w:t xml:space="preserve"> à cooperação internacional. Agradeceu pela valiosa colaboração na investigação dos casos Odebrecht de Peru em cooperação com a PGR brasileira.</w:t>
      </w:r>
    </w:p>
    <w:p w:rsidR="00677273" w:rsidRDefault="00677273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seguida, a PGR anfitriã passou a palavra ao Procurador-Chefe no Estado da Bahia, Fabio </w:t>
      </w:r>
      <w:proofErr w:type="spellStart"/>
      <w:r>
        <w:rPr>
          <w:rFonts w:ascii="Arial" w:hAnsi="Arial" w:cs="Arial"/>
          <w:sz w:val="24"/>
          <w:szCs w:val="24"/>
        </w:rPr>
        <w:t>Loula</w:t>
      </w:r>
      <w:proofErr w:type="spellEnd"/>
      <w:r>
        <w:rPr>
          <w:rFonts w:ascii="Arial" w:hAnsi="Arial" w:cs="Arial"/>
          <w:sz w:val="24"/>
          <w:szCs w:val="24"/>
        </w:rPr>
        <w:t>, que afirmou se</w:t>
      </w:r>
      <w:r>
        <w:rPr>
          <w:rFonts w:ascii="Arial" w:hAnsi="Arial" w:cs="Arial"/>
          <w:sz w:val="24"/>
          <w:szCs w:val="24"/>
        </w:rPr>
        <w:t>ntir-se honrado em poder colaborar com a organização da XXVI REMPM e agradeceu pela escolha da cidade de Salvador, onde há 410 anos iniciou o MP brasileiro. Enfatizou a priorização de sua unidade aos pedidos de cooperação internacional, atuando em parceira</w:t>
      </w:r>
      <w:r>
        <w:rPr>
          <w:rFonts w:ascii="Arial" w:hAnsi="Arial" w:cs="Arial"/>
          <w:sz w:val="24"/>
          <w:szCs w:val="24"/>
        </w:rPr>
        <w:t xml:space="preserve"> com a SCI do MPF.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Ato contínuo, João Akira </w:t>
      </w:r>
      <w:proofErr w:type="spellStart"/>
      <w:r>
        <w:rPr>
          <w:rFonts w:ascii="Arial" w:hAnsi="Arial" w:cs="Arial"/>
          <w:sz w:val="24"/>
          <w:szCs w:val="24"/>
        </w:rPr>
        <w:t>Omoto</w:t>
      </w:r>
      <w:proofErr w:type="spellEnd"/>
      <w:r>
        <w:rPr>
          <w:rFonts w:ascii="Arial" w:hAnsi="Arial" w:cs="Arial"/>
          <w:sz w:val="24"/>
          <w:szCs w:val="24"/>
        </w:rPr>
        <w:t>, Diretor da Escola Superior do Ministério Público da União – ESMPU, mencionou sua honra e prazer em participar neste importante evento, comentando a atuação e empenho da Escola na capacitação dos operadore</w:t>
      </w:r>
      <w:r>
        <w:rPr>
          <w:rFonts w:ascii="Arial" w:hAnsi="Arial" w:cs="Arial"/>
          <w:sz w:val="24"/>
          <w:szCs w:val="24"/>
        </w:rPr>
        <w:t>s de justiça e também da sociedade. Ressaltou sobre a forte atuação da Escola na cooperação internacional, intermediada pela SCI, tanto para levar membros brasileiros para capacitação no exterior quanto a levar cooperação, em especial a países de língua po</w:t>
      </w:r>
      <w:r>
        <w:rPr>
          <w:rFonts w:ascii="Arial" w:hAnsi="Arial" w:cs="Arial"/>
          <w:sz w:val="24"/>
          <w:szCs w:val="24"/>
        </w:rPr>
        <w:t xml:space="preserve">rtuguesa, sugerindo avançarmos no mesmo caminho no âmbito regional. Por fim, teceu considerações a respeito da estrutura da ESMPU, exibindo vídeos </w:t>
      </w:r>
      <w:r>
        <w:rPr>
          <w:rFonts w:ascii="Arial" w:hAnsi="Arial" w:cs="Arial"/>
          <w:sz w:val="24"/>
          <w:szCs w:val="24"/>
        </w:rPr>
        <w:lastRenderedPageBreak/>
        <w:t xml:space="preserve">para ilustrar o trabalho que vem sendo desenvolvido na área de produção de conhecimento pelos membros do MP. </w:t>
      </w:r>
      <w:r>
        <w:rPr>
          <w:rFonts w:ascii="Arial" w:hAnsi="Arial" w:cs="Arial"/>
          <w:sz w:val="24"/>
          <w:szCs w:val="24"/>
        </w:rPr>
        <w:t>A PGR anunciou a nova sede da ESMPU.</w:t>
      </w:r>
    </w:p>
    <w:p w:rsidR="00677273" w:rsidRDefault="00677273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Raquel Dodge finalizou seu discurso com sua ampla preocupação com o meio ambiente, afirmando ser dever constitucional do Estado sua proteção. Lamentou os recentes acontecimentos de queimadas na região da Amazônia, patr</w:t>
      </w:r>
      <w:r>
        <w:rPr>
          <w:rFonts w:ascii="Arial" w:hAnsi="Arial" w:cs="Arial"/>
          <w:sz w:val="24"/>
          <w:szCs w:val="24"/>
        </w:rPr>
        <w:t>imônio da humanidade, ponderando a necessidade de forte atuação do MP para investigar e punir estes crimes ambientais, com respostas enfáticas.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Lista de Participantes consta do </w:t>
      </w:r>
      <w:r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widowControl w:val="0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Agenda consta do </w:t>
      </w:r>
      <w:r>
        <w:rPr>
          <w:rFonts w:ascii="Arial" w:hAnsi="Arial" w:cs="Arial"/>
          <w:b/>
          <w:sz w:val="24"/>
          <w:szCs w:val="24"/>
        </w:rPr>
        <w:t>Anexo II</w:t>
      </w:r>
      <w:r>
        <w:rPr>
          <w:rFonts w:ascii="Arial" w:hAnsi="Arial" w:cs="Arial"/>
          <w:sz w:val="24"/>
          <w:szCs w:val="24"/>
        </w:rPr>
        <w:t>.</w:t>
      </w:r>
    </w:p>
    <w:p w:rsidR="00677273" w:rsidRDefault="00677273">
      <w:pPr>
        <w:pStyle w:val="Padro"/>
        <w:widowControl w:val="0"/>
        <w:spacing w:after="0" w:line="100" w:lineRule="atLeast"/>
        <w:jc w:val="both"/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A agenda foi aprovada por aclamação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Foram tratados os seguintes temas: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rgrafodaLista"/>
        <w:numPr>
          <w:ilvl w:val="0"/>
          <w:numId w:val="2"/>
        </w:numPr>
        <w:spacing w:after="0" w:line="1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RESULTADOS DA REUNIÃO PREPARATÓRIA DA XXVI REUNIÃO ESPECIALIZADA DE MINISTÉRIOS PÚBLICOS DO MERCOSUL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PPTB apresentou os resultados da Reunião Preparatória da XXVI REMPM e os avanços e atividades desenvolvidas. Nesse</w:t>
      </w:r>
      <w:r>
        <w:rPr>
          <w:rFonts w:ascii="Arial" w:hAnsi="Arial" w:cs="Arial"/>
          <w:sz w:val="24"/>
          <w:szCs w:val="24"/>
        </w:rPr>
        <w:t xml:space="preserve"> sentido, a REMPM deu por aprovada a mencionada Ata que consta do </w:t>
      </w:r>
      <w:r>
        <w:rPr>
          <w:rFonts w:ascii="Arial" w:hAnsi="Arial" w:cs="Arial"/>
          <w:b/>
          <w:sz w:val="24"/>
          <w:szCs w:val="24"/>
        </w:rPr>
        <w:t>Anexo III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  <w:lang w:eastAsia="zh-CN" w:bidi="hi-IN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COMBATE À LAVAGEM DE ATIVOS,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  <w:lang w:eastAsia="zh-CN" w:bidi="hi-IN"/>
        </w:rPr>
        <w:t>DEVIDO PROCESSO LEGAL NA ENTREGA DE ESTRANGEIROS E MANDADO MERCOSUL DE CAPTURA</w:t>
      </w: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Passou-se ao debate sobre Combate à lavagem de ativos. Pronunciou-se a Procuradora-Geral do Paraguai sobre a formação de Equipes Conjuntas de Investigação. Ato seguido, o Procurador-Geral da Argentina, interveio coincidindo sobre a importância das ECI como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ferramenta essencial para combater este crime e comentando a situação atual em seu país sobre a questão. 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 representante do Chile,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Antonio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Segovia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destacou a ECI de Chile, Colômbia e Equador que já está em operação em matéria de combate ao Narcotráfico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à Lavagem de dinheiro. Mencionou análise sobre imputação penal de responsabilidade às pessoas jurídicas, citando caso de contaminação em Valparaíso do Chile para ressaltar a importância de sancionar empresas.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 representante do Peru, Celia Ruiz, 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ou a importância das informações espontâneas para rastrear contas e patrimônios resultado de delitos, citando o caso Fujimori. Abordou os requisitos mínimos para as entidades financeiras, lembrando a tarefa pendente para uma comunicação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inter-institucional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mais fluida. 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delegação brasileira comentou a experiência da Lava Jato, que só avançou pela combinação de fatores: lei de colaboração premiada, lei de leniência, a existência e colaboração de inteligência com a Unidade de Inteligência Financeira (UIF)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 prol da investigação, processamento e punição do crime de lavagem de dinheiro. Cristina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Romanó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destacou a importância do GAFI e que os países possam cumprir os compromissos a nível internacional. Mencionou com preocupação a decisão do Supremo Tribunal F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ederal (STF) que suspende as investigações em andamento que tenham se originado em relatório da UIF brasileira. Pediu que cada país compartilhe sua experiência nacional em relação à sua respectiva Unidade de Investigação Financeira.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Seguiu-se debate sobre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tema com amplas contribuições de parte das delegações da Argentina, Bolívia, Paraguai, Chile, Uruguai, Equador, Peru e Brasil.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Contedodatabela"/>
        <w:numPr>
          <w:ilvl w:val="0"/>
          <w:numId w:val="2"/>
        </w:numPr>
        <w:spacing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PROGRAMA DE TRABALHO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delegações aprovaram, igualmente, o Programa de Trabalho estratégico da REMPM para o biênio 2020</w:t>
      </w:r>
      <w:r>
        <w:rPr>
          <w:rFonts w:ascii="Arial" w:hAnsi="Arial" w:cs="Arial"/>
          <w:sz w:val="24"/>
          <w:szCs w:val="24"/>
        </w:rPr>
        <w:t>-2021, conforme elaborado pela Reunião Preparatória.</w:t>
      </w: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677273">
      <w:pPr>
        <w:pStyle w:val="Padro"/>
        <w:spacing w:after="0" w:line="100" w:lineRule="atLeast"/>
        <w:jc w:val="both"/>
      </w:pPr>
    </w:p>
    <w:p w:rsidR="00677273" w:rsidRDefault="00420AC8">
      <w:pPr>
        <w:pStyle w:val="Contedodatabela"/>
        <w:numPr>
          <w:ilvl w:val="0"/>
          <w:numId w:val="2"/>
        </w:numPr>
        <w:spacing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 DE SALVADOR</w:t>
      </w:r>
    </w:p>
    <w:p w:rsidR="00677273" w:rsidRDefault="00677273">
      <w:pPr>
        <w:pStyle w:val="Contedodatabela"/>
        <w:spacing w:after="113"/>
        <w:jc w:val="both"/>
        <w:rPr>
          <w:rFonts w:hint="eastAsia"/>
        </w:rPr>
      </w:pPr>
    </w:p>
    <w:p w:rsidR="00677273" w:rsidRDefault="00420AC8">
      <w:pPr>
        <w:pStyle w:val="Padro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os Procuradores-Gerais discutiram a proposta de Declaração de Salvador a qual foi aclamada e aprovada por todos.</w:t>
      </w:r>
    </w:p>
    <w:p w:rsidR="00677273" w:rsidRDefault="00677273">
      <w:pPr>
        <w:pStyle w:val="Padro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77273" w:rsidRDefault="00420AC8">
      <w:pPr>
        <w:pStyle w:val="Padr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Declaração de Salvador consta do </w:t>
      </w:r>
      <w:r>
        <w:rPr>
          <w:rFonts w:ascii="Arial" w:hAnsi="Arial" w:cs="Arial"/>
          <w:b/>
          <w:sz w:val="24"/>
          <w:szCs w:val="24"/>
        </w:rPr>
        <w:t>Anexo IV</w:t>
      </w:r>
      <w:r>
        <w:rPr>
          <w:rFonts w:ascii="Arial" w:hAnsi="Arial" w:cs="Arial"/>
          <w:sz w:val="24"/>
          <w:szCs w:val="24"/>
        </w:rPr>
        <w:t>.</w:t>
      </w:r>
    </w:p>
    <w:p w:rsidR="00677273" w:rsidRDefault="00677273">
      <w:pPr>
        <w:pStyle w:val="BodyText22"/>
        <w:rPr>
          <w:lang w:val="pt-BR"/>
        </w:rPr>
      </w:pPr>
    </w:p>
    <w:p w:rsidR="00677273" w:rsidRDefault="00420AC8">
      <w:pPr>
        <w:pStyle w:val="BodyText22"/>
        <w:rPr>
          <w:rFonts w:cs="Arial"/>
          <w:bCs/>
          <w:szCs w:val="24"/>
          <w:lang w:val="pt-BR"/>
        </w:rPr>
      </w:pPr>
      <w:r>
        <w:rPr>
          <w:rFonts w:cs="Arial"/>
          <w:bCs/>
          <w:szCs w:val="24"/>
          <w:lang w:val="pt-BR"/>
        </w:rPr>
        <w:t xml:space="preserve">PRÓXIMA </w:t>
      </w:r>
      <w:r>
        <w:rPr>
          <w:rFonts w:cs="Arial"/>
          <w:bCs/>
          <w:szCs w:val="24"/>
          <w:lang w:val="pt-BR"/>
        </w:rPr>
        <w:t>REUNIÃO</w:t>
      </w:r>
    </w:p>
    <w:p w:rsidR="00677273" w:rsidRDefault="00677273">
      <w:pPr>
        <w:pStyle w:val="BodyText22"/>
        <w:rPr>
          <w:lang w:val="pt-BR"/>
        </w:rPr>
      </w:pPr>
    </w:p>
    <w:p w:rsidR="00677273" w:rsidRDefault="00420AC8">
      <w:pPr>
        <w:pStyle w:val="BodyText22"/>
        <w:rPr>
          <w:rFonts w:cs="Arial"/>
          <w:b w:val="0"/>
          <w:szCs w:val="24"/>
          <w:lang w:val="pt-BR"/>
        </w:rPr>
      </w:pPr>
      <w:r>
        <w:rPr>
          <w:rFonts w:cs="Arial"/>
          <w:b w:val="0"/>
          <w:szCs w:val="24"/>
          <w:lang w:val="pt-BR"/>
        </w:rPr>
        <w:t>A próxima Reunião da REMPM será convocada oportunamente pela PPT.</w:t>
      </w:r>
    </w:p>
    <w:p w:rsidR="00677273" w:rsidRDefault="00677273">
      <w:pPr>
        <w:pStyle w:val="BodyText22"/>
        <w:rPr>
          <w:lang w:val="pt-BR"/>
        </w:rPr>
      </w:pPr>
    </w:p>
    <w:p w:rsidR="00677273" w:rsidRDefault="00677273">
      <w:pPr>
        <w:pStyle w:val="Corpodotexto"/>
        <w:tabs>
          <w:tab w:val="left" w:pos="1276"/>
        </w:tabs>
        <w:spacing w:after="0"/>
        <w:jc w:val="both"/>
      </w:pPr>
    </w:p>
    <w:p w:rsidR="00677273" w:rsidRDefault="00677273">
      <w:pPr>
        <w:pStyle w:val="Corpodotexto"/>
        <w:tabs>
          <w:tab w:val="left" w:pos="1276"/>
        </w:tabs>
        <w:spacing w:after="0"/>
        <w:jc w:val="both"/>
        <w:rPr>
          <w:rFonts w:cs="Arial"/>
          <w:b/>
          <w:szCs w:val="24"/>
          <w:lang w:val="pt-BR"/>
        </w:rPr>
      </w:pPr>
    </w:p>
    <w:p w:rsidR="00677273" w:rsidRDefault="00420AC8">
      <w:pPr>
        <w:pStyle w:val="Corpodotexto"/>
        <w:tabs>
          <w:tab w:val="left" w:pos="1276"/>
        </w:tabs>
        <w:spacing w:after="0"/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>ANEXOS</w:t>
      </w:r>
    </w:p>
    <w:p w:rsidR="00677273" w:rsidRDefault="00420AC8">
      <w:pPr>
        <w:pStyle w:val="Cabealho"/>
        <w:tabs>
          <w:tab w:val="left" w:pos="2130"/>
        </w:tabs>
        <w:jc w:val="both"/>
        <w:rPr>
          <w:rFonts w:cs="Arial"/>
          <w:b/>
          <w:szCs w:val="24"/>
          <w:lang w:val="pt-BR"/>
        </w:rPr>
      </w:pPr>
      <w:r>
        <w:rPr>
          <w:rFonts w:cs="Arial"/>
          <w:b/>
          <w:szCs w:val="24"/>
          <w:lang w:val="pt-BR"/>
        </w:rPr>
        <w:tab/>
      </w:r>
    </w:p>
    <w:p w:rsidR="00677273" w:rsidRDefault="00420AC8">
      <w:pPr>
        <w:pStyle w:val="Cabealho"/>
        <w:jc w:val="both"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Os Anexos que fazem parte desta Ata são os seguintes:</w:t>
      </w:r>
    </w:p>
    <w:p w:rsidR="00677273" w:rsidRDefault="00677273">
      <w:pPr>
        <w:pStyle w:val="Cabealho"/>
        <w:jc w:val="both"/>
      </w:pPr>
    </w:p>
    <w:tbl>
      <w:tblPr>
        <w:tblW w:w="0" w:type="auto"/>
        <w:tblInd w:w="-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39"/>
        <w:gridCol w:w="7146"/>
      </w:tblGrid>
      <w:tr w:rsidR="00677273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b/>
                <w:szCs w:val="24"/>
                <w:lang w:val="es-UY" w:eastAsia="es-ES"/>
              </w:rPr>
            </w:pPr>
            <w:r>
              <w:rPr>
                <w:rFonts w:cs="Arial"/>
                <w:b/>
                <w:szCs w:val="24"/>
                <w:lang w:val="es-UY" w:eastAsia="es-ES"/>
              </w:rPr>
              <w:t>Anexo I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szCs w:val="24"/>
                <w:lang w:val="es-UY" w:eastAsia="es-ES"/>
              </w:rPr>
            </w:pPr>
            <w:r>
              <w:rPr>
                <w:rFonts w:cs="Arial"/>
                <w:szCs w:val="24"/>
                <w:lang w:val="es-UY" w:eastAsia="es-ES"/>
              </w:rPr>
              <w:t>Lista de Participantes</w:t>
            </w:r>
          </w:p>
        </w:tc>
      </w:tr>
      <w:tr w:rsidR="00677273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b/>
                <w:szCs w:val="24"/>
                <w:lang w:val="es-UY" w:eastAsia="es-ES"/>
              </w:rPr>
            </w:pPr>
            <w:r>
              <w:rPr>
                <w:rFonts w:cs="Arial"/>
                <w:b/>
                <w:szCs w:val="24"/>
                <w:lang w:val="es-UY" w:eastAsia="es-ES"/>
              </w:rPr>
              <w:t>Anexo II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szCs w:val="24"/>
                <w:lang w:val="es-UY" w:eastAsia="es-ES"/>
              </w:rPr>
            </w:pPr>
            <w:r>
              <w:rPr>
                <w:rFonts w:cs="Arial"/>
                <w:szCs w:val="24"/>
                <w:lang w:val="es-UY" w:eastAsia="es-ES"/>
              </w:rPr>
              <w:t>Agenda</w:t>
            </w:r>
          </w:p>
        </w:tc>
      </w:tr>
      <w:tr w:rsidR="00677273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b/>
                <w:szCs w:val="24"/>
                <w:lang w:val="es-UY" w:eastAsia="es-ES"/>
              </w:rPr>
            </w:pPr>
            <w:r>
              <w:rPr>
                <w:rFonts w:cs="Arial"/>
                <w:b/>
                <w:szCs w:val="24"/>
                <w:lang w:val="es-UY" w:eastAsia="es-ES"/>
              </w:rPr>
              <w:t>Anexo III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Ata N° 4/2019 Reunião Preparatória da XXVI REMPM </w:t>
            </w:r>
          </w:p>
        </w:tc>
      </w:tr>
      <w:tr w:rsidR="00677273"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  <w:rPr>
                <w:rFonts w:cs="Arial"/>
                <w:b/>
                <w:szCs w:val="24"/>
                <w:lang w:val="es-UY" w:eastAsia="es-ES"/>
              </w:rPr>
            </w:pPr>
            <w:r>
              <w:rPr>
                <w:rFonts w:cs="Arial"/>
                <w:b/>
                <w:szCs w:val="24"/>
                <w:lang w:val="es-UY" w:eastAsia="es-ES"/>
              </w:rPr>
              <w:t>Anexo IV</w:t>
            </w:r>
          </w:p>
        </w:tc>
        <w:tc>
          <w:tcPr>
            <w:tcW w:w="7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77273" w:rsidRDefault="00420AC8">
            <w:pPr>
              <w:pStyle w:val="Cabealho"/>
              <w:jc w:val="both"/>
            </w:pPr>
            <w:proofErr w:type="spellStart"/>
            <w:r>
              <w:t>Declaração</w:t>
            </w:r>
            <w:proofErr w:type="spellEnd"/>
            <w:r>
              <w:t xml:space="preserve"> de Salvador</w:t>
            </w:r>
          </w:p>
        </w:tc>
      </w:tr>
    </w:tbl>
    <w:p w:rsidR="00677273" w:rsidRDefault="00677273">
      <w:pPr>
        <w:pStyle w:val="Corpodotexto"/>
        <w:spacing w:after="0"/>
      </w:pPr>
    </w:p>
    <w:p w:rsidR="00677273" w:rsidRDefault="00677273">
      <w:pPr>
        <w:pStyle w:val="Corpodotexto"/>
        <w:spacing w:after="0"/>
      </w:pPr>
    </w:p>
    <w:p w:rsidR="00677273" w:rsidRDefault="00677273">
      <w:pPr>
        <w:pStyle w:val="Corpodotexto"/>
        <w:spacing w:after="0"/>
      </w:pPr>
    </w:p>
    <w:p w:rsidR="00677273" w:rsidRDefault="00677273">
      <w:pPr>
        <w:pStyle w:val="Corpodotexto"/>
        <w:spacing w:after="0"/>
      </w:pPr>
    </w:p>
    <w:p w:rsidR="00677273" w:rsidRDefault="00677273">
      <w:pPr>
        <w:pStyle w:val="Corpodotexto"/>
        <w:spacing w:after="0"/>
      </w:pPr>
    </w:p>
    <w:sectPr w:rsidR="00677273">
      <w:headerReference w:type="default" r:id="rId7"/>
      <w:footerReference w:type="default" r:id="rId8"/>
      <w:pgSz w:w="11906" w:h="16838"/>
      <w:pgMar w:top="2837" w:right="1871" w:bottom="1417" w:left="1809" w:header="141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20AC8">
      <w:pPr>
        <w:spacing w:after="0" w:line="240" w:lineRule="auto"/>
      </w:pPr>
      <w:r>
        <w:separator/>
      </w:r>
    </w:p>
  </w:endnote>
  <w:endnote w:type="continuationSeparator" w:id="0">
    <w:p w:rsidR="00000000" w:rsidRDefault="0042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73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73" w:rsidRDefault="00420AC8">
    <w:pPr>
      <w:pStyle w:val="Rodap"/>
      <w:jc w:val="right"/>
    </w:pPr>
    <w:r>
      <w:fldChar w:fldCharType="begin"/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-125730</wp:posOffset>
          </wp:positionV>
          <wp:extent cx="6839585" cy="71183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1</w:t>
    </w:r>
    <w:r>
      <w:fldChar w:fldCharType="end"/>
    </w:r>
  </w:p>
  <w:p w:rsidR="00677273" w:rsidRDefault="006772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20AC8">
      <w:pPr>
        <w:spacing w:after="0" w:line="240" w:lineRule="auto"/>
      </w:pPr>
      <w:r>
        <w:separator/>
      </w:r>
    </w:p>
  </w:footnote>
  <w:footnote w:type="continuationSeparator" w:id="0">
    <w:p w:rsidR="00000000" w:rsidRDefault="00420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273" w:rsidRDefault="00420AC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6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-230505</wp:posOffset>
          </wp:positionV>
          <wp:extent cx="6840220" cy="80772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7273" w:rsidRDefault="00677273">
    <w:pPr>
      <w:pStyle w:val="Cabealho"/>
    </w:pPr>
  </w:p>
  <w:p w:rsidR="00677273" w:rsidRDefault="00677273">
    <w:pPr>
      <w:pStyle w:val="Cabealho"/>
    </w:pPr>
  </w:p>
  <w:p w:rsidR="00677273" w:rsidRDefault="006772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1252"/>
    <w:multiLevelType w:val="multilevel"/>
    <w:tmpl w:val="1E7A95C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24B1"/>
    <w:multiLevelType w:val="multilevel"/>
    <w:tmpl w:val="BE904B82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6C334FE"/>
    <w:multiLevelType w:val="multilevel"/>
    <w:tmpl w:val="45FC52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73"/>
    <w:rsid w:val="00420AC8"/>
    <w:rsid w:val="006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50B34-A4A2-426E-9466-65131C48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tulo1">
    <w:name w:val="heading 1"/>
    <w:pPr>
      <w:widowControl w:val="0"/>
      <w:numPr>
        <w:numId w:val="1"/>
      </w:numPr>
      <w:suppressAutoHyphens/>
      <w:spacing w:after="160"/>
      <w:outlineLvl w:val="0"/>
    </w:pPr>
    <w:rPr>
      <w:sz w:val="32"/>
      <w:szCs w:val="32"/>
    </w:rPr>
  </w:style>
  <w:style w:type="paragraph" w:styleId="Ttulo2">
    <w:name w:val="heading 2"/>
    <w:pPr>
      <w:keepNext/>
      <w:keepLines/>
      <w:widowControl w:val="0"/>
      <w:suppressAutoHyphens/>
      <w:spacing w:before="200"/>
      <w:ind w:left="432" w:hanging="432"/>
      <w:outlineLvl w:val="1"/>
    </w:pPr>
    <w:rPr>
      <w:rFonts w:ascii="Cambria" w:hAnsi="Cambria" w:cs="font273"/>
      <w:b/>
      <w:bCs/>
      <w:i/>
      <w:iCs/>
      <w:color w:val="4F81BD"/>
      <w:sz w:val="26"/>
      <w:szCs w:val="26"/>
      <w:lang w:eastAsia="ar-SA"/>
    </w:rPr>
  </w:style>
  <w:style w:type="paragraph" w:styleId="Ttulo3">
    <w:name w:val="heading 3"/>
    <w:pPr>
      <w:widowControl w:val="0"/>
      <w:suppressAutoHyphens/>
      <w:spacing w:after="160"/>
      <w:ind w:left="432" w:hanging="432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ncabezadoCar">
    <w:name w:val="Encabezado Car"/>
    <w:basedOn w:val="Fontepargpadro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TextoindependienteCar">
    <w:name w:val="Texto independiente Car"/>
    <w:basedOn w:val="Fontepargpadro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PiedepginaCar">
    <w:name w:val="Pie de página Car"/>
    <w:basedOn w:val="Fontepargpadro"/>
  </w:style>
  <w:style w:type="character" w:customStyle="1" w:styleId="PrrafodelistaCar">
    <w:name w:val="Párrafo de lista Car"/>
    <w:basedOn w:val="Fontepargpadro"/>
    <w:rPr>
      <w:lang w:eastAsia="pt-BR"/>
    </w:rPr>
  </w:style>
  <w:style w:type="character" w:customStyle="1" w:styleId="Ttulo2Car">
    <w:name w:val="Título 2 Car"/>
    <w:basedOn w:val="Fontepargpadro"/>
    <w:rPr>
      <w:rFonts w:ascii="Cambria" w:eastAsia="SimSun" w:hAnsi="Cambria" w:cs="font273"/>
      <w:b/>
      <w:bCs/>
      <w:color w:val="4F81BD"/>
      <w:sz w:val="26"/>
      <w:szCs w:val="26"/>
      <w:lang w:eastAsia="ar-SA"/>
    </w:rPr>
  </w:style>
  <w:style w:type="character" w:customStyle="1" w:styleId="TextodegloboCar">
    <w:name w:val="Texto de globo Car"/>
    <w:basedOn w:val="Fontepargpadro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ontepargpadro"/>
    <w:rPr>
      <w:rFonts w:ascii="Cambria" w:eastAsia="Times New Roman" w:hAnsi="Cambria" w:cs="Times New Roman"/>
      <w:b/>
      <w:bCs/>
      <w:sz w:val="32"/>
      <w:szCs w:val="32"/>
      <w:lang w:val="es-AR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8"/>
      <w:lang w:val="pt-BR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Arial"/>
      <w:b/>
      <w:sz w:val="24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Padro"/>
    <w:pPr>
      <w:spacing w:after="120" w:line="100" w:lineRule="atLeast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a">
    <w:name w:val="List"/>
    <w:basedOn w:val="Corpodotexto"/>
    <w:pPr>
      <w:widowControl w:val="0"/>
    </w:pPr>
    <w:rPr>
      <w:rFonts w:ascii="Times New Roman" w:hAnsi="Times New Roman" w:cs="Mangal"/>
      <w:szCs w:val="24"/>
      <w:lang w:val="fr-FR" w:eastAsia="zh-CN" w:bidi="hi-IN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customStyle="1" w:styleId="Ttulododocumento">
    <w:name w:val="Título do documento"/>
    <w:basedOn w:val="Padro"/>
    <w:pPr>
      <w:keepNext/>
      <w:spacing w:before="240" w:after="60"/>
      <w:jc w:val="center"/>
    </w:pPr>
    <w:rPr>
      <w:rFonts w:ascii="Cambria" w:eastAsia="Times New Roman" w:hAnsi="Cambria" w:cs="Times New Roman"/>
      <w:b/>
      <w:bCs/>
      <w:sz w:val="32"/>
      <w:szCs w:val="32"/>
      <w:lang w:val="es-AR"/>
    </w:rPr>
  </w:style>
  <w:style w:type="paragraph" w:customStyle="1" w:styleId="Ttuloprincipal">
    <w:name w:val="Título principal"/>
    <w:basedOn w:val="Padro"/>
    <w:pPr>
      <w:keepNext/>
      <w:spacing w:before="240" w:after="120"/>
      <w:jc w:val="center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ubttulo">
    <w:name w:val="Subtitle"/>
    <w:basedOn w:val="Ttuloprincipal"/>
    <w:pPr>
      <w:jc w:val="left"/>
    </w:pPr>
    <w:rPr>
      <w:i/>
      <w:iCs/>
    </w:rPr>
  </w:style>
  <w:style w:type="paragraph" w:styleId="PargrafodaLista">
    <w:name w:val="List Paragraph"/>
    <w:basedOn w:val="Padro"/>
    <w:pPr>
      <w:ind w:left="720"/>
      <w:contextualSpacing/>
    </w:pPr>
    <w:rPr>
      <w:lang w:eastAsia="pt-BR"/>
    </w:rPr>
  </w:style>
  <w:style w:type="paragraph" w:styleId="Cabealho">
    <w:name w:val="header"/>
    <w:basedOn w:val="Padro"/>
    <w:pPr>
      <w:suppressLineNumbers/>
      <w:tabs>
        <w:tab w:val="center" w:pos="4819"/>
        <w:tab w:val="right" w:pos="9071"/>
      </w:tabs>
      <w:spacing w:after="0" w:line="100" w:lineRule="atLeast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BodyText22">
    <w:name w:val="Body Text 22"/>
    <w:basedOn w:val="Padro"/>
    <w:pPr>
      <w:spacing w:after="0" w:line="100" w:lineRule="atLeast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Padro"/>
    <w:pPr>
      <w:widowControl w:val="0"/>
      <w:suppressLineNumbers/>
      <w:spacing w:after="0" w:line="100" w:lineRule="atLeast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Citaes">
    <w:name w:val="Citações"/>
    <w:basedOn w:val="Padro"/>
    <w:pPr>
      <w:spacing w:after="283"/>
      <w:ind w:left="567" w:right="567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1817</Words>
  <Characters>9817</Characters>
  <Application>Microsoft Office Word</Application>
  <DocSecurity>4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 Brasil</dc:creator>
  <cp:lastModifiedBy>Mayara Nascimento Santos</cp:lastModifiedBy>
  <cp:revision>2</cp:revision>
  <cp:lastPrinted>2019-08-20T18:47:00Z</cp:lastPrinted>
  <dcterms:created xsi:type="dcterms:W3CDTF">2019-08-30T21:15:00Z</dcterms:created>
  <dcterms:modified xsi:type="dcterms:W3CDTF">2019-08-30T21:15:00Z</dcterms:modified>
  <dc:language>pt</dc:language>
</cp:coreProperties>
</file>