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E3" w:rsidRPr="000E2F02" w:rsidRDefault="00440AE3" w:rsidP="000E2F02">
      <w:pPr>
        <w:tabs>
          <w:tab w:val="left" w:pos="3969"/>
        </w:tabs>
        <w:jc w:val="both"/>
        <w:rPr>
          <w:color w:val="000000"/>
          <w:sz w:val="24"/>
          <w:szCs w:val="24"/>
          <w:u w:val="none"/>
          <w:lang w:val="es-PY"/>
        </w:rPr>
      </w:pPr>
    </w:p>
    <w:p w:rsidR="00440AE3" w:rsidRPr="004845BD" w:rsidRDefault="00440AE3" w:rsidP="00440AE3">
      <w:pPr>
        <w:tabs>
          <w:tab w:val="left" w:pos="3969"/>
        </w:tabs>
        <w:jc w:val="both"/>
        <w:rPr>
          <w:color w:val="000000"/>
          <w:sz w:val="24"/>
          <w:szCs w:val="24"/>
          <w:u w:val="none"/>
          <w:lang w:val="es-PY"/>
        </w:rPr>
      </w:pPr>
    </w:p>
    <w:p w:rsidR="00440AE3" w:rsidRDefault="00440AE3" w:rsidP="00440AE3">
      <w:pPr>
        <w:tabs>
          <w:tab w:val="left" w:pos="3969"/>
        </w:tabs>
        <w:jc w:val="both"/>
        <w:rPr>
          <w:color w:val="000000"/>
          <w:sz w:val="24"/>
          <w:szCs w:val="24"/>
          <w:u w:val="none"/>
          <w:lang w:val="es-PY"/>
        </w:rPr>
      </w:pPr>
    </w:p>
    <w:p w:rsidR="009F180A" w:rsidRPr="004845BD" w:rsidRDefault="009F180A" w:rsidP="00440AE3">
      <w:pPr>
        <w:tabs>
          <w:tab w:val="left" w:pos="3969"/>
        </w:tabs>
        <w:jc w:val="both"/>
        <w:rPr>
          <w:color w:val="000000"/>
          <w:sz w:val="24"/>
          <w:szCs w:val="24"/>
          <w:u w:val="none"/>
          <w:lang w:val="es-PY"/>
        </w:rPr>
      </w:pPr>
    </w:p>
    <w:p w:rsidR="00440AE3" w:rsidRPr="004845BD" w:rsidRDefault="00440AE3" w:rsidP="00440AE3">
      <w:pPr>
        <w:tabs>
          <w:tab w:val="left" w:pos="3969"/>
        </w:tabs>
        <w:jc w:val="both"/>
        <w:rPr>
          <w:color w:val="000000"/>
          <w:sz w:val="24"/>
          <w:szCs w:val="24"/>
          <w:u w:val="none"/>
          <w:lang w:val="es-PY"/>
        </w:rPr>
      </w:pPr>
    </w:p>
    <w:p w:rsidR="00440AE3" w:rsidRPr="004845BD" w:rsidRDefault="00440AE3" w:rsidP="00440AE3">
      <w:pPr>
        <w:jc w:val="both"/>
        <w:rPr>
          <w:color w:val="000000"/>
          <w:sz w:val="24"/>
          <w:u w:val="none"/>
          <w:lang w:val="es-PY"/>
        </w:rPr>
      </w:pPr>
    </w:p>
    <w:p w:rsidR="00440AE3" w:rsidRPr="004845BD" w:rsidRDefault="00440AE3" w:rsidP="00440AE3">
      <w:pPr>
        <w:jc w:val="both"/>
        <w:rPr>
          <w:color w:val="000000"/>
          <w:sz w:val="24"/>
          <w:szCs w:val="24"/>
          <w:u w:val="none"/>
          <w:lang w:val="es-PY"/>
        </w:rPr>
      </w:pPr>
      <w:r w:rsidRPr="004845BD">
        <w:rPr>
          <w:color w:val="000000"/>
          <w:sz w:val="24"/>
          <w:u w:val="none"/>
          <w:lang w:val="es-PY"/>
        </w:rPr>
        <w:t>MERCOSUR/GIN/ACTA Nº 0</w:t>
      </w:r>
      <w:r w:rsidR="00750D60">
        <w:rPr>
          <w:color w:val="000000"/>
          <w:sz w:val="24"/>
          <w:u w:val="none"/>
          <w:lang w:val="es-PY"/>
        </w:rPr>
        <w:t>1</w:t>
      </w:r>
      <w:r w:rsidRPr="004845BD">
        <w:rPr>
          <w:color w:val="000000"/>
          <w:sz w:val="24"/>
          <w:u w:val="none"/>
          <w:lang w:val="es-PY"/>
        </w:rPr>
        <w:t>/1</w:t>
      </w:r>
      <w:r w:rsidR="00750D60">
        <w:rPr>
          <w:color w:val="000000"/>
          <w:sz w:val="24"/>
          <w:u w:val="none"/>
          <w:lang w:val="es-PY"/>
        </w:rPr>
        <w:t>9</w:t>
      </w:r>
    </w:p>
    <w:p w:rsidR="00440AE3" w:rsidRPr="004845BD" w:rsidRDefault="00440AE3" w:rsidP="00440AE3">
      <w:pPr>
        <w:jc w:val="both"/>
        <w:rPr>
          <w:b w:val="0"/>
          <w:color w:val="000000"/>
          <w:sz w:val="24"/>
          <w:szCs w:val="24"/>
          <w:u w:val="none"/>
          <w:lang w:val="es-PY"/>
        </w:rPr>
      </w:pPr>
    </w:p>
    <w:p w:rsidR="00440AE3" w:rsidRPr="004845BD" w:rsidRDefault="00440AE3" w:rsidP="00440AE3">
      <w:pPr>
        <w:jc w:val="both"/>
        <w:rPr>
          <w:b w:val="0"/>
          <w:color w:val="000000"/>
          <w:sz w:val="24"/>
          <w:szCs w:val="24"/>
          <w:u w:val="none"/>
          <w:lang w:val="es-PY"/>
        </w:rPr>
      </w:pPr>
    </w:p>
    <w:p w:rsidR="00440AE3" w:rsidRPr="004845BD" w:rsidRDefault="00440AE3" w:rsidP="00440AE3">
      <w:pPr>
        <w:tabs>
          <w:tab w:val="left" w:pos="1830"/>
        </w:tabs>
        <w:jc w:val="center"/>
        <w:rPr>
          <w:color w:val="000000"/>
          <w:sz w:val="24"/>
          <w:szCs w:val="24"/>
          <w:u w:val="none"/>
          <w:lang w:val="es-PY"/>
        </w:rPr>
      </w:pPr>
      <w:r w:rsidRPr="004845BD">
        <w:rPr>
          <w:color w:val="000000"/>
          <w:sz w:val="24"/>
          <w:u w:val="none"/>
          <w:lang w:val="es-PY"/>
        </w:rPr>
        <w:t>X</w:t>
      </w:r>
      <w:r w:rsidR="00816496">
        <w:rPr>
          <w:color w:val="000000"/>
          <w:sz w:val="24"/>
          <w:u w:val="none"/>
          <w:lang w:val="es-PY"/>
        </w:rPr>
        <w:t>I</w:t>
      </w:r>
      <w:r w:rsidR="00570617">
        <w:rPr>
          <w:color w:val="000000"/>
          <w:sz w:val="24"/>
          <w:u w:val="none"/>
          <w:lang w:val="es-PY"/>
        </w:rPr>
        <w:t>I</w:t>
      </w:r>
      <w:r w:rsidR="00750D60">
        <w:rPr>
          <w:color w:val="000000"/>
          <w:sz w:val="24"/>
          <w:u w:val="none"/>
          <w:lang w:val="es-PY"/>
        </w:rPr>
        <w:t>I</w:t>
      </w:r>
      <w:r w:rsidRPr="004845BD">
        <w:rPr>
          <w:color w:val="000000"/>
          <w:sz w:val="24"/>
          <w:u w:val="none"/>
          <w:lang w:val="es-PY"/>
        </w:rPr>
        <w:t xml:space="preserve"> REUNIÓN DEL GRUPO DE INCORPORACIÓN DE LA NORMATIVA MERCOSUR</w:t>
      </w:r>
    </w:p>
    <w:p w:rsidR="00440AE3" w:rsidRPr="004845BD" w:rsidRDefault="00440AE3" w:rsidP="00440AE3">
      <w:pPr>
        <w:jc w:val="both"/>
        <w:rPr>
          <w:b w:val="0"/>
          <w:color w:val="000000"/>
          <w:sz w:val="24"/>
          <w:szCs w:val="24"/>
          <w:u w:val="none"/>
          <w:lang w:val="es-PY"/>
        </w:rPr>
      </w:pPr>
    </w:p>
    <w:p w:rsidR="00816496" w:rsidRDefault="00816496" w:rsidP="00440AE3">
      <w:pPr>
        <w:jc w:val="both"/>
        <w:rPr>
          <w:b w:val="0"/>
          <w:color w:val="000000"/>
          <w:sz w:val="24"/>
          <w:u w:val="none"/>
          <w:lang w:val="es-PY"/>
        </w:rPr>
      </w:pPr>
    </w:p>
    <w:p w:rsidR="00750D60" w:rsidRDefault="00C42B51" w:rsidP="00C42B51">
      <w:pPr>
        <w:jc w:val="both"/>
        <w:rPr>
          <w:b w:val="0"/>
          <w:bCs w:val="0"/>
          <w:color w:val="auto"/>
          <w:sz w:val="24"/>
          <w:szCs w:val="24"/>
          <w:u w:val="none"/>
          <w:lang w:val="es-UY" w:eastAsia="es-AR"/>
        </w:rPr>
      </w:pPr>
      <w:r w:rsidRPr="00C42B51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Se realizó en la ciudad de </w:t>
      </w:r>
      <w:r w:rsidR="00750D60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>Buenos Aires</w:t>
      </w:r>
      <w:r w:rsidRPr="00C42B51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, República </w:t>
      </w:r>
      <w:r w:rsidR="00750D60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>Argentina</w:t>
      </w:r>
      <w:r w:rsidRPr="00C42B51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, </w:t>
      </w:r>
      <w:r w:rsidR="004F316E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los </w:t>
      </w:r>
      <w:r w:rsidRPr="004F316E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>día</w:t>
      </w:r>
      <w:r w:rsidR="004F316E" w:rsidRPr="004F316E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>s</w:t>
      </w:r>
      <w:r w:rsidRPr="004F316E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 </w:t>
      </w:r>
      <w:r w:rsidR="00750D60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>6 y 7</w:t>
      </w:r>
      <w:r w:rsidRPr="00C42B51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 de </w:t>
      </w:r>
      <w:r w:rsidR="00750D60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>junio</w:t>
      </w:r>
      <w:r w:rsidRPr="00C42B51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 de 201</w:t>
      </w:r>
      <w:r w:rsidR="00750D60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>9</w:t>
      </w:r>
      <w:r w:rsidRPr="00C42B51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, </w:t>
      </w:r>
      <w:r w:rsidR="00864995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la </w:t>
      </w:r>
      <w:r>
        <w:rPr>
          <w:rFonts w:eastAsia="Arial"/>
          <w:b w:val="0"/>
          <w:bCs w:val="0"/>
          <w:color w:val="auto"/>
          <w:sz w:val="24"/>
          <w:szCs w:val="20"/>
          <w:u w:val="none"/>
          <w:lang w:val="es-UY" w:eastAsia="zh-CN"/>
        </w:rPr>
        <w:t>XI</w:t>
      </w:r>
      <w:r w:rsidR="00750D60">
        <w:rPr>
          <w:rFonts w:eastAsia="Arial"/>
          <w:b w:val="0"/>
          <w:bCs w:val="0"/>
          <w:color w:val="auto"/>
          <w:sz w:val="24"/>
          <w:szCs w:val="20"/>
          <w:u w:val="none"/>
          <w:lang w:val="es-UY" w:eastAsia="zh-CN"/>
        </w:rPr>
        <w:t>I</w:t>
      </w:r>
      <w:r>
        <w:rPr>
          <w:rFonts w:eastAsia="Arial"/>
          <w:b w:val="0"/>
          <w:bCs w:val="0"/>
          <w:color w:val="auto"/>
          <w:sz w:val="24"/>
          <w:szCs w:val="20"/>
          <w:u w:val="none"/>
          <w:lang w:val="es-UY" w:eastAsia="zh-CN"/>
        </w:rPr>
        <w:t>I</w:t>
      </w:r>
      <w:r w:rsidRPr="00816496">
        <w:rPr>
          <w:b w:val="0"/>
          <w:bCs w:val="0"/>
          <w:color w:val="000000"/>
          <w:sz w:val="24"/>
          <w:szCs w:val="24"/>
          <w:u w:val="none"/>
          <w:lang w:val="es-UY" w:eastAsia="zh-CN"/>
        </w:rPr>
        <w:t xml:space="preserve"> Reunión </w:t>
      </w:r>
      <w:r w:rsidR="00BD1257">
        <w:rPr>
          <w:b w:val="0"/>
          <w:bCs w:val="0"/>
          <w:color w:val="000000"/>
          <w:sz w:val="24"/>
          <w:szCs w:val="24"/>
          <w:u w:val="none"/>
          <w:lang w:val="es-UY" w:eastAsia="zh-CN"/>
        </w:rPr>
        <w:t xml:space="preserve">Ordinaria </w:t>
      </w:r>
      <w:r w:rsidRPr="00816496">
        <w:rPr>
          <w:b w:val="0"/>
          <w:bCs w:val="0"/>
          <w:color w:val="000000"/>
          <w:sz w:val="24"/>
          <w:szCs w:val="24"/>
          <w:u w:val="none"/>
          <w:lang w:val="es-UY" w:eastAsia="zh-CN"/>
        </w:rPr>
        <w:t xml:space="preserve">del </w:t>
      </w:r>
      <w:r w:rsidRPr="00816496">
        <w:rPr>
          <w:b w:val="0"/>
          <w:color w:val="000000"/>
          <w:sz w:val="24"/>
          <w:szCs w:val="20"/>
          <w:u w:val="none"/>
          <w:lang w:val="es-UY" w:eastAsia="es-UY"/>
        </w:rPr>
        <w:t>Grup</w:t>
      </w:r>
      <w:r>
        <w:rPr>
          <w:b w:val="0"/>
          <w:color w:val="000000"/>
          <w:sz w:val="24"/>
          <w:szCs w:val="20"/>
          <w:u w:val="none"/>
          <w:lang w:val="es-UY" w:eastAsia="es-UY"/>
        </w:rPr>
        <w:t xml:space="preserve">o de Incorporación de la Normativa MERCOSUR </w:t>
      </w:r>
      <w:r w:rsidRPr="00816496">
        <w:rPr>
          <w:rFonts w:eastAsia="Arial"/>
          <w:b w:val="0"/>
          <w:bCs w:val="0"/>
          <w:color w:val="auto"/>
          <w:sz w:val="24"/>
          <w:szCs w:val="20"/>
          <w:u w:val="none"/>
          <w:lang w:val="es-UY" w:eastAsia="zh-CN"/>
        </w:rPr>
        <w:t>(G</w:t>
      </w:r>
      <w:r>
        <w:rPr>
          <w:rFonts w:eastAsia="Arial"/>
          <w:b w:val="0"/>
          <w:bCs w:val="0"/>
          <w:color w:val="auto"/>
          <w:sz w:val="24"/>
          <w:szCs w:val="20"/>
          <w:u w:val="none"/>
          <w:lang w:val="es-UY" w:eastAsia="zh-CN"/>
        </w:rPr>
        <w:t>IN</w:t>
      </w:r>
      <w:r w:rsidRPr="00816496">
        <w:rPr>
          <w:rFonts w:eastAsia="Arial"/>
          <w:b w:val="0"/>
          <w:bCs w:val="0"/>
          <w:color w:val="auto"/>
          <w:sz w:val="24"/>
          <w:szCs w:val="20"/>
          <w:u w:val="none"/>
          <w:lang w:val="es-UY" w:eastAsia="zh-CN"/>
        </w:rPr>
        <w:t xml:space="preserve">) </w:t>
      </w:r>
      <w:r w:rsidRPr="00C42B51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con la presencia de las Delegaciones de </w:t>
      </w:r>
      <w:r w:rsidR="00750D60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>Argentina, Brasil y</w:t>
      </w:r>
      <w:r w:rsidRPr="00C42B51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 xml:space="preserve"> Paraguay</w:t>
      </w:r>
      <w:r w:rsidR="00F825E6">
        <w:rPr>
          <w:b w:val="0"/>
          <w:bCs w:val="0"/>
          <w:color w:val="auto"/>
          <w:sz w:val="24"/>
          <w:szCs w:val="24"/>
          <w:u w:val="none"/>
          <w:lang w:val="es-UY" w:eastAsia="es-AR"/>
        </w:rPr>
        <w:t>.</w:t>
      </w:r>
    </w:p>
    <w:p w:rsidR="00F825E6" w:rsidRDefault="00F825E6" w:rsidP="00C42B51">
      <w:pPr>
        <w:jc w:val="both"/>
        <w:rPr>
          <w:b w:val="0"/>
          <w:bCs w:val="0"/>
          <w:color w:val="auto"/>
          <w:sz w:val="24"/>
          <w:szCs w:val="24"/>
          <w:u w:val="none"/>
          <w:lang w:val="es-UY" w:eastAsia="es-AR"/>
        </w:rPr>
      </w:pPr>
    </w:p>
    <w:p w:rsidR="00F825E6" w:rsidRPr="00AC150B" w:rsidRDefault="00F825E6" w:rsidP="00F825E6">
      <w:pPr>
        <w:pStyle w:val="Sangradetextonormal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C150B">
        <w:rPr>
          <w:rFonts w:ascii="Arial" w:hAnsi="Arial" w:cs="Arial"/>
          <w:color w:val="000000"/>
          <w:sz w:val="24"/>
          <w:szCs w:val="24"/>
        </w:rPr>
        <w:t xml:space="preserve">Teniendo en cuenta que la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C150B">
        <w:rPr>
          <w:rFonts w:ascii="Arial" w:hAnsi="Arial" w:cs="Arial"/>
          <w:color w:val="000000"/>
          <w:sz w:val="24"/>
          <w:szCs w:val="24"/>
        </w:rPr>
        <w:t>elegaci</w:t>
      </w:r>
      <w:r>
        <w:rPr>
          <w:rFonts w:ascii="Arial" w:hAnsi="Arial" w:cs="Arial"/>
          <w:color w:val="000000"/>
          <w:sz w:val="24"/>
          <w:szCs w:val="24"/>
        </w:rPr>
        <w:t>ón</w:t>
      </w:r>
      <w:r w:rsidRPr="00AC150B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Uruguay</w:t>
      </w:r>
      <w:r w:rsidRPr="00AC150B">
        <w:rPr>
          <w:rFonts w:ascii="Arial" w:hAnsi="Arial" w:cs="Arial"/>
          <w:color w:val="000000"/>
          <w:sz w:val="24"/>
          <w:szCs w:val="24"/>
        </w:rPr>
        <w:t xml:space="preserve"> no particip</w:t>
      </w:r>
      <w:r>
        <w:rPr>
          <w:rFonts w:ascii="Arial" w:hAnsi="Arial" w:cs="Arial"/>
          <w:color w:val="000000"/>
          <w:sz w:val="24"/>
          <w:szCs w:val="24"/>
        </w:rPr>
        <w:t>ó</w:t>
      </w:r>
      <w:r w:rsidRPr="00AC150B">
        <w:rPr>
          <w:rFonts w:ascii="Arial" w:hAnsi="Arial" w:cs="Arial"/>
          <w:color w:val="000000"/>
          <w:sz w:val="24"/>
          <w:szCs w:val="24"/>
        </w:rPr>
        <w:t xml:space="preserve"> de la presente reunión, el Acta queda sujeta a lo dispuesto en la Decisión CMC N° 44/15.</w:t>
      </w:r>
    </w:p>
    <w:p w:rsidR="00750D60" w:rsidRPr="00F825E6" w:rsidRDefault="00750D60" w:rsidP="00C42B51">
      <w:pPr>
        <w:jc w:val="both"/>
        <w:rPr>
          <w:b w:val="0"/>
          <w:bCs w:val="0"/>
          <w:color w:val="auto"/>
          <w:sz w:val="24"/>
          <w:szCs w:val="24"/>
          <w:u w:val="none"/>
          <w:lang w:eastAsia="es-AR"/>
        </w:rPr>
      </w:pPr>
    </w:p>
    <w:p w:rsidR="00440AE3" w:rsidRPr="004845BD" w:rsidRDefault="00440AE3" w:rsidP="00440AE3">
      <w:pPr>
        <w:jc w:val="both"/>
        <w:rPr>
          <w:b w:val="0"/>
          <w:color w:val="000000"/>
          <w:sz w:val="24"/>
          <w:szCs w:val="24"/>
          <w:u w:val="none"/>
          <w:lang w:val="es-PY"/>
        </w:rPr>
      </w:pPr>
      <w:r w:rsidRPr="004845BD">
        <w:rPr>
          <w:b w:val="0"/>
          <w:color w:val="000000"/>
          <w:sz w:val="24"/>
          <w:u w:val="none"/>
          <w:lang w:val="es-PY"/>
        </w:rPr>
        <w:t>La PPT</w:t>
      </w:r>
      <w:r w:rsidR="00F825E6">
        <w:rPr>
          <w:b w:val="0"/>
          <w:color w:val="000000"/>
          <w:sz w:val="24"/>
          <w:u w:val="none"/>
          <w:lang w:val="es-PY"/>
        </w:rPr>
        <w:t>A</w:t>
      </w:r>
      <w:r w:rsidRPr="004845BD">
        <w:rPr>
          <w:b w:val="0"/>
          <w:color w:val="000000"/>
          <w:sz w:val="24"/>
          <w:u w:val="none"/>
          <w:lang w:val="es-PY"/>
        </w:rPr>
        <w:t xml:space="preserve"> dio las palabras de bienvenida a las delegaciones y sometió a consideración la agenda de la reunión, que fue aprobada.</w:t>
      </w:r>
    </w:p>
    <w:p w:rsidR="00440AE3" w:rsidRPr="004845BD" w:rsidRDefault="00440AE3" w:rsidP="00440AE3">
      <w:pPr>
        <w:jc w:val="both"/>
        <w:rPr>
          <w:b w:val="0"/>
          <w:color w:val="000000"/>
          <w:sz w:val="24"/>
          <w:u w:val="none"/>
          <w:lang w:val="es-PY"/>
        </w:rPr>
      </w:pPr>
    </w:p>
    <w:p w:rsidR="00440AE3" w:rsidRPr="004845BD" w:rsidRDefault="00440AE3" w:rsidP="00440AE3">
      <w:pPr>
        <w:jc w:val="both"/>
        <w:rPr>
          <w:b w:val="0"/>
          <w:color w:val="000000"/>
          <w:sz w:val="24"/>
          <w:u w:val="none"/>
          <w:lang w:val="es-PY"/>
        </w:rPr>
      </w:pPr>
      <w:r w:rsidRPr="004845BD">
        <w:rPr>
          <w:b w:val="0"/>
          <w:color w:val="000000"/>
          <w:sz w:val="24"/>
          <w:u w:val="none"/>
          <w:lang w:val="es-PY"/>
        </w:rPr>
        <w:t xml:space="preserve">La Lista de Participantes, la Agenda de la </w:t>
      </w:r>
      <w:r w:rsidR="005B1FAE">
        <w:rPr>
          <w:b w:val="0"/>
          <w:color w:val="000000"/>
          <w:sz w:val="24"/>
          <w:u w:val="none"/>
          <w:lang w:val="es-PY"/>
        </w:rPr>
        <w:t>r</w:t>
      </w:r>
      <w:r w:rsidRPr="004845BD">
        <w:rPr>
          <w:b w:val="0"/>
          <w:color w:val="000000"/>
          <w:sz w:val="24"/>
          <w:u w:val="none"/>
          <w:lang w:val="es-PY"/>
        </w:rPr>
        <w:t xml:space="preserve">eunión y el Resumen del Acta constan como </w:t>
      </w:r>
      <w:r w:rsidRPr="004845BD">
        <w:rPr>
          <w:color w:val="000000"/>
          <w:sz w:val="24"/>
          <w:u w:val="none"/>
          <w:lang w:val="es-PY"/>
        </w:rPr>
        <w:t xml:space="preserve">Anexos I, II </w:t>
      </w:r>
      <w:r w:rsidRPr="004845BD">
        <w:rPr>
          <w:b w:val="0"/>
          <w:color w:val="000000"/>
          <w:sz w:val="24"/>
          <w:u w:val="none"/>
          <w:lang w:val="es-PY"/>
        </w:rPr>
        <w:t>y</w:t>
      </w:r>
      <w:r w:rsidRPr="004845BD">
        <w:rPr>
          <w:color w:val="000000"/>
          <w:sz w:val="24"/>
          <w:u w:val="none"/>
          <w:lang w:val="es-PY"/>
        </w:rPr>
        <w:t xml:space="preserve"> III</w:t>
      </w:r>
      <w:r w:rsidRPr="004845BD">
        <w:rPr>
          <w:b w:val="0"/>
          <w:color w:val="000000"/>
          <w:sz w:val="24"/>
          <w:u w:val="none"/>
          <w:lang w:val="es-PY"/>
        </w:rPr>
        <w:t>, respectivamente.</w:t>
      </w:r>
    </w:p>
    <w:p w:rsidR="00440AE3" w:rsidRPr="004845BD" w:rsidRDefault="00440AE3" w:rsidP="00440AE3">
      <w:pPr>
        <w:jc w:val="both"/>
        <w:rPr>
          <w:b w:val="0"/>
          <w:color w:val="000000"/>
          <w:sz w:val="24"/>
          <w:u w:val="none"/>
          <w:lang w:val="es-PY"/>
        </w:rPr>
      </w:pPr>
    </w:p>
    <w:p w:rsidR="00440AE3" w:rsidRPr="004845BD" w:rsidRDefault="00440AE3" w:rsidP="00440AE3">
      <w:pPr>
        <w:jc w:val="both"/>
        <w:rPr>
          <w:b w:val="0"/>
          <w:color w:val="000000"/>
          <w:sz w:val="24"/>
          <w:szCs w:val="24"/>
          <w:u w:val="none"/>
          <w:lang w:val="es-PY"/>
        </w:rPr>
      </w:pPr>
      <w:r w:rsidRPr="004845BD">
        <w:rPr>
          <w:b w:val="0"/>
          <w:color w:val="000000"/>
          <w:sz w:val="24"/>
          <w:u w:val="none"/>
          <w:lang w:val="es-PY"/>
        </w:rPr>
        <w:t>En la reunión fueron tratados los siguientes temas:</w:t>
      </w:r>
    </w:p>
    <w:p w:rsidR="00440AE3" w:rsidRDefault="00440AE3" w:rsidP="00440AE3">
      <w:pPr>
        <w:jc w:val="both"/>
        <w:rPr>
          <w:b w:val="0"/>
          <w:color w:val="000000"/>
          <w:sz w:val="24"/>
          <w:szCs w:val="24"/>
          <w:u w:val="none"/>
          <w:lang w:val="es-PY"/>
        </w:rPr>
      </w:pPr>
    </w:p>
    <w:p w:rsidR="005810E5" w:rsidRPr="004845BD" w:rsidRDefault="005810E5" w:rsidP="00440AE3">
      <w:pPr>
        <w:jc w:val="both"/>
        <w:rPr>
          <w:b w:val="0"/>
          <w:color w:val="000000"/>
          <w:sz w:val="24"/>
          <w:szCs w:val="24"/>
          <w:u w:val="none"/>
          <w:lang w:val="es-PY"/>
        </w:rPr>
      </w:pPr>
    </w:p>
    <w:p w:rsidR="00440AE3" w:rsidRPr="004845BD" w:rsidRDefault="00440AE3" w:rsidP="00440AE3">
      <w:pPr>
        <w:numPr>
          <w:ilvl w:val="0"/>
          <w:numId w:val="1"/>
        </w:numPr>
        <w:tabs>
          <w:tab w:val="clear" w:pos="720"/>
          <w:tab w:val="num" w:pos="360"/>
          <w:tab w:val="num" w:pos="1637"/>
        </w:tabs>
        <w:ind w:left="1637" w:hanging="1637"/>
        <w:jc w:val="both"/>
        <w:rPr>
          <w:color w:val="000000"/>
          <w:sz w:val="24"/>
          <w:szCs w:val="24"/>
          <w:u w:val="none"/>
          <w:lang w:val="es-PY"/>
        </w:rPr>
      </w:pPr>
      <w:r w:rsidRPr="004845BD">
        <w:rPr>
          <w:color w:val="000000"/>
          <w:sz w:val="24"/>
          <w:u w:val="none"/>
          <w:lang w:val="es-PY"/>
        </w:rPr>
        <w:t>ESTADO DE INCORPORA</w:t>
      </w:r>
      <w:r w:rsidR="00807D6C" w:rsidRPr="004845BD">
        <w:rPr>
          <w:color w:val="000000"/>
          <w:sz w:val="24"/>
          <w:u w:val="none"/>
          <w:lang w:val="es-PY"/>
        </w:rPr>
        <w:t>CIÓN DE LAS NORMAS MERCOSUR</w:t>
      </w:r>
    </w:p>
    <w:p w:rsidR="00440AE3" w:rsidRPr="004845BD" w:rsidRDefault="00440AE3" w:rsidP="00440AE3">
      <w:pPr>
        <w:tabs>
          <w:tab w:val="left" w:pos="984"/>
        </w:tabs>
        <w:jc w:val="both"/>
        <w:rPr>
          <w:b w:val="0"/>
          <w:color w:val="000000"/>
          <w:sz w:val="24"/>
          <w:szCs w:val="24"/>
          <w:u w:val="none"/>
          <w:lang w:val="es-PY"/>
        </w:rPr>
      </w:pPr>
    </w:p>
    <w:p w:rsidR="00440AE3" w:rsidRPr="004845BD" w:rsidRDefault="00440AE3" w:rsidP="00440AE3">
      <w:pPr>
        <w:numPr>
          <w:ilvl w:val="1"/>
          <w:numId w:val="2"/>
        </w:numPr>
        <w:tabs>
          <w:tab w:val="clear" w:pos="360"/>
          <w:tab w:val="num" w:pos="720"/>
        </w:tabs>
        <w:ind w:left="720" w:hanging="540"/>
        <w:jc w:val="both"/>
        <w:rPr>
          <w:color w:val="000000"/>
          <w:sz w:val="24"/>
          <w:szCs w:val="24"/>
          <w:u w:val="none"/>
          <w:lang w:val="es-PY"/>
        </w:rPr>
      </w:pPr>
      <w:r w:rsidRPr="004845BD">
        <w:rPr>
          <w:color w:val="000000"/>
          <w:sz w:val="24"/>
          <w:u w:val="none"/>
          <w:lang w:val="es-PY"/>
        </w:rPr>
        <w:t xml:space="preserve">Normas que </w:t>
      </w:r>
      <w:r w:rsidR="00807D6C" w:rsidRPr="004845BD">
        <w:rPr>
          <w:color w:val="000000"/>
          <w:sz w:val="24"/>
          <w:u w:val="none"/>
          <w:lang w:val="es-PY"/>
        </w:rPr>
        <w:t xml:space="preserve">restan ser incorporadas por un </w:t>
      </w:r>
      <w:r w:rsidR="004E6DEE">
        <w:rPr>
          <w:color w:val="000000"/>
          <w:sz w:val="24"/>
          <w:u w:val="none"/>
          <w:lang w:val="es-PY"/>
        </w:rPr>
        <w:t>solo</w:t>
      </w:r>
      <w:r w:rsidR="00807D6C" w:rsidRPr="004845BD">
        <w:rPr>
          <w:color w:val="000000"/>
          <w:sz w:val="24"/>
          <w:u w:val="none"/>
          <w:lang w:val="es-PY"/>
        </w:rPr>
        <w:t xml:space="preserve"> Estado Parte para su entrada en vigor</w:t>
      </w:r>
    </w:p>
    <w:p w:rsidR="00807D6C" w:rsidRPr="004845BD" w:rsidRDefault="00807D6C" w:rsidP="00807D6C">
      <w:pPr>
        <w:jc w:val="both"/>
        <w:rPr>
          <w:b w:val="0"/>
          <w:color w:val="000000"/>
          <w:sz w:val="24"/>
          <w:u w:val="none"/>
          <w:lang w:val="es-PY"/>
        </w:rPr>
      </w:pPr>
    </w:p>
    <w:p w:rsidR="0030450C" w:rsidRPr="00CF0A70" w:rsidRDefault="00512076" w:rsidP="00807D6C">
      <w:pPr>
        <w:jc w:val="both"/>
        <w:rPr>
          <w:b w:val="0"/>
          <w:color w:val="auto"/>
          <w:sz w:val="24"/>
          <w:u w:val="none"/>
          <w:lang w:val="es-PY"/>
        </w:rPr>
      </w:pPr>
      <w:r w:rsidRPr="00CF0A70">
        <w:rPr>
          <w:b w:val="0"/>
          <w:color w:val="auto"/>
          <w:sz w:val="24"/>
          <w:u w:val="none"/>
          <w:lang w:val="es-PY"/>
        </w:rPr>
        <w:t>El GIN analizó la actualización realizada por la Secretaría del MERCOSUR (SM) de la lista de normas que necesitan ser incorporadas por un solo Estado Parte para su entrada en vigor.</w:t>
      </w:r>
    </w:p>
    <w:p w:rsidR="00AA6C6D" w:rsidRPr="00CF0A70" w:rsidRDefault="00AA6C6D" w:rsidP="00807D6C">
      <w:pPr>
        <w:jc w:val="both"/>
        <w:rPr>
          <w:b w:val="0"/>
          <w:color w:val="auto"/>
          <w:sz w:val="24"/>
          <w:u w:val="none"/>
          <w:lang w:val="es-PY"/>
        </w:rPr>
      </w:pPr>
    </w:p>
    <w:p w:rsidR="00CF0A70" w:rsidRPr="00CF0A70" w:rsidRDefault="00CF0A70" w:rsidP="00807D6C">
      <w:pPr>
        <w:jc w:val="both"/>
        <w:rPr>
          <w:b w:val="0"/>
          <w:color w:val="auto"/>
          <w:sz w:val="24"/>
          <w:u w:val="none"/>
          <w:lang w:val="es-PY"/>
        </w:rPr>
      </w:pPr>
      <w:r w:rsidRPr="00CF0A70">
        <w:rPr>
          <w:b w:val="0"/>
          <w:color w:val="auto"/>
          <w:sz w:val="24"/>
          <w:u w:val="none"/>
          <w:lang w:val="es-PY"/>
        </w:rPr>
        <w:t>Las delegaciones realizaron ajustes al documento y solicitaron a la SM mantener actualizada la lista</w:t>
      </w:r>
      <w:r w:rsidR="007B050A">
        <w:rPr>
          <w:b w:val="0"/>
          <w:color w:val="auto"/>
          <w:sz w:val="24"/>
          <w:u w:val="none"/>
          <w:lang w:val="es-PY"/>
        </w:rPr>
        <w:t>,</w:t>
      </w:r>
      <w:r w:rsidRPr="00CF0A70">
        <w:rPr>
          <w:b w:val="0"/>
          <w:color w:val="auto"/>
          <w:sz w:val="24"/>
          <w:u w:val="none"/>
          <w:lang w:val="es-PY"/>
        </w:rPr>
        <w:t xml:space="preserve"> </w:t>
      </w:r>
      <w:r w:rsidR="007B050A">
        <w:rPr>
          <w:b w:val="0"/>
          <w:color w:val="auto"/>
          <w:sz w:val="24"/>
          <w:u w:val="none"/>
          <w:lang w:val="es-PY"/>
        </w:rPr>
        <w:t xml:space="preserve">la cual deberá estar basada </w:t>
      </w:r>
      <w:r w:rsidRPr="00CF0A70">
        <w:rPr>
          <w:b w:val="0"/>
          <w:color w:val="auto"/>
          <w:sz w:val="24"/>
          <w:u w:val="none"/>
          <w:lang w:val="es-PY"/>
        </w:rPr>
        <w:t xml:space="preserve">en las comunicaciones enviadas por los Estados Partes </w:t>
      </w:r>
      <w:r w:rsidRPr="00CF0A70">
        <w:rPr>
          <w:color w:val="auto"/>
          <w:sz w:val="24"/>
          <w:u w:val="none"/>
          <w:lang w:val="es-PY"/>
        </w:rPr>
        <w:t xml:space="preserve">(Anexo IV - MERCOSUR/IV GIN/DI N° 01/14 </w:t>
      </w:r>
      <w:r w:rsidRPr="00F825E6">
        <w:rPr>
          <w:color w:val="auto"/>
          <w:sz w:val="24"/>
          <w:u w:val="none"/>
          <w:lang w:val="es-PY"/>
        </w:rPr>
        <w:t>Rev.</w:t>
      </w:r>
      <w:r w:rsidR="00F825E6">
        <w:rPr>
          <w:color w:val="auto"/>
          <w:sz w:val="24"/>
          <w:u w:val="none"/>
          <w:lang w:val="es-PY"/>
        </w:rPr>
        <w:t xml:space="preserve"> 8</w:t>
      </w:r>
      <w:r w:rsidRPr="00CF0A70">
        <w:rPr>
          <w:color w:val="auto"/>
          <w:sz w:val="24"/>
          <w:u w:val="none"/>
          <w:lang w:val="es-PY"/>
        </w:rPr>
        <w:t>)</w:t>
      </w:r>
      <w:r w:rsidRPr="00CF0A70">
        <w:rPr>
          <w:b w:val="0"/>
          <w:color w:val="auto"/>
          <w:sz w:val="24"/>
          <w:u w:val="none"/>
          <w:lang w:val="es-PY"/>
        </w:rPr>
        <w:t>.</w:t>
      </w:r>
    </w:p>
    <w:p w:rsidR="00512076" w:rsidRPr="00CF0A70" w:rsidRDefault="00512076" w:rsidP="00807D6C">
      <w:pPr>
        <w:jc w:val="both"/>
        <w:rPr>
          <w:b w:val="0"/>
          <w:color w:val="auto"/>
          <w:sz w:val="24"/>
          <w:u w:val="none"/>
          <w:lang w:val="es-PY"/>
        </w:rPr>
      </w:pPr>
    </w:p>
    <w:p w:rsidR="00440AE3" w:rsidRPr="00CF0A70" w:rsidRDefault="00440AE3" w:rsidP="00440AE3">
      <w:pPr>
        <w:numPr>
          <w:ilvl w:val="1"/>
          <w:numId w:val="2"/>
        </w:numPr>
        <w:tabs>
          <w:tab w:val="clear" w:pos="360"/>
          <w:tab w:val="num" w:pos="720"/>
        </w:tabs>
        <w:ind w:left="720" w:hanging="540"/>
        <w:jc w:val="both"/>
        <w:rPr>
          <w:color w:val="auto"/>
          <w:sz w:val="24"/>
          <w:szCs w:val="24"/>
          <w:u w:val="none"/>
          <w:lang w:val="es-PY"/>
        </w:rPr>
      </w:pPr>
      <w:r w:rsidRPr="00CF0A70">
        <w:rPr>
          <w:color w:val="auto"/>
          <w:sz w:val="24"/>
          <w:u w:val="none"/>
          <w:lang w:val="es-PY"/>
        </w:rPr>
        <w:t xml:space="preserve">Normas </w:t>
      </w:r>
      <w:r w:rsidR="00807D6C" w:rsidRPr="00CF0A70">
        <w:rPr>
          <w:color w:val="auto"/>
          <w:sz w:val="24"/>
          <w:u w:val="none"/>
          <w:lang w:val="es-PY"/>
        </w:rPr>
        <w:t>con plazo de incorporación vencido</w:t>
      </w:r>
    </w:p>
    <w:p w:rsidR="00807D6C" w:rsidRPr="00CF0A70" w:rsidRDefault="00807D6C" w:rsidP="00807D6C">
      <w:pPr>
        <w:jc w:val="both"/>
        <w:rPr>
          <w:b w:val="0"/>
          <w:color w:val="auto"/>
          <w:sz w:val="24"/>
          <w:u w:val="none"/>
          <w:lang w:val="es-PY"/>
        </w:rPr>
      </w:pPr>
    </w:p>
    <w:p w:rsidR="00CF0A70" w:rsidRPr="00CF0A70" w:rsidRDefault="00CF0A70" w:rsidP="00CF0A70">
      <w:pPr>
        <w:jc w:val="both"/>
        <w:rPr>
          <w:b w:val="0"/>
          <w:color w:val="auto"/>
          <w:sz w:val="24"/>
          <w:u w:val="none"/>
          <w:lang w:val="es-PY"/>
        </w:rPr>
      </w:pPr>
      <w:r w:rsidRPr="00CF0A70">
        <w:rPr>
          <w:b w:val="0"/>
          <w:color w:val="auto"/>
          <w:sz w:val="24"/>
          <w:u w:val="none"/>
          <w:lang w:val="es-PY"/>
        </w:rPr>
        <w:t xml:space="preserve">El GIN recibió la lista actualizada de normas con plazos de incorporación vencidos elaborada por la SM </w:t>
      </w:r>
      <w:r w:rsidRPr="00CF0A70">
        <w:rPr>
          <w:color w:val="auto"/>
          <w:sz w:val="24"/>
          <w:u w:val="none"/>
          <w:lang w:val="es-PY"/>
        </w:rPr>
        <w:t xml:space="preserve">(Anexo V – RESERVADO – MERCOSUR/IV GIN/DT N° 02/14 </w:t>
      </w:r>
      <w:r w:rsidRPr="00070914">
        <w:rPr>
          <w:color w:val="auto"/>
          <w:sz w:val="24"/>
          <w:u w:val="none"/>
          <w:lang w:val="es-PY"/>
        </w:rPr>
        <w:t>Rev</w:t>
      </w:r>
      <w:r w:rsidR="00070914" w:rsidRPr="00070914">
        <w:rPr>
          <w:color w:val="auto"/>
          <w:sz w:val="24"/>
          <w:u w:val="none"/>
          <w:lang w:val="es-PY"/>
        </w:rPr>
        <w:t>.</w:t>
      </w:r>
      <w:r w:rsidR="00070914">
        <w:rPr>
          <w:color w:val="auto"/>
          <w:sz w:val="24"/>
          <w:u w:val="none"/>
          <w:lang w:val="es-PY"/>
        </w:rPr>
        <w:t xml:space="preserve"> 9</w:t>
      </w:r>
      <w:r w:rsidRPr="00CF0A70">
        <w:rPr>
          <w:color w:val="auto"/>
          <w:sz w:val="24"/>
          <w:u w:val="none"/>
          <w:lang w:val="es-PY"/>
        </w:rPr>
        <w:t>)</w:t>
      </w:r>
      <w:r w:rsidRPr="00CF0A70">
        <w:rPr>
          <w:b w:val="0"/>
          <w:color w:val="auto"/>
          <w:sz w:val="24"/>
          <w:u w:val="none"/>
          <w:lang w:val="es-PY"/>
        </w:rPr>
        <w:t>.</w:t>
      </w:r>
    </w:p>
    <w:p w:rsidR="00CF0A70" w:rsidRPr="00CF0A70" w:rsidRDefault="00CF0A70" w:rsidP="00CF0A70">
      <w:pPr>
        <w:jc w:val="both"/>
        <w:rPr>
          <w:b w:val="0"/>
          <w:color w:val="auto"/>
          <w:sz w:val="24"/>
          <w:u w:val="none"/>
          <w:lang w:val="es-PY"/>
        </w:rPr>
      </w:pPr>
    </w:p>
    <w:p w:rsidR="00CF0A70" w:rsidRDefault="00CF0A70" w:rsidP="00CF0A70">
      <w:pPr>
        <w:jc w:val="both"/>
        <w:rPr>
          <w:b w:val="0"/>
          <w:color w:val="auto"/>
          <w:sz w:val="24"/>
          <w:u w:val="none"/>
          <w:lang w:val="es-PY"/>
        </w:rPr>
      </w:pPr>
      <w:r w:rsidRPr="00CF0A70">
        <w:rPr>
          <w:b w:val="0"/>
          <w:color w:val="auto"/>
          <w:sz w:val="24"/>
          <w:u w:val="none"/>
          <w:lang w:val="es-PY"/>
        </w:rPr>
        <w:lastRenderedPageBreak/>
        <w:t>Las delegaciones realizaron ajustes al documento y solicitaron a la SM su actualización</w:t>
      </w:r>
      <w:r w:rsidR="007B050A">
        <w:rPr>
          <w:b w:val="0"/>
          <w:color w:val="auto"/>
          <w:sz w:val="24"/>
          <w:u w:val="none"/>
          <w:lang w:val="es-PY"/>
        </w:rPr>
        <w:t>,</w:t>
      </w:r>
      <w:r w:rsidRPr="00CF0A70">
        <w:rPr>
          <w:b w:val="0"/>
          <w:color w:val="auto"/>
          <w:sz w:val="24"/>
          <w:u w:val="none"/>
          <w:lang w:val="es-PY"/>
        </w:rPr>
        <w:t xml:space="preserve"> </w:t>
      </w:r>
      <w:r w:rsidR="00F459A9">
        <w:rPr>
          <w:b w:val="0"/>
          <w:color w:val="auto"/>
          <w:sz w:val="24"/>
          <w:u w:val="none"/>
          <w:lang w:val="es-PY"/>
        </w:rPr>
        <w:t xml:space="preserve">la que deberá tener en cuenta </w:t>
      </w:r>
      <w:r w:rsidRPr="00CF0A70">
        <w:rPr>
          <w:b w:val="0"/>
          <w:color w:val="auto"/>
          <w:sz w:val="24"/>
          <w:u w:val="none"/>
          <w:lang w:val="es-PY"/>
        </w:rPr>
        <w:t>las notificaciones efectuadas por los Estados Partes y las sugerencias de las delegaciones.</w:t>
      </w:r>
    </w:p>
    <w:p w:rsidR="005B1FAE" w:rsidRPr="00CF0A70" w:rsidRDefault="005B1FAE" w:rsidP="00CF0A70">
      <w:pPr>
        <w:jc w:val="both"/>
        <w:rPr>
          <w:b w:val="0"/>
          <w:color w:val="auto"/>
          <w:sz w:val="24"/>
          <w:u w:val="none"/>
          <w:lang w:val="es-PY"/>
        </w:rPr>
      </w:pPr>
    </w:p>
    <w:p w:rsidR="00440AE3" w:rsidRPr="004845BD" w:rsidRDefault="00440AE3" w:rsidP="00440AE3">
      <w:pPr>
        <w:numPr>
          <w:ilvl w:val="1"/>
          <w:numId w:val="2"/>
        </w:numPr>
        <w:tabs>
          <w:tab w:val="clear" w:pos="360"/>
          <w:tab w:val="num" w:pos="720"/>
        </w:tabs>
        <w:ind w:left="720" w:hanging="540"/>
        <w:jc w:val="both"/>
        <w:rPr>
          <w:color w:val="000000"/>
          <w:sz w:val="24"/>
          <w:szCs w:val="24"/>
          <w:u w:val="none"/>
          <w:lang w:val="es-PY"/>
        </w:rPr>
      </w:pPr>
      <w:r w:rsidRPr="004845BD">
        <w:rPr>
          <w:color w:val="000000"/>
          <w:sz w:val="24"/>
          <w:u w:val="none"/>
          <w:lang w:val="es-PY"/>
        </w:rPr>
        <w:t xml:space="preserve">Normas emanadas </w:t>
      </w:r>
      <w:r w:rsidR="005062CE" w:rsidRPr="004845BD">
        <w:rPr>
          <w:color w:val="000000"/>
          <w:sz w:val="24"/>
          <w:u w:val="none"/>
          <w:lang w:val="es-PY"/>
        </w:rPr>
        <w:t xml:space="preserve">de los órganos decisorios que requieren aprobación legislativa </w:t>
      </w:r>
      <w:r w:rsidR="00B50F31">
        <w:rPr>
          <w:color w:val="000000"/>
          <w:sz w:val="24"/>
          <w:u w:val="none"/>
          <w:lang w:val="es-PY"/>
        </w:rPr>
        <w:t xml:space="preserve">y </w:t>
      </w:r>
      <w:r w:rsidR="0077055A">
        <w:rPr>
          <w:color w:val="000000"/>
          <w:sz w:val="24"/>
          <w:u w:val="none"/>
          <w:lang w:val="es-PY"/>
        </w:rPr>
        <w:t>a</w:t>
      </w:r>
      <w:r w:rsidR="00B50F31">
        <w:rPr>
          <w:color w:val="000000"/>
          <w:sz w:val="24"/>
          <w:u w:val="none"/>
          <w:lang w:val="es-PY"/>
        </w:rPr>
        <w:t>cuerdo</w:t>
      </w:r>
      <w:r w:rsidR="0077055A">
        <w:rPr>
          <w:color w:val="000000"/>
          <w:sz w:val="24"/>
          <w:u w:val="none"/>
          <w:lang w:val="es-PY"/>
        </w:rPr>
        <w:t>s</w:t>
      </w:r>
      <w:r w:rsidR="00B50F31">
        <w:rPr>
          <w:color w:val="000000"/>
          <w:sz w:val="24"/>
          <w:u w:val="none"/>
          <w:lang w:val="es-PY"/>
        </w:rPr>
        <w:t xml:space="preserve"> </w:t>
      </w:r>
      <w:r w:rsidR="0077055A">
        <w:rPr>
          <w:color w:val="000000"/>
          <w:sz w:val="24"/>
          <w:u w:val="none"/>
          <w:lang w:val="es-PY"/>
        </w:rPr>
        <w:t>i</w:t>
      </w:r>
      <w:r w:rsidR="00B50F31">
        <w:rPr>
          <w:color w:val="000000"/>
          <w:sz w:val="24"/>
          <w:u w:val="none"/>
          <w:lang w:val="es-PY"/>
        </w:rPr>
        <w:t>nternaci</w:t>
      </w:r>
      <w:r w:rsidR="0077055A">
        <w:rPr>
          <w:color w:val="000000"/>
          <w:sz w:val="24"/>
          <w:u w:val="none"/>
          <w:lang w:val="es-PY"/>
        </w:rPr>
        <w:t>o</w:t>
      </w:r>
      <w:r w:rsidR="00B50F31">
        <w:rPr>
          <w:color w:val="000000"/>
          <w:sz w:val="24"/>
          <w:u w:val="none"/>
          <w:lang w:val="es-PY"/>
        </w:rPr>
        <w:t>nales</w:t>
      </w:r>
    </w:p>
    <w:p w:rsidR="005062CE" w:rsidRDefault="005062CE" w:rsidP="005062CE">
      <w:pPr>
        <w:jc w:val="both"/>
        <w:rPr>
          <w:b w:val="0"/>
          <w:color w:val="000000"/>
          <w:sz w:val="24"/>
          <w:u w:val="none"/>
          <w:lang w:val="es-PY"/>
        </w:rPr>
      </w:pPr>
    </w:p>
    <w:p w:rsidR="00AF0091" w:rsidRDefault="005944CC" w:rsidP="005062CE">
      <w:pPr>
        <w:jc w:val="both"/>
        <w:rPr>
          <w:b w:val="0"/>
          <w:color w:val="auto"/>
          <w:sz w:val="24"/>
          <w:u w:val="none"/>
          <w:lang w:val="es-PY"/>
        </w:rPr>
      </w:pPr>
      <w:r w:rsidRPr="005944CC">
        <w:rPr>
          <w:b w:val="0"/>
          <w:color w:val="auto"/>
          <w:sz w:val="24"/>
          <w:u w:val="none"/>
          <w:lang w:val="es-PY"/>
        </w:rPr>
        <w:t>Con relación a los acuerdos internacionales suscriptos en el ámbito del MERCOSUR, la Dirección de Tratados del Ministerio de Relaciones Exteriores de la República del Paraguay presentó un informe actualizado de los instrument</w:t>
      </w:r>
      <w:r w:rsidR="00070914">
        <w:rPr>
          <w:b w:val="0"/>
          <w:color w:val="auto"/>
          <w:sz w:val="24"/>
          <w:u w:val="none"/>
          <w:lang w:val="es-PY"/>
        </w:rPr>
        <w:t>os de ratificación depositados y</w:t>
      </w:r>
      <w:r w:rsidRPr="005944CC">
        <w:rPr>
          <w:b w:val="0"/>
          <w:color w:val="auto"/>
          <w:sz w:val="24"/>
          <w:u w:val="none"/>
          <w:lang w:val="es-PY"/>
        </w:rPr>
        <w:t xml:space="preserve"> de la entrada e</w:t>
      </w:r>
      <w:r w:rsidR="008F37C8">
        <w:rPr>
          <w:b w:val="0"/>
          <w:color w:val="auto"/>
          <w:sz w:val="24"/>
          <w:u w:val="none"/>
          <w:lang w:val="es-PY"/>
        </w:rPr>
        <w:t>n</w:t>
      </w:r>
      <w:r w:rsidRPr="005944CC">
        <w:rPr>
          <w:b w:val="0"/>
          <w:color w:val="auto"/>
          <w:sz w:val="24"/>
          <w:u w:val="none"/>
          <w:lang w:val="es-PY"/>
        </w:rPr>
        <w:t xml:space="preserve"> vigor de los acuerdos internacionales registrados entre </w:t>
      </w:r>
      <w:r w:rsidR="00070914">
        <w:rPr>
          <w:b w:val="0"/>
          <w:color w:val="auto"/>
          <w:sz w:val="24"/>
          <w:u w:val="none"/>
          <w:lang w:val="es-PY"/>
        </w:rPr>
        <w:t>noviembre de 2018 y mayo de 2019</w:t>
      </w:r>
      <w:r w:rsidR="00AF0091" w:rsidRPr="005944CC">
        <w:rPr>
          <w:b w:val="0"/>
          <w:color w:val="auto"/>
          <w:sz w:val="24"/>
          <w:u w:val="none"/>
          <w:lang w:val="es-PY"/>
        </w:rPr>
        <w:t xml:space="preserve">, que constan en el </w:t>
      </w:r>
      <w:r w:rsidR="00AF0091" w:rsidRPr="005944CC">
        <w:rPr>
          <w:color w:val="auto"/>
          <w:sz w:val="24"/>
          <w:u w:val="none"/>
          <w:lang w:val="es-PY"/>
        </w:rPr>
        <w:t>Anexo VI.</w:t>
      </w:r>
      <w:r w:rsidR="00070914">
        <w:rPr>
          <w:b w:val="0"/>
          <w:color w:val="auto"/>
          <w:sz w:val="24"/>
          <w:u w:val="none"/>
          <w:lang w:val="es-PY"/>
        </w:rPr>
        <w:t xml:space="preserve"> </w:t>
      </w:r>
    </w:p>
    <w:p w:rsidR="00AF0091" w:rsidRDefault="00AF0091" w:rsidP="005062CE">
      <w:pPr>
        <w:jc w:val="both"/>
        <w:rPr>
          <w:b w:val="0"/>
          <w:color w:val="auto"/>
          <w:sz w:val="24"/>
          <w:u w:val="none"/>
          <w:lang w:val="es-PY"/>
        </w:rPr>
      </w:pPr>
    </w:p>
    <w:p w:rsidR="00027AE3" w:rsidRDefault="00070914" w:rsidP="005062CE">
      <w:pPr>
        <w:jc w:val="both"/>
        <w:rPr>
          <w:b w:val="0"/>
          <w:color w:val="auto"/>
          <w:sz w:val="24"/>
          <w:u w:val="none"/>
          <w:lang w:val="es-PY"/>
        </w:rPr>
      </w:pPr>
      <w:r>
        <w:rPr>
          <w:b w:val="0"/>
          <w:color w:val="auto"/>
          <w:sz w:val="24"/>
          <w:u w:val="none"/>
          <w:lang w:val="es-PY"/>
        </w:rPr>
        <w:t>A</w:t>
      </w:r>
      <w:r w:rsidR="00027AE3">
        <w:rPr>
          <w:b w:val="0"/>
          <w:color w:val="auto"/>
          <w:sz w:val="24"/>
          <w:u w:val="none"/>
          <w:lang w:val="es-PY"/>
        </w:rPr>
        <w:t xml:space="preserve">simismo, informó que, </w:t>
      </w:r>
      <w:r>
        <w:rPr>
          <w:b w:val="0"/>
          <w:color w:val="auto"/>
          <w:sz w:val="24"/>
          <w:u w:val="none"/>
          <w:lang w:val="es-PY"/>
        </w:rPr>
        <w:t xml:space="preserve">en su calidad de depositario, </w:t>
      </w:r>
      <w:r w:rsidR="00027AE3">
        <w:rPr>
          <w:b w:val="0"/>
          <w:color w:val="auto"/>
          <w:sz w:val="24"/>
          <w:u w:val="none"/>
          <w:lang w:val="es-PY"/>
        </w:rPr>
        <w:t xml:space="preserve">realizó la notificación a </w:t>
      </w:r>
      <w:r w:rsidR="00AF0091">
        <w:rPr>
          <w:b w:val="0"/>
          <w:color w:val="auto"/>
          <w:sz w:val="24"/>
          <w:u w:val="none"/>
          <w:lang w:val="es-PY"/>
        </w:rPr>
        <w:t xml:space="preserve">las respectivas </w:t>
      </w:r>
      <w:r w:rsidR="00027AE3">
        <w:rPr>
          <w:b w:val="0"/>
          <w:color w:val="auto"/>
          <w:sz w:val="24"/>
          <w:u w:val="none"/>
          <w:lang w:val="es-PY"/>
        </w:rPr>
        <w:t>contraparte</w:t>
      </w:r>
      <w:r w:rsidR="00AF0091">
        <w:rPr>
          <w:b w:val="0"/>
          <w:color w:val="auto"/>
          <w:sz w:val="24"/>
          <w:u w:val="none"/>
          <w:lang w:val="es-PY"/>
        </w:rPr>
        <w:t>s</w:t>
      </w:r>
      <w:r w:rsidR="00027AE3">
        <w:rPr>
          <w:b w:val="0"/>
          <w:color w:val="auto"/>
          <w:sz w:val="24"/>
          <w:u w:val="none"/>
          <w:lang w:val="es-PY"/>
        </w:rPr>
        <w:t xml:space="preserve"> sobre</w:t>
      </w:r>
      <w:r w:rsidR="00AF0091">
        <w:rPr>
          <w:b w:val="0"/>
          <w:color w:val="auto"/>
          <w:sz w:val="24"/>
          <w:u w:val="none"/>
          <w:lang w:val="es-PY"/>
        </w:rPr>
        <w:t xml:space="preserve"> </w:t>
      </w:r>
      <w:r w:rsidR="00027AE3">
        <w:rPr>
          <w:b w:val="0"/>
          <w:color w:val="auto"/>
          <w:sz w:val="24"/>
          <w:u w:val="none"/>
          <w:lang w:val="es-PY"/>
        </w:rPr>
        <w:t xml:space="preserve">el cumplimiento de las formalidades legales internas necesarias para la vigencia del </w:t>
      </w:r>
      <w:r w:rsidR="00AF0091">
        <w:rPr>
          <w:b w:val="0"/>
          <w:color w:val="auto"/>
          <w:sz w:val="24"/>
          <w:u w:val="none"/>
          <w:lang w:val="es-PY"/>
        </w:rPr>
        <w:t>“</w:t>
      </w:r>
      <w:r w:rsidR="00027AE3">
        <w:rPr>
          <w:b w:val="0"/>
          <w:color w:val="auto"/>
          <w:sz w:val="24"/>
          <w:u w:val="none"/>
          <w:lang w:val="es-PY"/>
        </w:rPr>
        <w:t>Acuerdo Marco de Comercio entre el MERCOSUR y la República Islámica de Pakistán</w:t>
      </w:r>
      <w:r w:rsidR="00AF0091">
        <w:rPr>
          <w:b w:val="0"/>
          <w:color w:val="auto"/>
          <w:sz w:val="24"/>
          <w:u w:val="none"/>
          <w:lang w:val="es-PY"/>
        </w:rPr>
        <w:t>”</w:t>
      </w:r>
      <w:r w:rsidR="00027AE3">
        <w:rPr>
          <w:b w:val="0"/>
          <w:color w:val="auto"/>
          <w:sz w:val="24"/>
          <w:u w:val="none"/>
          <w:lang w:val="es-PY"/>
        </w:rPr>
        <w:t xml:space="preserve"> y del </w:t>
      </w:r>
      <w:r w:rsidR="00AF0091">
        <w:rPr>
          <w:b w:val="0"/>
          <w:color w:val="auto"/>
          <w:sz w:val="24"/>
          <w:u w:val="none"/>
          <w:lang w:val="es-PY"/>
        </w:rPr>
        <w:t>“</w:t>
      </w:r>
      <w:r w:rsidR="00027AE3">
        <w:rPr>
          <w:b w:val="0"/>
          <w:color w:val="auto"/>
          <w:sz w:val="24"/>
          <w:u w:val="none"/>
          <w:lang w:val="es-PY"/>
        </w:rPr>
        <w:t>Acuerdo Marco para el Establecimiento de un Área de Libre Comercio entre el MERCOSUR y la República de Turquía</w:t>
      </w:r>
      <w:r w:rsidR="00AF0091">
        <w:rPr>
          <w:b w:val="0"/>
          <w:color w:val="auto"/>
          <w:sz w:val="24"/>
          <w:u w:val="none"/>
          <w:lang w:val="es-PY"/>
        </w:rPr>
        <w:t>”</w:t>
      </w:r>
      <w:r w:rsidR="00027AE3">
        <w:rPr>
          <w:b w:val="0"/>
          <w:color w:val="auto"/>
          <w:sz w:val="24"/>
          <w:u w:val="none"/>
          <w:lang w:val="es-PY"/>
        </w:rPr>
        <w:t xml:space="preserve">. </w:t>
      </w:r>
    </w:p>
    <w:p w:rsidR="00027AE3" w:rsidRDefault="00027AE3" w:rsidP="005062CE">
      <w:pPr>
        <w:jc w:val="both"/>
        <w:rPr>
          <w:b w:val="0"/>
          <w:color w:val="auto"/>
          <w:sz w:val="24"/>
          <w:u w:val="none"/>
          <w:lang w:val="es-PY"/>
        </w:rPr>
      </w:pPr>
    </w:p>
    <w:p w:rsidR="00440AE3" w:rsidRPr="004845BD" w:rsidRDefault="006731FE" w:rsidP="00440AE3">
      <w:pPr>
        <w:numPr>
          <w:ilvl w:val="1"/>
          <w:numId w:val="2"/>
        </w:numPr>
        <w:tabs>
          <w:tab w:val="clear" w:pos="360"/>
          <w:tab w:val="num" w:pos="720"/>
        </w:tabs>
        <w:ind w:left="720" w:hanging="540"/>
        <w:jc w:val="both"/>
        <w:rPr>
          <w:color w:val="000000"/>
          <w:sz w:val="24"/>
          <w:szCs w:val="24"/>
          <w:u w:val="none"/>
          <w:lang w:val="es-PY"/>
        </w:rPr>
      </w:pPr>
      <w:r w:rsidRPr="004845BD">
        <w:rPr>
          <w:color w:val="000000"/>
          <w:sz w:val="24"/>
          <w:u w:val="none"/>
          <w:lang w:val="es-PY"/>
        </w:rPr>
        <w:t>Normas en revisión</w:t>
      </w:r>
    </w:p>
    <w:p w:rsidR="00440AE3" w:rsidRDefault="00440AE3" w:rsidP="00440AE3">
      <w:pPr>
        <w:tabs>
          <w:tab w:val="left" w:pos="360"/>
        </w:tabs>
        <w:jc w:val="both"/>
        <w:rPr>
          <w:b w:val="0"/>
          <w:color w:val="000000"/>
          <w:sz w:val="24"/>
          <w:szCs w:val="24"/>
          <w:u w:val="none"/>
          <w:lang w:val="es-PY"/>
        </w:rPr>
      </w:pPr>
    </w:p>
    <w:p w:rsidR="00414FD1" w:rsidRPr="00414FD1" w:rsidRDefault="00414FD1" w:rsidP="00414FD1">
      <w:pPr>
        <w:tabs>
          <w:tab w:val="left" w:pos="360"/>
        </w:tabs>
        <w:jc w:val="both"/>
        <w:rPr>
          <w:b w:val="0"/>
          <w:color w:val="000000"/>
          <w:sz w:val="24"/>
          <w:szCs w:val="24"/>
          <w:u w:val="none"/>
          <w:lang w:val="es-UY"/>
        </w:rPr>
      </w:pPr>
      <w:r w:rsidRPr="00414FD1">
        <w:rPr>
          <w:b w:val="0"/>
          <w:color w:val="000000"/>
          <w:sz w:val="24"/>
          <w:szCs w:val="24"/>
          <w:u w:val="none"/>
          <w:lang w:val="es-UY"/>
        </w:rPr>
        <w:t>El</w:t>
      </w:r>
      <w:r>
        <w:rPr>
          <w:b w:val="0"/>
          <w:color w:val="000000"/>
          <w:sz w:val="24"/>
          <w:szCs w:val="24"/>
          <w:u w:val="none"/>
          <w:lang w:val="es-UY"/>
        </w:rPr>
        <w:t xml:space="preserve"> GIN tomó nota de la instrucción impartida en la CX Reunión Ordinaria del</w:t>
      </w:r>
      <w:r w:rsidRPr="00414FD1">
        <w:rPr>
          <w:b w:val="0"/>
          <w:color w:val="000000"/>
          <w:sz w:val="24"/>
          <w:szCs w:val="24"/>
          <w:u w:val="none"/>
          <w:lang w:val="es-UY"/>
        </w:rPr>
        <w:t xml:space="preserve"> GMC</w:t>
      </w:r>
      <w:r>
        <w:rPr>
          <w:b w:val="0"/>
          <w:color w:val="000000"/>
          <w:sz w:val="24"/>
          <w:szCs w:val="24"/>
          <w:u w:val="none"/>
          <w:lang w:val="es-UY"/>
        </w:rPr>
        <w:t xml:space="preserve"> por la cual se requirió </w:t>
      </w:r>
      <w:r w:rsidRPr="00414FD1">
        <w:rPr>
          <w:b w:val="0"/>
          <w:color w:val="000000"/>
          <w:sz w:val="24"/>
          <w:szCs w:val="24"/>
          <w:u w:val="none"/>
          <w:lang w:val="es-UY"/>
        </w:rPr>
        <w:t>al SGT N° 3, SGT N°</w:t>
      </w:r>
      <w:r w:rsidR="004E2675">
        <w:rPr>
          <w:b w:val="0"/>
          <w:color w:val="000000"/>
          <w:sz w:val="24"/>
          <w:szCs w:val="24"/>
          <w:u w:val="none"/>
          <w:lang w:val="es-UY"/>
        </w:rPr>
        <w:t xml:space="preserve"> </w:t>
      </w:r>
      <w:r w:rsidRPr="00414FD1">
        <w:rPr>
          <w:b w:val="0"/>
          <w:color w:val="000000"/>
          <w:sz w:val="24"/>
          <w:szCs w:val="24"/>
          <w:u w:val="none"/>
          <w:lang w:val="es-UY"/>
        </w:rPr>
        <w:t>8 y SGT N° 11 a presentar un documento con las normas que se encuentran en proceso de revisión, identificando, separadamente, aquellas cuya revisión ha sido acordada, los pedidos de revisión en análisis y los proyectos de norm</w:t>
      </w:r>
      <w:r>
        <w:rPr>
          <w:b w:val="0"/>
          <w:color w:val="000000"/>
          <w:sz w:val="24"/>
          <w:szCs w:val="24"/>
          <w:u w:val="none"/>
          <w:lang w:val="es-UY"/>
        </w:rPr>
        <w:t>a que revisan normas anteriores, conforme fuera solicitado por el GIN.</w:t>
      </w:r>
    </w:p>
    <w:p w:rsidR="00414FD1" w:rsidRPr="00414FD1" w:rsidRDefault="00414FD1" w:rsidP="00440AE3">
      <w:pPr>
        <w:tabs>
          <w:tab w:val="left" w:pos="360"/>
        </w:tabs>
        <w:jc w:val="both"/>
        <w:rPr>
          <w:b w:val="0"/>
          <w:color w:val="000000"/>
          <w:sz w:val="24"/>
          <w:szCs w:val="24"/>
          <w:u w:val="none"/>
          <w:lang w:val="es-UY"/>
        </w:rPr>
      </w:pPr>
    </w:p>
    <w:p w:rsidR="009339A6" w:rsidRDefault="004E2675" w:rsidP="00E61B3F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  <w:u w:val="none"/>
          <w:lang w:val="es-AR"/>
        </w:rPr>
      </w:pPr>
      <w:r>
        <w:rPr>
          <w:b w:val="0"/>
          <w:color w:val="auto"/>
          <w:sz w:val="24"/>
          <w:szCs w:val="24"/>
          <w:u w:val="none"/>
          <w:lang w:val="es-AR"/>
        </w:rPr>
        <w:t>Al respecto, e</w:t>
      </w:r>
      <w:r w:rsidR="00E61B3F">
        <w:rPr>
          <w:b w:val="0"/>
          <w:color w:val="auto"/>
          <w:sz w:val="24"/>
          <w:szCs w:val="24"/>
          <w:u w:val="none"/>
          <w:lang w:val="es-AR"/>
        </w:rPr>
        <w:t xml:space="preserve">l GMC remitió al GIN en su CXII Reunión </w:t>
      </w:r>
      <w:r w:rsidR="0056028A">
        <w:rPr>
          <w:b w:val="0"/>
          <w:color w:val="auto"/>
          <w:sz w:val="24"/>
          <w:szCs w:val="24"/>
          <w:u w:val="none"/>
          <w:lang w:val="es-AR"/>
        </w:rPr>
        <w:t xml:space="preserve">Ordinaria </w:t>
      </w:r>
      <w:r w:rsidR="005B1FAE" w:rsidRPr="0008075C">
        <w:rPr>
          <w:b w:val="0"/>
          <w:color w:val="auto"/>
          <w:sz w:val="24"/>
          <w:szCs w:val="24"/>
          <w:u w:val="none"/>
          <w:lang w:val="es-AR"/>
        </w:rPr>
        <w:t xml:space="preserve">el documento </w:t>
      </w:r>
      <w:r w:rsidR="00E61B3F">
        <w:rPr>
          <w:b w:val="0"/>
          <w:color w:val="auto"/>
          <w:sz w:val="24"/>
          <w:szCs w:val="24"/>
          <w:u w:val="none"/>
          <w:lang w:val="es-AR"/>
        </w:rPr>
        <w:t xml:space="preserve">elaborado por el </w:t>
      </w:r>
      <w:r w:rsidR="00E61B3F" w:rsidRPr="004E2675">
        <w:rPr>
          <w:b w:val="0"/>
          <w:color w:val="auto"/>
          <w:sz w:val="24"/>
          <w:szCs w:val="24"/>
          <w:u w:val="none"/>
          <w:lang w:val="es-AR"/>
        </w:rPr>
        <w:t>SGT N° 3</w:t>
      </w:r>
      <w:r w:rsidR="00E61B3F">
        <w:rPr>
          <w:b w:val="0"/>
          <w:color w:val="auto"/>
          <w:sz w:val="24"/>
          <w:szCs w:val="24"/>
          <w:u w:val="none"/>
          <w:lang w:val="es-AR"/>
        </w:rPr>
        <w:t xml:space="preserve"> en cumplimiento de la instrucción impartida (</w:t>
      </w:r>
      <w:r w:rsidR="00E61B3F" w:rsidRPr="001C3030">
        <w:rPr>
          <w:color w:val="auto"/>
          <w:sz w:val="24"/>
          <w:szCs w:val="24"/>
          <w:u w:val="none"/>
          <w:lang w:val="es-AR"/>
        </w:rPr>
        <w:t>RESERVADO - MERCOSUR/CXII GMC/DT N° 02/19</w:t>
      </w:r>
      <w:r w:rsidR="00E61B3F" w:rsidRPr="001C3030">
        <w:rPr>
          <w:b w:val="0"/>
          <w:color w:val="auto"/>
          <w:sz w:val="24"/>
          <w:szCs w:val="24"/>
          <w:u w:val="none"/>
          <w:lang w:val="es-AR"/>
        </w:rPr>
        <w:t>)</w:t>
      </w:r>
      <w:r w:rsidR="00E61B3F">
        <w:rPr>
          <w:b w:val="0"/>
          <w:color w:val="auto"/>
          <w:sz w:val="24"/>
          <w:szCs w:val="24"/>
          <w:u w:val="none"/>
          <w:lang w:val="es-AR"/>
        </w:rPr>
        <w:t>.</w:t>
      </w:r>
      <w:r w:rsidR="0056028A">
        <w:rPr>
          <w:b w:val="0"/>
          <w:color w:val="auto"/>
          <w:sz w:val="24"/>
          <w:szCs w:val="24"/>
          <w:u w:val="none"/>
          <w:lang w:val="es-AR"/>
        </w:rPr>
        <w:t xml:space="preserve"> L</w:t>
      </w:r>
      <w:r w:rsidR="00E61B3F">
        <w:rPr>
          <w:b w:val="0"/>
          <w:color w:val="auto"/>
          <w:sz w:val="24"/>
          <w:szCs w:val="24"/>
          <w:u w:val="none"/>
          <w:lang w:val="es-AR"/>
        </w:rPr>
        <w:t xml:space="preserve">as delegaciones intercambiaron comentarios y </w:t>
      </w:r>
      <w:r w:rsidR="009339A6">
        <w:rPr>
          <w:b w:val="0"/>
          <w:color w:val="auto"/>
          <w:sz w:val="24"/>
          <w:szCs w:val="24"/>
          <w:u w:val="none"/>
          <w:lang w:val="es-AR"/>
        </w:rPr>
        <w:t xml:space="preserve">solicitaron a la SM comparar la información presentada en dicho documento con la obrante en los registros de la SM, a fin de remitir dicho análisis a los puntos focales previo a la próxima reunión ordinaria del GIN. </w:t>
      </w:r>
    </w:p>
    <w:p w:rsidR="009339A6" w:rsidRDefault="009339A6" w:rsidP="00E61B3F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  <w:u w:val="none"/>
          <w:lang w:val="es-AR"/>
        </w:rPr>
      </w:pPr>
    </w:p>
    <w:p w:rsidR="005810E5" w:rsidRDefault="005810E5" w:rsidP="00E61B3F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  <w:u w:val="none"/>
          <w:lang w:val="es-AR"/>
        </w:rPr>
      </w:pPr>
    </w:p>
    <w:p w:rsidR="00440AE3" w:rsidRPr="004845BD" w:rsidRDefault="00440AE3" w:rsidP="00440AE3">
      <w:pPr>
        <w:numPr>
          <w:ilvl w:val="0"/>
          <w:numId w:val="1"/>
        </w:numPr>
        <w:tabs>
          <w:tab w:val="clear" w:pos="720"/>
          <w:tab w:val="num" w:pos="360"/>
          <w:tab w:val="num" w:pos="1637"/>
        </w:tabs>
        <w:ind w:left="360"/>
        <w:jc w:val="both"/>
        <w:rPr>
          <w:color w:val="000000"/>
          <w:sz w:val="24"/>
          <w:szCs w:val="24"/>
          <w:u w:val="none"/>
          <w:lang w:val="es-PY"/>
        </w:rPr>
      </w:pPr>
      <w:r w:rsidRPr="004845BD">
        <w:rPr>
          <w:color w:val="000000"/>
          <w:sz w:val="24"/>
          <w:u w:val="none"/>
          <w:lang w:val="es-PY"/>
        </w:rPr>
        <w:t>REVIS</w:t>
      </w:r>
      <w:r w:rsidR="00B02E71" w:rsidRPr="004845BD">
        <w:rPr>
          <w:color w:val="000000"/>
          <w:sz w:val="24"/>
          <w:u w:val="none"/>
          <w:lang w:val="es-PY"/>
        </w:rPr>
        <w:t>IÓN DEL DOCUMENTO DE LA SM SOBRE INCORPORACIÓN DE LA NORMATIVA</w:t>
      </w:r>
    </w:p>
    <w:p w:rsidR="00B02E71" w:rsidRDefault="00B02E71" w:rsidP="00B02E71">
      <w:pPr>
        <w:tabs>
          <w:tab w:val="left" w:pos="360"/>
          <w:tab w:val="num" w:pos="1637"/>
        </w:tabs>
        <w:jc w:val="both"/>
        <w:rPr>
          <w:b w:val="0"/>
          <w:color w:val="000000"/>
          <w:sz w:val="24"/>
          <w:u w:val="none"/>
          <w:lang w:val="es-PY"/>
        </w:rPr>
      </w:pPr>
    </w:p>
    <w:p w:rsidR="008C2462" w:rsidRPr="00425A77" w:rsidRDefault="00F459A9" w:rsidP="008C2462">
      <w:pPr>
        <w:jc w:val="both"/>
        <w:rPr>
          <w:b w:val="0"/>
          <w:color w:val="auto"/>
          <w:sz w:val="24"/>
          <w:u w:val="none"/>
          <w:lang w:val="es-PY"/>
        </w:rPr>
      </w:pPr>
      <w:r w:rsidRPr="00B277E4">
        <w:rPr>
          <w:b w:val="0"/>
          <w:color w:val="000000"/>
          <w:sz w:val="24"/>
          <w:szCs w:val="24"/>
          <w:u w:val="none"/>
        </w:rPr>
        <w:t xml:space="preserve">La SM presentó la actualización del </w:t>
      </w:r>
      <w:r w:rsidR="00B277E4" w:rsidRPr="00B277E4">
        <w:rPr>
          <w:b w:val="0"/>
          <w:color w:val="000000"/>
          <w:sz w:val="24"/>
          <w:szCs w:val="24"/>
          <w:u w:val="none"/>
        </w:rPr>
        <w:t>l</w:t>
      </w:r>
      <w:r w:rsidRPr="00B277E4">
        <w:rPr>
          <w:b w:val="0"/>
          <w:color w:val="000000"/>
          <w:sz w:val="24"/>
          <w:szCs w:val="24"/>
          <w:u w:val="none"/>
        </w:rPr>
        <w:t>istado de incorporació</w:t>
      </w:r>
      <w:r w:rsidR="00B277E4" w:rsidRPr="00B277E4">
        <w:rPr>
          <w:b w:val="0"/>
          <w:color w:val="000000"/>
          <w:sz w:val="24"/>
          <w:szCs w:val="24"/>
          <w:u w:val="none"/>
        </w:rPr>
        <w:t>n de la</w:t>
      </w:r>
      <w:r w:rsidR="00653D67">
        <w:rPr>
          <w:b w:val="0"/>
          <w:color w:val="000000"/>
          <w:sz w:val="24"/>
          <w:szCs w:val="24"/>
          <w:u w:val="none"/>
        </w:rPr>
        <w:t>s</w:t>
      </w:r>
      <w:r w:rsidR="00B277E4" w:rsidRPr="00B277E4">
        <w:rPr>
          <w:b w:val="0"/>
          <w:color w:val="000000"/>
          <w:sz w:val="24"/>
          <w:szCs w:val="24"/>
          <w:u w:val="none"/>
        </w:rPr>
        <w:t xml:space="preserve"> normas MERCOSUR en el ordenamiento jurídico de los Estados Partes.</w:t>
      </w:r>
      <w:r w:rsidR="00B277E4" w:rsidRPr="00B277E4">
        <w:rPr>
          <w:color w:val="000000"/>
          <w:sz w:val="24"/>
          <w:szCs w:val="24"/>
          <w:u w:val="none"/>
        </w:rPr>
        <w:t xml:space="preserve"> (</w:t>
      </w:r>
      <w:r w:rsidRPr="00B277E4">
        <w:rPr>
          <w:color w:val="000000"/>
          <w:sz w:val="24"/>
          <w:szCs w:val="24"/>
          <w:u w:val="none"/>
        </w:rPr>
        <w:t xml:space="preserve">Anexo </w:t>
      </w:r>
      <w:r w:rsidRPr="007B65D2">
        <w:rPr>
          <w:color w:val="000000"/>
          <w:sz w:val="24"/>
          <w:szCs w:val="24"/>
          <w:u w:val="none"/>
        </w:rPr>
        <w:t>VI</w:t>
      </w:r>
      <w:r w:rsidR="000874ED" w:rsidRPr="007B65D2">
        <w:rPr>
          <w:color w:val="000000"/>
          <w:sz w:val="24"/>
          <w:szCs w:val="24"/>
          <w:u w:val="none"/>
        </w:rPr>
        <w:t>I</w:t>
      </w:r>
      <w:r w:rsidRPr="00B277E4">
        <w:rPr>
          <w:color w:val="000000"/>
          <w:sz w:val="24"/>
          <w:szCs w:val="24"/>
          <w:u w:val="none"/>
        </w:rPr>
        <w:t xml:space="preserve"> - RESERVADO – SM/SND/DT N° 0</w:t>
      </w:r>
      <w:r w:rsidR="000874ED">
        <w:rPr>
          <w:color w:val="000000"/>
          <w:sz w:val="24"/>
          <w:szCs w:val="24"/>
          <w:u w:val="none"/>
        </w:rPr>
        <w:t>8</w:t>
      </w:r>
      <w:r w:rsidRPr="00B277E4">
        <w:rPr>
          <w:color w:val="000000"/>
          <w:sz w:val="24"/>
          <w:szCs w:val="24"/>
          <w:u w:val="none"/>
        </w:rPr>
        <w:t xml:space="preserve">/2002 </w:t>
      </w:r>
      <w:proofErr w:type="spellStart"/>
      <w:r w:rsidRPr="00D05CB7">
        <w:rPr>
          <w:color w:val="000000"/>
          <w:sz w:val="24"/>
          <w:szCs w:val="24"/>
          <w:u w:val="none"/>
        </w:rPr>
        <w:t>Add</w:t>
      </w:r>
      <w:proofErr w:type="spellEnd"/>
      <w:r w:rsidRPr="00B277E4">
        <w:rPr>
          <w:color w:val="000000"/>
          <w:sz w:val="24"/>
          <w:szCs w:val="24"/>
          <w:u w:val="none"/>
        </w:rPr>
        <w:t>.</w:t>
      </w:r>
      <w:r w:rsidR="0026112D">
        <w:rPr>
          <w:color w:val="000000"/>
          <w:sz w:val="24"/>
          <w:szCs w:val="24"/>
          <w:u w:val="none"/>
        </w:rPr>
        <w:t xml:space="preserve"> </w:t>
      </w:r>
      <w:r w:rsidR="0026112D" w:rsidRPr="0026112D">
        <w:rPr>
          <w:color w:val="000000"/>
          <w:sz w:val="24"/>
          <w:szCs w:val="24"/>
          <w:u w:val="none"/>
        </w:rPr>
        <w:t>LVIII</w:t>
      </w:r>
      <w:r w:rsidR="00B277E4" w:rsidRPr="00B277E4">
        <w:rPr>
          <w:color w:val="000000"/>
          <w:sz w:val="24"/>
          <w:szCs w:val="24"/>
          <w:u w:val="none"/>
        </w:rPr>
        <w:t>)</w:t>
      </w:r>
      <w:r w:rsidR="0078554F" w:rsidRPr="00B277E4">
        <w:rPr>
          <w:b w:val="0"/>
          <w:color w:val="auto"/>
          <w:sz w:val="24"/>
          <w:szCs w:val="24"/>
          <w:u w:val="none"/>
          <w:lang w:val="es-PY"/>
        </w:rPr>
        <w:t>.</w:t>
      </w:r>
    </w:p>
    <w:p w:rsidR="0078554F" w:rsidRPr="00D05CB7" w:rsidRDefault="0078554F" w:rsidP="0078554F">
      <w:pPr>
        <w:tabs>
          <w:tab w:val="left" w:pos="360"/>
          <w:tab w:val="num" w:pos="1637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6C09F5" w:rsidRPr="006C09F5" w:rsidRDefault="006C09F5" w:rsidP="006C09F5">
      <w:pPr>
        <w:tabs>
          <w:tab w:val="left" w:pos="360"/>
          <w:tab w:val="num" w:pos="1637"/>
        </w:tabs>
        <w:jc w:val="both"/>
        <w:rPr>
          <w:b w:val="0"/>
          <w:color w:val="auto"/>
          <w:sz w:val="24"/>
          <w:szCs w:val="24"/>
          <w:u w:val="none"/>
          <w:lang w:val="es-AR"/>
        </w:rPr>
      </w:pPr>
      <w:r w:rsidRPr="006C09F5">
        <w:rPr>
          <w:b w:val="0"/>
          <w:color w:val="auto"/>
          <w:sz w:val="24"/>
          <w:szCs w:val="24"/>
          <w:u w:val="none"/>
          <w:lang w:val="es-AR"/>
        </w:rPr>
        <w:t>Asimismo, las delegaciones continuaron analizando el documento que identifica los casos comprendidos en el artículo 9, inciso iii) de la Decisión CMC N° 23/00 y aquellos que no se encuentran contemplados en esa disposición, así como sobre los cuadros elaborados por la SM teniendo en cuenta dichos casos.</w:t>
      </w:r>
    </w:p>
    <w:p w:rsidR="006C09F5" w:rsidRPr="006C09F5" w:rsidRDefault="006C09F5" w:rsidP="006C09F5">
      <w:pPr>
        <w:tabs>
          <w:tab w:val="left" w:pos="360"/>
          <w:tab w:val="num" w:pos="1637"/>
        </w:tabs>
        <w:jc w:val="both"/>
        <w:rPr>
          <w:b w:val="0"/>
          <w:color w:val="auto"/>
          <w:sz w:val="24"/>
          <w:szCs w:val="24"/>
          <w:u w:val="none"/>
          <w:lang w:val="es-AR"/>
        </w:rPr>
      </w:pPr>
    </w:p>
    <w:p w:rsidR="006C09F5" w:rsidRPr="006C09F5" w:rsidRDefault="006C09F5" w:rsidP="006C09F5">
      <w:pPr>
        <w:tabs>
          <w:tab w:val="left" w:pos="360"/>
          <w:tab w:val="num" w:pos="1637"/>
        </w:tabs>
        <w:jc w:val="both"/>
        <w:rPr>
          <w:b w:val="0"/>
          <w:color w:val="auto"/>
          <w:sz w:val="24"/>
          <w:szCs w:val="24"/>
          <w:u w:val="none"/>
          <w:lang w:val="es-AR"/>
        </w:rPr>
      </w:pPr>
      <w:r w:rsidRPr="006C09F5">
        <w:rPr>
          <w:b w:val="0"/>
          <w:color w:val="auto"/>
          <w:sz w:val="24"/>
          <w:szCs w:val="24"/>
          <w:u w:val="none"/>
          <w:lang w:val="es-AR"/>
        </w:rPr>
        <w:t xml:space="preserve">Al respecto, las delegaciones acordaron darle prioridad al tratamiento de este tema finalizando a la mayor brevedad posible la revisión de los cuadros referidos en el </w:t>
      </w:r>
      <w:r w:rsidRPr="006C09F5">
        <w:rPr>
          <w:b w:val="0"/>
          <w:color w:val="auto"/>
          <w:sz w:val="24"/>
          <w:szCs w:val="24"/>
          <w:u w:val="none"/>
          <w:lang w:val="es-AR"/>
        </w:rPr>
        <w:lastRenderedPageBreak/>
        <w:t>párrafo precedente y, posteriormente, evaluar el curso de acción a seguir para fijar criterios respecto a la fecha de entrada en vigor de las normas encuadradas en los diferentes casos contemplados en dichos cuadros.</w:t>
      </w:r>
    </w:p>
    <w:p w:rsidR="000A118E" w:rsidRPr="006C09F5" w:rsidRDefault="000A118E" w:rsidP="000A118E">
      <w:pPr>
        <w:tabs>
          <w:tab w:val="left" w:pos="360"/>
          <w:tab w:val="num" w:pos="1637"/>
        </w:tabs>
        <w:jc w:val="both"/>
        <w:rPr>
          <w:b w:val="0"/>
          <w:color w:val="auto"/>
          <w:sz w:val="24"/>
          <w:szCs w:val="24"/>
          <w:u w:val="none"/>
          <w:lang w:val="es-AR"/>
        </w:rPr>
      </w:pPr>
    </w:p>
    <w:p w:rsidR="005050EF" w:rsidRPr="000A118E" w:rsidRDefault="005050EF" w:rsidP="005050EF">
      <w:pPr>
        <w:tabs>
          <w:tab w:val="left" w:pos="360"/>
          <w:tab w:val="num" w:pos="1637"/>
        </w:tabs>
        <w:jc w:val="both"/>
        <w:rPr>
          <w:b w:val="0"/>
          <w:color w:val="auto"/>
          <w:sz w:val="24"/>
          <w:szCs w:val="24"/>
          <w:u w:val="none"/>
          <w:lang w:val="es-UY"/>
        </w:rPr>
      </w:pPr>
      <w:r w:rsidRPr="000A118E">
        <w:rPr>
          <w:b w:val="0"/>
          <w:color w:val="auto"/>
          <w:sz w:val="24"/>
          <w:szCs w:val="24"/>
          <w:u w:val="none"/>
          <w:lang w:val="es-UY"/>
        </w:rPr>
        <w:t xml:space="preserve">Finalmente, </w:t>
      </w:r>
      <w:r>
        <w:rPr>
          <w:b w:val="0"/>
          <w:color w:val="auto"/>
          <w:sz w:val="24"/>
          <w:szCs w:val="24"/>
          <w:u w:val="none"/>
          <w:lang w:val="es-UY"/>
        </w:rPr>
        <w:t>reiteraron</w:t>
      </w:r>
      <w:r w:rsidRPr="000A118E">
        <w:rPr>
          <w:b w:val="0"/>
          <w:color w:val="auto"/>
          <w:sz w:val="24"/>
          <w:szCs w:val="24"/>
          <w:u w:val="none"/>
          <w:lang w:val="es-UY"/>
        </w:rPr>
        <w:t xml:space="preserve"> a la SM que remita a cada Estado Parte, con anterioridad a la próxima reunión ordinaria del GIN, el listado de las normas cuya información relativa a la incorporación a su ordenamiento jurídico nacional se encuentra en consulta.</w:t>
      </w:r>
    </w:p>
    <w:p w:rsidR="000A118E" w:rsidRPr="000A118E" w:rsidRDefault="000A118E" w:rsidP="008C2462">
      <w:pPr>
        <w:tabs>
          <w:tab w:val="left" w:pos="360"/>
          <w:tab w:val="num" w:pos="1637"/>
        </w:tabs>
        <w:jc w:val="both"/>
        <w:rPr>
          <w:b w:val="0"/>
          <w:color w:val="auto"/>
          <w:sz w:val="24"/>
          <w:szCs w:val="24"/>
          <w:u w:val="none"/>
          <w:lang w:val="es-UY"/>
        </w:rPr>
      </w:pPr>
    </w:p>
    <w:p w:rsidR="0035634F" w:rsidRPr="007B050A" w:rsidRDefault="0035634F" w:rsidP="00440AE3">
      <w:pPr>
        <w:jc w:val="both"/>
        <w:rPr>
          <w:b w:val="0"/>
          <w:color w:val="000000"/>
          <w:sz w:val="24"/>
          <w:szCs w:val="24"/>
          <w:u w:val="none"/>
        </w:rPr>
      </w:pPr>
    </w:p>
    <w:p w:rsidR="00440AE3" w:rsidRPr="004845BD" w:rsidRDefault="00440AE3" w:rsidP="00440AE3">
      <w:pPr>
        <w:numPr>
          <w:ilvl w:val="0"/>
          <w:numId w:val="1"/>
        </w:numPr>
        <w:tabs>
          <w:tab w:val="clear" w:pos="720"/>
          <w:tab w:val="num" w:pos="360"/>
          <w:tab w:val="num" w:pos="1637"/>
        </w:tabs>
        <w:ind w:left="360"/>
        <w:jc w:val="both"/>
        <w:rPr>
          <w:color w:val="000000"/>
          <w:sz w:val="24"/>
          <w:szCs w:val="24"/>
          <w:u w:val="none"/>
          <w:lang w:val="es-PY"/>
        </w:rPr>
      </w:pPr>
      <w:r w:rsidRPr="004845BD">
        <w:rPr>
          <w:color w:val="000000"/>
          <w:sz w:val="24"/>
          <w:u w:val="none"/>
          <w:lang w:val="es-PY"/>
        </w:rPr>
        <w:t>A</w:t>
      </w:r>
      <w:r w:rsidR="00164D2D" w:rsidRPr="004845BD">
        <w:rPr>
          <w:color w:val="000000"/>
          <w:sz w:val="24"/>
          <w:u w:val="none"/>
          <w:lang w:val="es-PY"/>
        </w:rPr>
        <w:t>CTUALIZACIÓN DE LA MATRIZ DEL ACERVO NORMATIVO DEL MERCOSUR</w:t>
      </w:r>
    </w:p>
    <w:p w:rsidR="00164D2D" w:rsidRDefault="00164D2D" w:rsidP="00164D2D">
      <w:pPr>
        <w:tabs>
          <w:tab w:val="num" w:pos="1637"/>
        </w:tabs>
        <w:jc w:val="both"/>
        <w:rPr>
          <w:b w:val="0"/>
          <w:color w:val="000000"/>
          <w:sz w:val="24"/>
          <w:u w:val="none"/>
          <w:lang w:val="es-PY"/>
        </w:rPr>
      </w:pPr>
    </w:p>
    <w:p w:rsidR="0032057F" w:rsidRPr="0089107F" w:rsidRDefault="0032057F" w:rsidP="00164D2D">
      <w:pPr>
        <w:tabs>
          <w:tab w:val="num" w:pos="1637"/>
        </w:tabs>
        <w:jc w:val="both"/>
        <w:rPr>
          <w:b w:val="0"/>
          <w:color w:val="000000"/>
          <w:sz w:val="24"/>
          <w:u w:val="none"/>
          <w:lang w:val="es-PY"/>
        </w:rPr>
      </w:pPr>
      <w:r w:rsidRPr="00B277E4">
        <w:rPr>
          <w:b w:val="0"/>
          <w:color w:val="000000"/>
          <w:sz w:val="24"/>
          <w:u w:val="none"/>
          <w:lang w:val="es-PY"/>
        </w:rPr>
        <w:t xml:space="preserve">La SM presentó la versión actualizada de la matriz del acervo </w:t>
      </w:r>
      <w:r w:rsidR="00B277E4" w:rsidRPr="00B277E4">
        <w:rPr>
          <w:b w:val="0"/>
          <w:color w:val="000000"/>
          <w:sz w:val="24"/>
          <w:u w:val="none"/>
          <w:lang w:val="es-PY"/>
        </w:rPr>
        <w:t>normativo</w:t>
      </w:r>
      <w:r w:rsidRPr="00B277E4">
        <w:rPr>
          <w:b w:val="0"/>
          <w:color w:val="000000"/>
          <w:sz w:val="24"/>
          <w:u w:val="none"/>
          <w:lang w:val="es-PY"/>
        </w:rPr>
        <w:t xml:space="preserve"> del MERCOSUR </w:t>
      </w:r>
      <w:r w:rsidR="00AB509B">
        <w:rPr>
          <w:color w:val="000000"/>
          <w:sz w:val="24"/>
          <w:u w:val="none"/>
          <w:lang w:val="es-PY"/>
        </w:rPr>
        <w:t xml:space="preserve">(Anexo </w:t>
      </w:r>
      <w:r w:rsidR="007B65D2">
        <w:rPr>
          <w:color w:val="000000"/>
          <w:sz w:val="24"/>
          <w:u w:val="none"/>
          <w:lang w:val="es-PY"/>
        </w:rPr>
        <w:t>VIII</w:t>
      </w:r>
      <w:r w:rsidRPr="00B277E4">
        <w:rPr>
          <w:color w:val="000000"/>
          <w:sz w:val="24"/>
          <w:u w:val="none"/>
          <w:lang w:val="es-PY"/>
        </w:rPr>
        <w:t xml:space="preserve"> – RESERVADO -MERCOSUR/IV GIN/DT N° 04/14 – </w:t>
      </w:r>
      <w:r w:rsidRPr="00D05CB7">
        <w:rPr>
          <w:color w:val="000000"/>
          <w:sz w:val="24"/>
          <w:u w:val="none"/>
          <w:lang w:val="es-PY"/>
        </w:rPr>
        <w:t>Rev.</w:t>
      </w:r>
      <w:r w:rsidR="00D05CB7">
        <w:rPr>
          <w:color w:val="000000"/>
          <w:sz w:val="24"/>
          <w:u w:val="none"/>
          <w:lang w:val="es-PY"/>
        </w:rPr>
        <w:t xml:space="preserve"> 12</w:t>
      </w:r>
      <w:r w:rsidRPr="00B277E4">
        <w:rPr>
          <w:color w:val="000000"/>
          <w:sz w:val="24"/>
          <w:u w:val="none"/>
          <w:lang w:val="es-PY"/>
        </w:rPr>
        <w:t>)</w:t>
      </w:r>
      <w:r w:rsidR="0089107F">
        <w:rPr>
          <w:color w:val="000000"/>
          <w:sz w:val="24"/>
          <w:u w:val="none"/>
          <w:lang w:val="es-PY"/>
        </w:rPr>
        <w:t xml:space="preserve">. </w:t>
      </w:r>
      <w:r w:rsidR="0089107F">
        <w:rPr>
          <w:b w:val="0"/>
          <w:color w:val="000000"/>
          <w:sz w:val="24"/>
          <w:u w:val="none"/>
          <w:lang w:val="es-PY"/>
        </w:rPr>
        <w:t xml:space="preserve">Las delegaciones intercambiaron opiniones sobre la forma de reflejar la información relativa a la vigencia de las normas y al respecto instruyeron a la SM a realizar modificaciones en dicho campo, conforme las sugerencias realizadas. </w:t>
      </w:r>
    </w:p>
    <w:p w:rsidR="0032057F" w:rsidRPr="004845BD" w:rsidRDefault="0032057F" w:rsidP="00164D2D">
      <w:pPr>
        <w:tabs>
          <w:tab w:val="num" w:pos="1637"/>
        </w:tabs>
        <w:jc w:val="both"/>
        <w:rPr>
          <w:b w:val="0"/>
          <w:color w:val="000000"/>
          <w:sz w:val="24"/>
          <w:u w:val="none"/>
          <w:lang w:val="es-PY"/>
        </w:rPr>
      </w:pPr>
    </w:p>
    <w:p w:rsidR="00AA6C6D" w:rsidRPr="007F361E" w:rsidRDefault="0056190D" w:rsidP="001E1558">
      <w:pPr>
        <w:tabs>
          <w:tab w:val="num" w:pos="1637"/>
        </w:tabs>
        <w:jc w:val="both"/>
        <w:rPr>
          <w:b w:val="0"/>
          <w:color w:val="000000"/>
          <w:sz w:val="24"/>
          <w:u w:val="none"/>
          <w:lang w:val="es-PY"/>
        </w:rPr>
      </w:pPr>
      <w:r w:rsidRPr="007F361E">
        <w:rPr>
          <w:b w:val="0"/>
          <w:color w:val="000000"/>
          <w:sz w:val="24"/>
          <w:u w:val="none"/>
          <w:lang w:val="es-PY"/>
        </w:rPr>
        <w:t xml:space="preserve">El GIN </w:t>
      </w:r>
      <w:r w:rsidR="0035634F" w:rsidRPr="007F361E">
        <w:rPr>
          <w:b w:val="0"/>
          <w:color w:val="000000"/>
          <w:sz w:val="24"/>
          <w:u w:val="none"/>
          <w:lang w:val="es-PY"/>
        </w:rPr>
        <w:t>reiteró</w:t>
      </w:r>
      <w:r w:rsidRPr="007F361E">
        <w:rPr>
          <w:b w:val="0"/>
          <w:color w:val="000000"/>
          <w:sz w:val="24"/>
          <w:u w:val="none"/>
          <w:lang w:val="es-PY"/>
        </w:rPr>
        <w:t xml:space="preserve"> a la SM </w:t>
      </w:r>
      <w:r w:rsidR="0035634F" w:rsidRPr="007F361E">
        <w:rPr>
          <w:b w:val="0"/>
          <w:color w:val="000000"/>
          <w:sz w:val="24"/>
          <w:u w:val="none"/>
          <w:lang w:val="es-PY"/>
        </w:rPr>
        <w:t xml:space="preserve">la solicitud incluida en el segundo párrafo del numeral 3 del Acta N° 03/18. </w:t>
      </w:r>
    </w:p>
    <w:p w:rsidR="0056190D" w:rsidRDefault="0056190D" w:rsidP="001E1558">
      <w:pPr>
        <w:tabs>
          <w:tab w:val="num" w:pos="1637"/>
        </w:tabs>
        <w:jc w:val="both"/>
        <w:rPr>
          <w:b w:val="0"/>
          <w:color w:val="auto"/>
          <w:sz w:val="24"/>
          <w:u w:val="none"/>
          <w:lang w:val="es-PY"/>
        </w:rPr>
      </w:pPr>
    </w:p>
    <w:p w:rsidR="00B277E4" w:rsidRDefault="00491040" w:rsidP="001E1558">
      <w:pPr>
        <w:tabs>
          <w:tab w:val="num" w:pos="1637"/>
        </w:tabs>
        <w:jc w:val="both"/>
        <w:rPr>
          <w:b w:val="0"/>
          <w:color w:val="auto"/>
          <w:sz w:val="24"/>
          <w:u w:val="none"/>
          <w:lang w:val="es-PY"/>
        </w:rPr>
      </w:pPr>
      <w:r>
        <w:rPr>
          <w:b w:val="0"/>
          <w:color w:val="auto"/>
          <w:sz w:val="24"/>
          <w:u w:val="none"/>
          <w:lang w:val="es-PY"/>
        </w:rPr>
        <w:t xml:space="preserve">La </w:t>
      </w:r>
      <w:r w:rsidRPr="005944CC">
        <w:rPr>
          <w:b w:val="0"/>
          <w:color w:val="auto"/>
          <w:sz w:val="24"/>
          <w:u w:val="none"/>
          <w:lang w:val="es-PY"/>
        </w:rPr>
        <w:t xml:space="preserve">Dirección de Tratados del Ministerio de Relaciones Exteriores de la República del Paraguay presentó </w:t>
      </w:r>
      <w:r>
        <w:rPr>
          <w:b w:val="0"/>
          <w:color w:val="auto"/>
          <w:sz w:val="24"/>
          <w:u w:val="none"/>
          <w:lang w:val="es-PY"/>
        </w:rPr>
        <w:t>la actualización de la información de la matriz de acuerdos internacionales del MERCOSUR.</w:t>
      </w:r>
      <w:r w:rsidRPr="00491040">
        <w:rPr>
          <w:color w:val="auto"/>
          <w:sz w:val="24"/>
          <w:u w:val="none"/>
          <w:lang w:val="es-UY"/>
        </w:rPr>
        <w:t xml:space="preserve"> </w:t>
      </w:r>
      <w:r w:rsidR="00BD0440">
        <w:rPr>
          <w:color w:val="auto"/>
          <w:sz w:val="24"/>
          <w:u w:val="none"/>
          <w:lang w:val="es-UY"/>
        </w:rPr>
        <w:t xml:space="preserve">(Anexo </w:t>
      </w:r>
      <w:r w:rsidR="007B65D2">
        <w:rPr>
          <w:color w:val="auto"/>
          <w:sz w:val="24"/>
          <w:u w:val="none"/>
          <w:lang w:val="es-UY"/>
        </w:rPr>
        <w:t>I</w:t>
      </w:r>
      <w:r w:rsidRPr="007B65D2">
        <w:rPr>
          <w:color w:val="auto"/>
          <w:sz w:val="24"/>
          <w:u w:val="none"/>
          <w:lang w:val="es-UY"/>
        </w:rPr>
        <w:t>X</w:t>
      </w:r>
      <w:r w:rsidRPr="00B277E4">
        <w:rPr>
          <w:color w:val="auto"/>
          <w:sz w:val="24"/>
          <w:u w:val="none"/>
          <w:lang w:val="es-UY"/>
        </w:rPr>
        <w:t xml:space="preserve"> - RESERVADO - MERCOSU</w:t>
      </w:r>
      <w:r w:rsidR="006E479C">
        <w:rPr>
          <w:color w:val="auto"/>
          <w:sz w:val="24"/>
          <w:u w:val="none"/>
          <w:lang w:val="es-UY"/>
        </w:rPr>
        <w:t>R</w:t>
      </w:r>
      <w:r w:rsidRPr="00B277E4">
        <w:rPr>
          <w:color w:val="auto"/>
          <w:sz w:val="24"/>
          <w:u w:val="none"/>
          <w:lang w:val="es-UY"/>
        </w:rPr>
        <w:t>/I</w:t>
      </w:r>
      <w:r>
        <w:rPr>
          <w:color w:val="auto"/>
          <w:sz w:val="24"/>
          <w:u w:val="none"/>
          <w:lang w:val="es-UY"/>
        </w:rPr>
        <w:t>X</w:t>
      </w:r>
      <w:r w:rsidRPr="00B277E4">
        <w:rPr>
          <w:color w:val="auto"/>
          <w:sz w:val="24"/>
          <w:u w:val="none"/>
          <w:lang w:val="es-UY"/>
        </w:rPr>
        <w:t xml:space="preserve"> GIN/DT Nº 0</w:t>
      </w:r>
      <w:r>
        <w:rPr>
          <w:color w:val="auto"/>
          <w:sz w:val="24"/>
          <w:u w:val="none"/>
          <w:lang w:val="es-UY"/>
        </w:rPr>
        <w:t>3</w:t>
      </w:r>
      <w:r w:rsidRPr="00B277E4">
        <w:rPr>
          <w:color w:val="auto"/>
          <w:sz w:val="24"/>
          <w:u w:val="none"/>
          <w:lang w:val="es-UY"/>
        </w:rPr>
        <w:t>/1</w:t>
      </w:r>
      <w:r>
        <w:rPr>
          <w:color w:val="auto"/>
          <w:sz w:val="24"/>
          <w:u w:val="none"/>
          <w:lang w:val="es-UY"/>
        </w:rPr>
        <w:t>7</w:t>
      </w:r>
      <w:r w:rsidR="0093088E">
        <w:rPr>
          <w:color w:val="auto"/>
          <w:sz w:val="24"/>
          <w:u w:val="none"/>
          <w:lang w:val="es-UY"/>
        </w:rPr>
        <w:t xml:space="preserve"> -</w:t>
      </w:r>
      <w:r>
        <w:rPr>
          <w:color w:val="auto"/>
          <w:sz w:val="24"/>
          <w:u w:val="none"/>
          <w:lang w:val="es-UY"/>
        </w:rPr>
        <w:t xml:space="preserve"> Rev. </w:t>
      </w:r>
      <w:r w:rsidR="00D05CB7">
        <w:rPr>
          <w:color w:val="auto"/>
          <w:sz w:val="24"/>
          <w:u w:val="none"/>
          <w:lang w:val="es-UY"/>
        </w:rPr>
        <w:t>4</w:t>
      </w:r>
      <w:r w:rsidRPr="00B277E4">
        <w:rPr>
          <w:color w:val="auto"/>
          <w:sz w:val="24"/>
          <w:u w:val="none"/>
          <w:lang w:val="es-UY"/>
        </w:rPr>
        <w:t>)</w:t>
      </w:r>
      <w:r>
        <w:rPr>
          <w:color w:val="auto"/>
          <w:sz w:val="24"/>
          <w:u w:val="none"/>
          <w:lang w:val="es-UY"/>
        </w:rPr>
        <w:t>.</w:t>
      </w:r>
    </w:p>
    <w:p w:rsidR="00491040" w:rsidRDefault="00491040" w:rsidP="001E1558">
      <w:pPr>
        <w:tabs>
          <w:tab w:val="num" w:pos="1637"/>
        </w:tabs>
        <w:jc w:val="both"/>
        <w:rPr>
          <w:b w:val="0"/>
          <w:color w:val="auto"/>
          <w:sz w:val="24"/>
          <w:u w:val="none"/>
          <w:lang w:val="es-PY"/>
        </w:rPr>
      </w:pPr>
    </w:p>
    <w:p w:rsidR="003C1DBB" w:rsidRPr="00CC15C3" w:rsidRDefault="003C1DBB" w:rsidP="001E1558">
      <w:pPr>
        <w:tabs>
          <w:tab w:val="num" w:pos="1637"/>
        </w:tabs>
        <w:jc w:val="both"/>
        <w:rPr>
          <w:b w:val="0"/>
          <w:color w:val="000000"/>
          <w:sz w:val="24"/>
          <w:u w:val="none"/>
          <w:lang w:val="es-UY"/>
        </w:rPr>
      </w:pPr>
    </w:p>
    <w:p w:rsidR="00440AE3" w:rsidRPr="004845BD" w:rsidRDefault="00440AE3" w:rsidP="00440AE3">
      <w:pPr>
        <w:numPr>
          <w:ilvl w:val="0"/>
          <w:numId w:val="1"/>
        </w:numPr>
        <w:tabs>
          <w:tab w:val="clear" w:pos="720"/>
          <w:tab w:val="num" w:pos="360"/>
          <w:tab w:val="num" w:pos="1637"/>
        </w:tabs>
        <w:ind w:left="360"/>
        <w:jc w:val="both"/>
        <w:rPr>
          <w:color w:val="000000"/>
          <w:sz w:val="24"/>
          <w:szCs w:val="24"/>
          <w:u w:val="none"/>
          <w:lang w:val="es-PY"/>
        </w:rPr>
      </w:pPr>
      <w:r w:rsidRPr="004845BD">
        <w:rPr>
          <w:color w:val="000000"/>
          <w:sz w:val="24"/>
          <w:u w:val="none"/>
          <w:lang w:val="es-PY"/>
        </w:rPr>
        <w:t>NOTIFICA</w:t>
      </w:r>
      <w:r w:rsidR="001E1558" w:rsidRPr="004845BD">
        <w:rPr>
          <w:color w:val="000000"/>
          <w:sz w:val="24"/>
          <w:u w:val="none"/>
          <w:lang w:val="es-PY"/>
        </w:rPr>
        <w:t>CIÓN A LA SM DE LAS NORMAS INCORPORADAS POR LOS ESTADOS PARTES</w:t>
      </w:r>
    </w:p>
    <w:p w:rsidR="00AA6C6D" w:rsidRDefault="00AA6C6D" w:rsidP="00440AE3">
      <w:pPr>
        <w:tabs>
          <w:tab w:val="left" w:pos="360"/>
        </w:tabs>
        <w:jc w:val="both"/>
        <w:rPr>
          <w:b w:val="0"/>
          <w:color w:val="000000"/>
          <w:sz w:val="24"/>
          <w:u w:val="none"/>
          <w:lang w:val="es-PY"/>
        </w:rPr>
      </w:pPr>
    </w:p>
    <w:p w:rsidR="00AA6C6D" w:rsidRPr="003C1DBB" w:rsidRDefault="003C1DBB" w:rsidP="00440AE3">
      <w:pPr>
        <w:tabs>
          <w:tab w:val="left" w:pos="360"/>
        </w:tabs>
        <w:jc w:val="both"/>
        <w:rPr>
          <w:b w:val="0"/>
          <w:color w:val="auto"/>
          <w:sz w:val="24"/>
          <w:u w:val="none"/>
          <w:lang w:val="es-PY"/>
        </w:rPr>
      </w:pPr>
      <w:r w:rsidRPr="003C1DBB">
        <w:rPr>
          <w:b w:val="0"/>
          <w:color w:val="auto"/>
          <w:sz w:val="24"/>
          <w:u w:val="none"/>
          <w:lang w:val="es-PY"/>
        </w:rPr>
        <w:t xml:space="preserve">La SM informó que, desde la última reunión ordinaria del GIN, Argentina comunicó la incorporación de </w:t>
      </w:r>
      <w:r w:rsidR="00946CF9">
        <w:rPr>
          <w:b w:val="0"/>
          <w:color w:val="auto"/>
          <w:sz w:val="24"/>
          <w:u w:val="none"/>
          <w:lang w:val="es-PY"/>
        </w:rPr>
        <w:t>21</w:t>
      </w:r>
      <w:r w:rsidRPr="003C1DBB">
        <w:rPr>
          <w:b w:val="0"/>
          <w:color w:val="auto"/>
          <w:sz w:val="24"/>
          <w:u w:val="none"/>
          <w:lang w:val="es-PY"/>
        </w:rPr>
        <w:t xml:space="preserve"> normas; Brasil, de </w:t>
      </w:r>
      <w:r w:rsidR="00946CF9">
        <w:rPr>
          <w:b w:val="0"/>
          <w:color w:val="auto"/>
          <w:sz w:val="24"/>
          <w:u w:val="none"/>
          <w:lang w:val="es-PY"/>
        </w:rPr>
        <w:t>26</w:t>
      </w:r>
      <w:r w:rsidRPr="003C1DBB">
        <w:rPr>
          <w:b w:val="0"/>
          <w:color w:val="auto"/>
          <w:sz w:val="24"/>
          <w:u w:val="none"/>
          <w:lang w:val="es-PY"/>
        </w:rPr>
        <w:t xml:space="preserve">; Paraguay, de </w:t>
      </w:r>
      <w:r w:rsidR="00946CF9">
        <w:rPr>
          <w:b w:val="0"/>
          <w:color w:val="auto"/>
          <w:sz w:val="24"/>
          <w:u w:val="none"/>
          <w:lang w:val="es-PY"/>
        </w:rPr>
        <w:t>70</w:t>
      </w:r>
      <w:r w:rsidRPr="003C1DBB">
        <w:rPr>
          <w:b w:val="0"/>
          <w:color w:val="auto"/>
          <w:sz w:val="24"/>
          <w:u w:val="none"/>
          <w:lang w:val="es-PY"/>
        </w:rPr>
        <w:t xml:space="preserve"> y </w:t>
      </w:r>
      <w:r w:rsidRPr="00EF52DF">
        <w:rPr>
          <w:b w:val="0"/>
          <w:color w:val="auto"/>
          <w:sz w:val="24"/>
          <w:u w:val="none"/>
          <w:lang w:val="es-PY"/>
        </w:rPr>
        <w:t xml:space="preserve">Uruguay, de </w:t>
      </w:r>
      <w:r w:rsidR="00946CF9" w:rsidRPr="00EF52DF">
        <w:rPr>
          <w:b w:val="0"/>
          <w:color w:val="auto"/>
          <w:sz w:val="24"/>
          <w:u w:val="none"/>
          <w:lang w:val="es-PY"/>
        </w:rPr>
        <w:t>27</w:t>
      </w:r>
      <w:r w:rsidRPr="00EF52DF">
        <w:rPr>
          <w:b w:val="0"/>
          <w:color w:val="auto"/>
          <w:sz w:val="24"/>
          <w:u w:val="none"/>
          <w:lang w:val="es-PY"/>
        </w:rPr>
        <w:t>.</w:t>
      </w:r>
      <w:r w:rsidR="00946CF9">
        <w:rPr>
          <w:b w:val="0"/>
          <w:color w:val="auto"/>
          <w:sz w:val="24"/>
          <w:u w:val="none"/>
          <w:lang w:val="es-PY"/>
        </w:rPr>
        <w:t xml:space="preserve"> </w:t>
      </w:r>
    </w:p>
    <w:p w:rsidR="00AA6C6D" w:rsidRDefault="00AA6C6D" w:rsidP="00AA6C6D">
      <w:pPr>
        <w:tabs>
          <w:tab w:val="num" w:pos="1637"/>
        </w:tabs>
        <w:ind w:left="360"/>
        <w:jc w:val="both"/>
        <w:rPr>
          <w:color w:val="auto"/>
          <w:sz w:val="24"/>
          <w:szCs w:val="24"/>
          <w:u w:val="none"/>
          <w:lang w:val="es-PY"/>
        </w:rPr>
      </w:pPr>
    </w:p>
    <w:p w:rsidR="003C1DBB" w:rsidRPr="00AA6C6D" w:rsidRDefault="003C1DBB" w:rsidP="00AA6C6D">
      <w:pPr>
        <w:tabs>
          <w:tab w:val="num" w:pos="1637"/>
        </w:tabs>
        <w:ind w:left="360"/>
        <w:jc w:val="both"/>
        <w:rPr>
          <w:color w:val="auto"/>
          <w:sz w:val="24"/>
          <w:szCs w:val="24"/>
          <w:u w:val="none"/>
          <w:lang w:val="es-PY"/>
        </w:rPr>
      </w:pPr>
    </w:p>
    <w:p w:rsidR="00440AE3" w:rsidRPr="00D84777" w:rsidRDefault="001E1558" w:rsidP="00440AE3">
      <w:pPr>
        <w:numPr>
          <w:ilvl w:val="0"/>
          <w:numId w:val="1"/>
        </w:numPr>
        <w:tabs>
          <w:tab w:val="clear" w:pos="720"/>
          <w:tab w:val="num" w:pos="360"/>
          <w:tab w:val="num" w:pos="1637"/>
        </w:tabs>
        <w:ind w:left="360"/>
        <w:jc w:val="both"/>
        <w:rPr>
          <w:color w:val="auto"/>
          <w:sz w:val="24"/>
          <w:szCs w:val="24"/>
          <w:u w:val="none"/>
          <w:lang w:val="es-PY"/>
        </w:rPr>
      </w:pPr>
      <w:r w:rsidRPr="00D84777">
        <w:rPr>
          <w:color w:val="auto"/>
          <w:sz w:val="24"/>
          <w:u w:val="none"/>
          <w:lang w:val="es-PY"/>
        </w:rPr>
        <w:t>ÍNDICES DE VIGENCIA Y DE INCORPORACIÓN</w:t>
      </w:r>
    </w:p>
    <w:p w:rsidR="00160A52" w:rsidRPr="00E1018A" w:rsidRDefault="00160A52" w:rsidP="00440AE3">
      <w:pPr>
        <w:tabs>
          <w:tab w:val="left" w:pos="268"/>
          <w:tab w:val="left" w:pos="360"/>
        </w:tabs>
        <w:jc w:val="both"/>
        <w:rPr>
          <w:b w:val="0"/>
          <w:color w:val="auto"/>
          <w:sz w:val="24"/>
          <w:szCs w:val="24"/>
          <w:highlight w:val="yellow"/>
          <w:u w:val="none"/>
          <w:lang w:val="es-PY"/>
        </w:rPr>
      </w:pPr>
    </w:p>
    <w:p w:rsidR="00977E0A" w:rsidRPr="00A23FB2" w:rsidRDefault="00977E0A" w:rsidP="00977E0A">
      <w:pPr>
        <w:tabs>
          <w:tab w:val="left" w:pos="268"/>
          <w:tab w:val="left" w:pos="360"/>
        </w:tabs>
        <w:jc w:val="both"/>
        <w:rPr>
          <w:b w:val="0"/>
          <w:color w:val="auto"/>
          <w:sz w:val="24"/>
          <w:u w:val="none"/>
          <w:lang w:val="es-PY"/>
        </w:rPr>
      </w:pPr>
      <w:r w:rsidRPr="00A23FB2">
        <w:rPr>
          <w:b w:val="0"/>
          <w:color w:val="auto"/>
          <w:sz w:val="24"/>
          <w:u w:val="none"/>
          <w:lang w:val="es-PY"/>
        </w:rPr>
        <w:t xml:space="preserve">Las delegaciones intercambiaron comentarios sobre los índices de vigencia actualizados de las Decisiones, Resoluciones, Directivas y de los acuerdos internacionales celebrados entre los Estados Partes del MERCOSUR, entre el MERCOSUR y terceros países o </w:t>
      </w:r>
      <w:r w:rsidR="007F14B0">
        <w:rPr>
          <w:b w:val="0"/>
          <w:color w:val="auto"/>
          <w:sz w:val="24"/>
          <w:u w:val="none"/>
          <w:lang w:val="es-PY"/>
        </w:rPr>
        <w:t>grupos</w:t>
      </w:r>
      <w:r w:rsidRPr="00A23FB2">
        <w:rPr>
          <w:b w:val="0"/>
          <w:color w:val="auto"/>
          <w:sz w:val="24"/>
          <w:u w:val="none"/>
          <w:lang w:val="es-PY"/>
        </w:rPr>
        <w:t xml:space="preserve"> de países y entre el MERCOSUR y Estados Asociados, elaborados por la SM y </w:t>
      </w:r>
      <w:r w:rsidR="007F14B0">
        <w:rPr>
          <w:b w:val="0"/>
          <w:color w:val="auto"/>
          <w:sz w:val="24"/>
          <w:u w:val="none"/>
          <w:lang w:val="es-PY"/>
        </w:rPr>
        <w:t xml:space="preserve">por </w:t>
      </w:r>
      <w:r w:rsidRPr="00A23FB2">
        <w:rPr>
          <w:b w:val="0"/>
          <w:color w:val="auto"/>
          <w:sz w:val="24"/>
          <w:u w:val="none"/>
          <w:lang w:val="es-PY"/>
        </w:rPr>
        <w:t>la Dirección de Tratados del Ministerio de Relaciones Exteriores de la República del Paraguay, respectivamente.</w:t>
      </w:r>
    </w:p>
    <w:p w:rsidR="00977E0A" w:rsidRDefault="00977E0A" w:rsidP="004E1BE7">
      <w:pPr>
        <w:tabs>
          <w:tab w:val="left" w:pos="268"/>
          <w:tab w:val="left" w:pos="360"/>
        </w:tabs>
        <w:jc w:val="both"/>
        <w:rPr>
          <w:b w:val="0"/>
          <w:color w:val="auto"/>
          <w:sz w:val="24"/>
          <w:u w:val="none"/>
          <w:lang w:val="es-PY"/>
        </w:rPr>
      </w:pPr>
    </w:p>
    <w:p w:rsidR="00946CF9" w:rsidRDefault="00946CF9" w:rsidP="004E1BE7">
      <w:pPr>
        <w:tabs>
          <w:tab w:val="left" w:pos="268"/>
          <w:tab w:val="left" w:pos="360"/>
        </w:tabs>
        <w:jc w:val="both"/>
        <w:rPr>
          <w:b w:val="0"/>
          <w:color w:val="auto"/>
          <w:sz w:val="24"/>
          <w:u w:val="none"/>
          <w:lang w:val="es-PY"/>
        </w:rPr>
      </w:pPr>
      <w:r>
        <w:rPr>
          <w:b w:val="0"/>
          <w:color w:val="auto"/>
          <w:sz w:val="24"/>
          <w:u w:val="none"/>
          <w:lang w:val="es-PY"/>
        </w:rPr>
        <w:t xml:space="preserve">El GIN </w:t>
      </w:r>
      <w:r w:rsidR="007F14B0">
        <w:rPr>
          <w:b w:val="0"/>
          <w:color w:val="auto"/>
          <w:sz w:val="24"/>
          <w:u w:val="none"/>
          <w:lang w:val="es-PY"/>
        </w:rPr>
        <w:t>analizó los índices de incorporación de las normas por los Estados Partes</w:t>
      </w:r>
      <w:r w:rsidR="007F14B0" w:rsidRPr="007F14B0">
        <w:rPr>
          <w:b w:val="0"/>
          <w:strike/>
          <w:color w:val="auto"/>
          <w:sz w:val="24"/>
          <w:u w:val="none"/>
          <w:lang w:val="es-PY"/>
        </w:rPr>
        <w:t xml:space="preserve"> </w:t>
      </w:r>
      <w:r w:rsidR="007F14B0">
        <w:rPr>
          <w:b w:val="0"/>
          <w:color w:val="auto"/>
          <w:sz w:val="24"/>
          <w:u w:val="none"/>
          <w:lang w:val="es-PY"/>
        </w:rPr>
        <w:t>elaborados</w:t>
      </w:r>
      <w:r>
        <w:rPr>
          <w:b w:val="0"/>
          <w:color w:val="auto"/>
          <w:sz w:val="24"/>
          <w:u w:val="none"/>
          <w:lang w:val="es-PY"/>
        </w:rPr>
        <w:t xml:space="preserve"> por la SM. </w:t>
      </w:r>
      <w:r w:rsidR="00A23FB2" w:rsidRPr="00CF0A70">
        <w:rPr>
          <w:b w:val="0"/>
          <w:color w:val="auto"/>
          <w:sz w:val="24"/>
          <w:u w:val="none"/>
          <w:lang w:val="es-PY"/>
        </w:rPr>
        <w:t>Las delegaciones realizaron ajustes al documento y solicitaron a la SM su actualización</w:t>
      </w:r>
      <w:r w:rsidR="00A23FB2">
        <w:rPr>
          <w:b w:val="0"/>
          <w:color w:val="auto"/>
          <w:sz w:val="24"/>
          <w:u w:val="none"/>
          <w:lang w:val="es-PY"/>
        </w:rPr>
        <w:t xml:space="preserve"> con base a los comentarios efectuados. </w:t>
      </w:r>
    </w:p>
    <w:p w:rsidR="00521941" w:rsidRDefault="00521941" w:rsidP="00440AE3">
      <w:pPr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F42D14" w:rsidRPr="004845BD" w:rsidRDefault="00F42D14" w:rsidP="00440AE3">
      <w:pPr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5810E5" w:rsidRDefault="005810E5">
      <w:pPr>
        <w:spacing w:after="200" w:line="276" w:lineRule="auto"/>
        <w:rPr>
          <w:color w:val="auto"/>
          <w:sz w:val="24"/>
          <w:u w:val="none"/>
          <w:lang w:val="es-PY"/>
        </w:rPr>
      </w:pPr>
      <w:r>
        <w:rPr>
          <w:color w:val="auto"/>
          <w:sz w:val="24"/>
          <w:u w:val="none"/>
          <w:lang w:val="es-PY"/>
        </w:rPr>
        <w:br w:type="page"/>
      </w:r>
    </w:p>
    <w:p w:rsidR="00440AE3" w:rsidRPr="004845BD" w:rsidRDefault="00440AE3" w:rsidP="00440AE3">
      <w:pPr>
        <w:numPr>
          <w:ilvl w:val="0"/>
          <w:numId w:val="1"/>
        </w:numPr>
        <w:tabs>
          <w:tab w:val="clear" w:pos="720"/>
          <w:tab w:val="num" w:pos="360"/>
          <w:tab w:val="num" w:pos="1637"/>
        </w:tabs>
        <w:ind w:left="360"/>
        <w:jc w:val="both"/>
        <w:rPr>
          <w:color w:val="auto"/>
          <w:sz w:val="24"/>
          <w:szCs w:val="24"/>
          <w:u w:val="none"/>
          <w:lang w:val="es-PY"/>
        </w:rPr>
      </w:pPr>
      <w:r w:rsidRPr="004845BD">
        <w:rPr>
          <w:color w:val="auto"/>
          <w:sz w:val="24"/>
          <w:u w:val="none"/>
          <w:lang w:val="es-PY"/>
        </w:rPr>
        <w:lastRenderedPageBreak/>
        <w:t xml:space="preserve">PROBLEMAS </w:t>
      </w:r>
      <w:r w:rsidR="00192E63" w:rsidRPr="004845BD">
        <w:rPr>
          <w:color w:val="auto"/>
          <w:sz w:val="24"/>
          <w:u w:val="none"/>
          <w:lang w:val="es-PY"/>
        </w:rPr>
        <w:t>DE INCORPORACION E</w:t>
      </w:r>
      <w:r w:rsidR="004E1BE7">
        <w:rPr>
          <w:color w:val="auto"/>
          <w:sz w:val="24"/>
          <w:u w:val="none"/>
          <w:lang w:val="es-PY"/>
        </w:rPr>
        <w:t>N</w:t>
      </w:r>
      <w:r w:rsidR="00192E63" w:rsidRPr="004845BD">
        <w:rPr>
          <w:color w:val="auto"/>
          <w:sz w:val="24"/>
          <w:u w:val="none"/>
          <w:lang w:val="es-PY"/>
        </w:rPr>
        <w:t xml:space="preserve"> SECTORES ESPECÍFICOS</w:t>
      </w:r>
    </w:p>
    <w:p w:rsidR="003B5E10" w:rsidRDefault="003B5E10" w:rsidP="00440AE3">
      <w:pPr>
        <w:tabs>
          <w:tab w:val="left" w:pos="268"/>
          <w:tab w:val="left" w:pos="360"/>
        </w:tabs>
        <w:jc w:val="both"/>
        <w:rPr>
          <w:b w:val="0"/>
          <w:color w:val="auto"/>
          <w:sz w:val="24"/>
          <w:u w:val="none"/>
          <w:lang w:val="es-PY"/>
        </w:rPr>
      </w:pPr>
    </w:p>
    <w:p w:rsidR="00AA6C6D" w:rsidRDefault="003C1DBB" w:rsidP="00440AE3">
      <w:pPr>
        <w:tabs>
          <w:tab w:val="left" w:pos="268"/>
          <w:tab w:val="left" w:pos="360"/>
        </w:tabs>
        <w:jc w:val="both"/>
        <w:rPr>
          <w:b w:val="0"/>
          <w:color w:val="auto"/>
          <w:sz w:val="24"/>
          <w:u w:val="none"/>
          <w:lang w:val="es-PY"/>
        </w:rPr>
      </w:pPr>
      <w:r>
        <w:rPr>
          <w:b w:val="0"/>
          <w:color w:val="auto"/>
          <w:sz w:val="24"/>
          <w:u w:val="none"/>
          <w:lang w:val="es-PY"/>
        </w:rPr>
        <w:t>El tema continúa en agenda</w:t>
      </w:r>
      <w:r w:rsidR="0093088E">
        <w:rPr>
          <w:b w:val="0"/>
          <w:color w:val="auto"/>
          <w:sz w:val="24"/>
          <w:u w:val="none"/>
          <w:lang w:val="es-PY"/>
        </w:rPr>
        <w:t>.</w:t>
      </w:r>
    </w:p>
    <w:p w:rsidR="003C1DBB" w:rsidRDefault="003C1DBB" w:rsidP="00440AE3">
      <w:pPr>
        <w:tabs>
          <w:tab w:val="left" w:pos="268"/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5810E5" w:rsidRDefault="005810E5" w:rsidP="00440AE3">
      <w:pPr>
        <w:tabs>
          <w:tab w:val="left" w:pos="268"/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440AE3" w:rsidRPr="004845BD" w:rsidRDefault="00440AE3" w:rsidP="00440AE3">
      <w:pPr>
        <w:numPr>
          <w:ilvl w:val="0"/>
          <w:numId w:val="1"/>
        </w:numPr>
        <w:tabs>
          <w:tab w:val="clear" w:pos="720"/>
          <w:tab w:val="num" w:pos="360"/>
          <w:tab w:val="num" w:pos="1637"/>
        </w:tabs>
        <w:ind w:left="360"/>
        <w:jc w:val="both"/>
        <w:rPr>
          <w:color w:val="auto"/>
          <w:sz w:val="24"/>
          <w:szCs w:val="24"/>
          <w:u w:val="none"/>
          <w:lang w:val="es-PY"/>
        </w:rPr>
      </w:pPr>
      <w:r w:rsidRPr="004845BD">
        <w:rPr>
          <w:color w:val="auto"/>
          <w:sz w:val="24"/>
          <w:u w:val="none"/>
          <w:lang w:val="es-PY"/>
        </w:rPr>
        <w:t>ELABORA</w:t>
      </w:r>
      <w:r w:rsidR="002336A7" w:rsidRPr="004845BD">
        <w:rPr>
          <w:color w:val="auto"/>
          <w:sz w:val="24"/>
          <w:u w:val="none"/>
          <w:lang w:val="es-PY"/>
        </w:rPr>
        <w:t>CIÓN Y DIVULGACIÓN DEL TEXTO ACTUALIZADO DE LAS NORMAS VIGENTES</w:t>
      </w:r>
    </w:p>
    <w:p w:rsidR="00440AE3" w:rsidRPr="004845BD" w:rsidRDefault="00440AE3" w:rsidP="00440AE3">
      <w:pPr>
        <w:jc w:val="both"/>
        <w:rPr>
          <w:color w:val="auto"/>
          <w:sz w:val="24"/>
          <w:szCs w:val="24"/>
          <w:u w:val="none"/>
          <w:lang w:val="es-PY"/>
        </w:rPr>
      </w:pPr>
    </w:p>
    <w:p w:rsidR="00AA6C6D" w:rsidRDefault="00F327E1" w:rsidP="00440AE3">
      <w:pPr>
        <w:jc w:val="both"/>
        <w:rPr>
          <w:b w:val="0"/>
          <w:color w:val="auto"/>
          <w:sz w:val="24"/>
          <w:szCs w:val="24"/>
          <w:u w:val="none"/>
          <w:lang w:val="es-PY"/>
        </w:rPr>
      </w:pPr>
      <w:r w:rsidRPr="00F327E1">
        <w:rPr>
          <w:b w:val="0"/>
          <w:color w:val="auto"/>
          <w:sz w:val="24"/>
          <w:szCs w:val="24"/>
          <w:u w:val="none"/>
          <w:lang w:val="es-PY"/>
        </w:rPr>
        <w:t xml:space="preserve">El GIN analizó y </w:t>
      </w:r>
      <w:r>
        <w:rPr>
          <w:b w:val="0"/>
          <w:color w:val="auto"/>
          <w:sz w:val="24"/>
          <w:szCs w:val="24"/>
          <w:u w:val="none"/>
          <w:lang w:val="es-PY"/>
        </w:rPr>
        <w:t xml:space="preserve">elevó </w:t>
      </w:r>
      <w:r w:rsidRPr="00F327E1">
        <w:rPr>
          <w:b w:val="0"/>
          <w:color w:val="auto"/>
          <w:sz w:val="24"/>
          <w:szCs w:val="24"/>
          <w:u w:val="none"/>
          <w:lang w:val="es-PY"/>
        </w:rPr>
        <w:t xml:space="preserve">a consideración del GMC para </w:t>
      </w:r>
      <w:r w:rsidR="00CD4A30" w:rsidRPr="00E32691">
        <w:rPr>
          <w:b w:val="0"/>
          <w:color w:val="auto"/>
          <w:sz w:val="24"/>
          <w:szCs w:val="24"/>
          <w:u w:val="none"/>
        </w:rPr>
        <w:t>su eventual publicación en el sitio web</w:t>
      </w:r>
      <w:r w:rsidR="00CD4A30" w:rsidRPr="00F327E1">
        <w:rPr>
          <w:b w:val="0"/>
          <w:color w:val="auto"/>
          <w:sz w:val="24"/>
          <w:szCs w:val="24"/>
          <w:u w:val="none"/>
          <w:lang w:val="es-PY"/>
        </w:rPr>
        <w:t xml:space="preserve"> </w:t>
      </w:r>
      <w:r w:rsidRPr="00F327E1">
        <w:rPr>
          <w:b w:val="0"/>
          <w:color w:val="auto"/>
          <w:sz w:val="24"/>
          <w:szCs w:val="24"/>
          <w:u w:val="none"/>
          <w:lang w:val="es-PY"/>
        </w:rPr>
        <w:t xml:space="preserve">los textos actualizados de las </w:t>
      </w:r>
      <w:r w:rsidRPr="00491040">
        <w:rPr>
          <w:b w:val="0"/>
          <w:color w:val="auto"/>
          <w:sz w:val="24"/>
          <w:szCs w:val="24"/>
          <w:u w:val="none"/>
          <w:lang w:val="es-PY"/>
        </w:rPr>
        <w:t>siguientes normas</w:t>
      </w:r>
      <w:r w:rsidR="00CD4A30">
        <w:rPr>
          <w:b w:val="0"/>
          <w:color w:val="auto"/>
          <w:sz w:val="24"/>
          <w:szCs w:val="24"/>
          <w:u w:val="none"/>
          <w:lang w:val="es-PY"/>
        </w:rPr>
        <w:t xml:space="preserve"> </w:t>
      </w:r>
      <w:r w:rsidRPr="00F327E1">
        <w:rPr>
          <w:color w:val="auto"/>
          <w:sz w:val="24"/>
          <w:szCs w:val="24"/>
          <w:u w:val="none"/>
          <w:lang w:val="es-PY"/>
        </w:rPr>
        <w:t>(</w:t>
      </w:r>
      <w:r w:rsidRPr="00F327E1">
        <w:rPr>
          <w:color w:val="auto"/>
          <w:sz w:val="24"/>
          <w:u w:val="none"/>
          <w:lang w:val="es-PY"/>
        </w:rPr>
        <w:t xml:space="preserve">Anexo </w:t>
      </w:r>
      <w:r w:rsidRPr="007B65D2">
        <w:rPr>
          <w:color w:val="auto"/>
          <w:sz w:val="24"/>
          <w:u w:val="none"/>
          <w:lang w:val="es-PY"/>
        </w:rPr>
        <w:t>X)</w:t>
      </w:r>
      <w:r w:rsidRPr="00F327E1">
        <w:rPr>
          <w:b w:val="0"/>
          <w:color w:val="auto"/>
          <w:sz w:val="24"/>
          <w:szCs w:val="24"/>
          <w:u w:val="none"/>
          <w:lang w:val="es-PY"/>
        </w:rPr>
        <w:t>:</w:t>
      </w:r>
      <w:bookmarkStart w:id="0" w:name="_GoBack"/>
      <w:bookmarkEnd w:id="0"/>
    </w:p>
    <w:p w:rsidR="00837E64" w:rsidRDefault="00837E64" w:rsidP="00440AE3">
      <w:pPr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37E64" w:rsidTr="00837E64">
        <w:tc>
          <w:tcPr>
            <w:tcW w:w="4530" w:type="dxa"/>
          </w:tcPr>
          <w:p w:rsidR="00837E64" w:rsidRDefault="00837E64" w:rsidP="00837E64">
            <w:pPr>
              <w:jc w:val="center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F327E1">
              <w:rPr>
                <w:color w:val="auto"/>
                <w:sz w:val="24"/>
                <w:szCs w:val="24"/>
                <w:u w:val="none"/>
                <w:lang w:val="es-PY"/>
              </w:rPr>
              <w:t>Texto actualizado</w:t>
            </w:r>
          </w:p>
        </w:tc>
        <w:tc>
          <w:tcPr>
            <w:tcW w:w="4530" w:type="dxa"/>
          </w:tcPr>
          <w:p w:rsidR="00837E64" w:rsidRDefault="00837E64" w:rsidP="00837E64">
            <w:pPr>
              <w:jc w:val="center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F327E1">
              <w:rPr>
                <w:color w:val="auto"/>
                <w:sz w:val="24"/>
                <w:szCs w:val="24"/>
                <w:u w:val="none"/>
                <w:lang w:val="es-PY"/>
              </w:rPr>
              <w:t>Actualizado con base en</w:t>
            </w:r>
          </w:p>
        </w:tc>
      </w:tr>
      <w:tr w:rsidR="004F5801" w:rsidTr="00837E64">
        <w:tc>
          <w:tcPr>
            <w:tcW w:w="4530" w:type="dxa"/>
          </w:tcPr>
          <w:p w:rsidR="004F5801" w:rsidRDefault="004F5801" w:rsidP="004F5801">
            <w:pPr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Decisión CMC N° 36/10</w:t>
            </w:r>
          </w:p>
        </w:tc>
        <w:tc>
          <w:tcPr>
            <w:tcW w:w="4530" w:type="dxa"/>
          </w:tcPr>
          <w:p w:rsidR="004F5801" w:rsidRDefault="004F5801" w:rsidP="004F5801">
            <w:pPr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Decisión CMC N° 08/18</w:t>
            </w:r>
          </w:p>
        </w:tc>
      </w:tr>
      <w:tr w:rsidR="007B050A" w:rsidTr="00837E64">
        <w:tc>
          <w:tcPr>
            <w:tcW w:w="4530" w:type="dxa"/>
          </w:tcPr>
          <w:p w:rsidR="007B050A" w:rsidRPr="00F327E1" w:rsidRDefault="004F5801" w:rsidP="007B050A">
            <w:pPr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Decisión CMC N° 24/14</w:t>
            </w:r>
          </w:p>
        </w:tc>
        <w:tc>
          <w:tcPr>
            <w:tcW w:w="4530" w:type="dxa"/>
          </w:tcPr>
          <w:p w:rsidR="007B050A" w:rsidRPr="00F327E1" w:rsidRDefault="004F5801" w:rsidP="007B050A">
            <w:pPr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Decisión CMC N° 08/18</w:t>
            </w:r>
          </w:p>
        </w:tc>
      </w:tr>
      <w:tr w:rsidR="004F5801" w:rsidTr="00837E64">
        <w:tc>
          <w:tcPr>
            <w:tcW w:w="4530" w:type="dxa"/>
          </w:tcPr>
          <w:p w:rsidR="004F5801" w:rsidRDefault="004F5801" w:rsidP="004F5801">
            <w:pPr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Decisión CMC N° 45/15</w:t>
            </w:r>
          </w:p>
        </w:tc>
        <w:tc>
          <w:tcPr>
            <w:tcW w:w="4530" w:type="dxa"/>
          </w:tcPr>
          <w:p w:rsidR="004F5801" w:rsidRDefault="004F5801" w:rsidP="004F5801">
            <w:pPr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Decisión CMC N° 08/18</w:t>
            </w:r>
          </w:p>
        </w:tc>
      </w:tr>
    </w:tbl>
    <w:p w:rsidR="00837E64" w:rsidRDefault="00837E64" w:rsidP="00440AE3">
      <w:pPr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4F5801" w:rsidRDefault="004F5801" w:rsidP="00440AE3">
      <w:pPr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440AE3" w:rsidRPr="004845BD" w:rsidRDefault="00440AE3" w:rsidP="00440AE3">
      <w:pPr>
        <w:numPr>
          <w:ilvl w:val="0"/>
          <w:numId w:val="1"/>
        </w:numPr>
        <w:tabs>
          <w:tab w:val="clear" w:pos="720"/>
          <w:tab w:val="num" w:pos="360"/>
          <w:tab w:val="num" w:pos="1637"/>
        </w:tabs>
        <w:ind w:left="360"/>
        <w:jc w:val="both"/>
        <w:rPr>
          <w:color w:val="auto"/>
          <w:sz w:val="24"/>
          <w:szCs w:val="24"/>
          <w:u w:val="none"/>
          <w:lang w:val="es-PY"/>
        </w:rPr>
      </w:pPr>
      <w:r w:rsidRPr="004845BD">
        <w:rPr>
          <w:color w:val="auto"/>
          <w:sz w:val="24"/>
          <w:u w:val="none"/>
          <w:lang w:val="es-PY"/>
        </w:rPr>
        <w:t xml:space="preserve">NORMAS PROTOCOLIZADAS </w:t>
      </w:r>
      <w:r w:rsidR="004845BD" w:rsidRPr="004845BD">
        <w:rPr>
          <w:color w:val="auto"/>
          <w:sz w:val="24"/>
          <w:u w:val="none"/>
          <w:lang w:val="es-PY"/>
        </w:rPr>
        <w:t>EN EL ÁMBITO DE LA ALADI</w:t>
      </w:r>
    </w:p>
    <w:p w:rsidR="00160A52" w:rsidRPr="004845BD" w:rsidRDefault="00160A52" w:rsidP="00440AE3">
      <w:pPr>
        <w:jc w:val="both"/>
        <w:rPr>
          <w:b w:val="0"/>
          <w:color w:val="auto"/>
          <w:sz w:val="24"/>
          <w:szCs w:val="24"/>
          <w:highlight w:val="cyan"/>
          <w:u w:val="none"/>
          <w:lang w:val="es-PY"/>
        </w:rPr>
      </w:pPr>
    </w:p>
    <w:p w:rsidR="00F36A0F" w:rsidRPr="003F1CDF" w:rsidRDefault="008E35BF" w:rsidP="008E35BF">
      <w:pPr>
        <w:jc w:val="both"/>
        <w:rPr>
          <w:b w:val="0"/>
          <w:color w:val="auto"/>
          <w:sz w:val="24"/>
          <w:szCs w:val="24"/>
          <w:u w:val="none"/>
          <w:lang w:val="es-UY"/>
        </w:rPr>
      </w:pPr>
      <w:r w:rsidRPr="00CF0A70">
        <w:rPr>
          <w:b w:val="0"/>
          <w:color w:val="auto"/>
          <w:sz w:val="24"/>
          <w:u w:val="none"/>
          <w:lang w:val="es-PY"/>
        </w:rPr>
        <w:t xml:space="preserve">El GIN </w:t>
      </w:r>
      <w:r w:rsidR="00F36A0F">
        <w:rPr>
          <w:b w:val="0"/>
          <w:color w:val="auto"/>
          <w:sz w:val="24"/>
          <w:u w:val="none"/>
          <w:lang w:val="es-PY"/>
        </w:rPr>
        <w:t>recibió</w:t>
      </w:r>
      <w:r w:rsidRPr="00CF0A70">
        <w:rPr>
          <w:b w:val="0"/>
          <w:color w:val="auto"/>
          <w:sz w:val="24"/>
          <w:u w:val="none"/>
          <w:lang w:val="es-PY"/>
        </w:rPr>
        <w:t xml:space="preserve"> </w:t>
      </w:r>
      <w:r w:rsidR="006D086E">
        <w:rPr>
          <w:b w:val="0"/>
          <w:color w:val="auto"/>
          <w:sz w:val="24"/>
          <w:u w:val="none"/>
          <w:lang w:val="es-PY"/>
        </w:rPr>
        <w:t>los</w:t>
      </w:r>
      <w:r>
        <w:rPr>
          <w:b w:val="0"/>
          <w:color w:val="auto"/>
          <w:sz w:val="24"/>
          <w:u w:val="none"/>
          <w:lang w:val="es-PY"/>
        </w:rPr>
        <w:t xml:space="preserve"> cuadro</w:t>
      </w:r>
      <w:r w:rsidR="006D086E">
        <w:rPr>
          <w:b w:val="0"/>
          <w:color w:val="auto"/>
          <w:sz w:val="24"/>
          <w:u w:val="none"/>
          <w:lang w:val="es-PY"/>
        </w:rPr>
        <w:t>s</w:t>
      </w:r>
      <w:r>
        <w:rPr>
          <w:b w:val="0"/>
          <w:color w:val="auto"/>
          <w:sz w:val="24"/>
          <w:u w:val="none"/>
          <w:lang w:val="es-PY"/>
        </w:rPr>
        <w:t xml:space="preserve"> de normas MERCOSUR protocolizadas en el ámbito de la ALADI</w:t>
      </w:r>
      <w:r w:rsidR="00F36A0F">
        <w:rPr>
          <w:b w:val="0"/>
          <w:color w:val="auto"/>
          <w:sz w:val="24"/>
          <w:u w:val="none"/>
          <w:lang w:val="es-PY"/>
        </w:rPr>
        <w:t xml:space="preserve"> elaborados por la SM y actualizados de conformidad con lo solicitado en la última reunión ordinaria</w:t>
      </w:r>
      <w:r w:rsidR="003F1CDF">
        <w:rPr>
          <w:b w:val="0"/>
          <w:color w:val="auto"/>
          <w:sz w:val="24"/>
          <w:u w:val="none"/>
          <w:lang w:val="es-PY"/>
        </w:rPr>
        <w:t xml:space="preserve">. </w:t>
      </w:r>
      <w:r w:rsidR="003F1CDF" w:rsidRPr="003F1CDF">
        <w:rPr>
          <w:color w:val="auto"/>
          <w:sz w:val="24"/>
          <w:u w:val="none"/>
          <w:lang w:val="es-PY"/>
        </w:rPr>
        <w:t>(</w:t>
      </w:r>
      <w:r w:rsidR="00F36A0F" w:rsidRPr="007B65D2">
        <w:rPr>
          <w:color w:val="auto"/>
          <w:sz w:val="24"/>
          <w:u w:val="none"/>
          <w:lang w:val="es-PY"/>
        </w:rPr>
        <w:t>Anexo</w:t>
      </w:r>
      <w:r w:rsidR="003F1CDF">
        <w:rPr>
          <w:color w:val="auto"/>
          <w:sz w:val="24"/>
          <w:u w:val="none"/>
          <w:lang w:val="es-PY"/>
        </w:rPr>
        <w:t xml:space="preserve"> XI - </w:t>
      </w:r>
      <w:r w:rsidR="003F1CDF" w:rsidRPr="003F1CDF">
        <w:rPr>
          <w:color w:val="auto"/>
          <w:sz w:val="24"/>
          <w:szCs w:val="24"/>
          <w:u w:val="none"/>
          <w:lang w:val="es-UY"/>
        </w:rPr>
        <w:t>RESERVADO – MERCOSUR/IX GIN/DT N° 05/14 - Rev.2 y MERCOSUR/IX GIN/DT N° 06/14 - Rev. 10).</w:t>
      </w:r>
    </w:p>
    <w:p w:rsidR="003F1CDF" w:rsidRPr="003F1CDF" w:rsidRDefault="003F1CDF" w:rsidP="008E35BF">
      <w:pPr>
        <w:jc w:val="both"/>
        <w:rPr>
          <w:b w:val="0"/>
          <w:color w:val="auto"/>
          <w:sz w:val="24"/>
          <w:u w:val="none"/>
          <w:lang w:val="es-UY"/>
        </w:rPr>
      </w:pPr>
    </w:p>
    <w:p w:rsidR="00F36A0F" w:rsidRDefault="00F36A0F" w:rsidP="008E35BF">
      <w:pPr>
        <w:jc w:val="both"/>
        <w:rPr>
          <w:b w:val="0"/>
          <w:color w:val="auto"/>
          <w:sz w:val="24"/>
          <w:u w:val="none"/>
          <w:lang w:val="es-PY"/>
        </w:rPr>
      </w:pPr>
      <w:r>
        <w:rPr>
          <w:b w:val="0"/>
          <w:color w:val="auto"/>
          <w:sz w:val="24"/>
          <w:u w:val="none"/>
          <w:lang w:val="es-PY"/>
        </w:rPr>
        <w:t xml:space="preserve">Las delegaciones se comprometieron a analizar dichos documentos para su tratamiento en la próxima reunión ordinaria. </w:t>
      </w:r>
    </w:p>
    <w:p w:rsidR="00F36A0F" w:rsidRDefault="00F36A0F" w:rsidP="008E35BF">
      <w:pPr>
        <w:jc w:val="both"/>
        <w:rPr>
          <w:b w:val="0"/>
          <w:color w:val="auto"/>
          <w:sz w:val="24"/>
          <w:u w:val="none"/>
          <w:lang w:val="es-PY"/>
        </w:rPr>
      </w:pPr>
    </w:p>
    <w:p w:rsidR="00F406F5" w:rsidRDefault="00F406F5" w:rsidP="008E35BF">
      <w:pPr>
        <w:jc w:val="both"/>
        <w:rPr>
          <w:b w:val="0"/>
          <w:color w:val="auto"/>
          <w:sz w:val="24"/>
          <w:u w:val="none"/>
          <w:lang w:val="es-PY"/>
        </w:rPr>
      </w:pPr>
    </w:p>
    <w:p w:rsidR="00440AE3" w:rsidRPr="004845BD" w:rsidRDefault="004845BD" w:rsidP="00440AE3">
      <w:pPr>
        <w:numPr>
          <w:ilvl w:val="0"/>
          <w:numId w:val="1"/>
        </w:numPr>
        <w:tabs>
          <w:tab w:val="clear" w:pos="720"/>
          <w:tab w:val="num" w:pos="360"/>
          <w:tab w:val="num" w:pos="1637"/>
        </w:tabs>
        <w:ind w:left="360"/>
        <w:jc w:val="both"/>
        <w:rPr>
          <w:color w:val="auto"/>
          <w:sz w:val="24"/>
          <w:szCs w:val="24"/>
          <w:u w:val="none"/>
          <w:lang w:val="es-PY"/>
        </w:rPr>
      </w:pPr>
      <w:r w:rsidRPr="004845BD">
        <w:rPr>
          <w:color w:val="auto"/>
          <w:sz w:val="24"/>
          <w:u w:val="none"/>
          <w:lang w:val="es-PY"/>
        </w:rPr>
        <w:t>OTROS A</w:t>
      </w:r>
      <w:r w:rsidR="00440AE3" w:rsidRPr="004845BD">
        <w:rPr>
          <w:color w:val="auto"/>
          <w:sz w:val="24"/>
          <w:u w:val="none"/>
          <w:lang w:val="es-PY"/>
        </w:rPr>
        <w:t>SUNTOS</w:t>
      </w:r>
    </w:p>
    <w:p w:rsidR="00160A52" w:rsidRPr="004845BD" w:rsidRDefault="00160A52" w:rsidP="00440AE3">
      <w:pPr>
        <w:jc w:val="both"/>
        <w:rPr>
          <w:color w:val="auto"/>
          <w:sz w:val="24"/>
          <w:szCs w:val="24"/>
          <w:u w:val="none"/>
          <w:lang w:val="es-PY"/>
        </w:rPr>
      </w:pPr>
    </w:p>
    <w:p w:rsidR="00440AE3" w:rsidRPr="004845BD" w:rsidRDefault="002336A7" w:rsidP="00440AE3">
      <w:pPr>
        <w:numPr>
          <w:ilvl w:val="1"/>
          <w:numId w:val="1"/>
        </w:numPr>
        <w:tabs>
          <w:tab w:val="left" w:pos="360"/>
        </w:tabs>
        <w:jc w:val="both"/>
        <w:rPr>
          <w:color w:val="auto"/>
          <w:sz w:val="24"/>
          <w:szCs w:val="24"/>
          <w:u w:val="none"/>
          <w:lang w:val="es-PY"/>
        </w:rPr>
      </w:pPr>
      <w:r w:rsidRPr="004845BD">
        <w:rPr>
          <w:color w:val="auto"/>
          <w:sz w:val="24"/>
          <w:u w:val="none"/>
          <w:lang w:val="es-PY"/>
        </w:rPr>
        <w:t xml:space="preserve">Autenticación de Traducciones </w:t>
      </w:r>
    </w:p>
    <w:p w:rsidR="00440AE3" w:rsidRDefault="00440AE3" w:rsidP="00440AE3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8E35BF" w:rsidRDefault="00FE5EDF" w:rsidP="0094482C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  <w:r>
        <w:rPr>
          <w:b w:val="0"/>
          <w:color w:val="auto"/>
          <w:sz w:val="24"/>
          <w:szCs w:val="24"/>
          <w:u w:val="none"/>
          <w:lang w:val="es-PY"/>
        </w:rPr>
        <w:t>La</w:t>
      </w:r>
      <w:r w:rsidR="0094482C">
        <w:rPr>
          <w:b w:val="0"/>
          <w:color w:val="auto"/>
          <w:sz w:val="24"/>
          <w:szCs w:val="24"/>
          <w:u w:val="none"/>
          <w:lang w:val="es-PY"/>
        </w:rPr>
        <w:t xml:space="preserve"> Delegación de Brasil realizó ajustes </w:t>
      </w:r>
      <w:r>
        <w:rPr>
          <w:b w:val="0"/>
          <w:color w:val="auto"/>
          <w:sz w:val="24"/>
          <w:szCs w:val="24"/>
          <w:u w:val="none"/>
          <w:lang w:val="es-PY"/>
        </w:rPr>
        <w:t xml:space="preserve">y autenticó </w:t>
      </w:r>
      <w:r w:rsidR="0094482C">
        <w:rPr>
          <w:b w:val="0"/>
          <w:color w:val="auto"/>
          <w:sz w:val="24"/>
          <w:szCs w:val="24"/>
          <w:u w:val="none"/>
          <w:lang w:val="es-PY"/>
        </w:rPr>
        <w:t xml:space="preserve">la traducción realizada por la SM </w:t>
      </w:r>
      <w:r>
        <w:rPr>
          <w:b w:val="0"/>
          <w:color w:val="auto"/>
          <w:sz w:val="24"/>
          <w:szCs w:val="24"/>
          <w:u w:val="none"/>
          <w:lang w:val="es-PY"/>
        </w:rPr>
        <w:t>a</w:t>
      </w:r>
      <w:r w:rsidR="0094482C">
        <w:rPr>
          <w:b w:val="0"/>
          <w:color w:val="auto"/>
          <w:sz w:val="24"/>
          <w:szCs w:val="24"/>
          <w:u w:val="none"/>
          <w:lang w:val="es-PY"/>
        </w:rPr>
        <w:t xml:space="preserve"> la Resolución GMC N° 12/96 “</w:t>
      </w:r>
      <w:r w:rsidR="0094482C" w:rsidRPr="0094482C">
        <w:rPr>
          <w:b w:val="0"/>
          <w:color w:val="auto"/>
          <w:sz w:val="24"/>
          <w:szCs w:val="24"/>
          <w:u w:val="none"/>
          <w:lang w:val="es-PY"/>
        </w:rPr>
        <w:t xml:space="preserve">Derogación Res Nº 15/95 </w:t>
      </w:r>
      <w:r w:rsidR="0094482C" w:rsidRPr="0094482C">
        <w:rPr>
          <w:b w:val="0"/>
          <w:caps/>
          <w:color w:val="auto"/>
          <w:sz w:val="24"/>
          <w:szCs w:val="24"/>
          <w:u w:val="none"/>
          <w:lang w:val="es-PY"/>
        </w:rPr>
        <w:t>Gmc</w:t>
      </w:r>
      <w:r w:rsidR="0094482C">
        <w:rPr>
          <w:b w:val="0"/>
          <w:color w:val="auto"/>
          <w:sz w:val="24"/>
          <w:szCs w:val="24"/>
          <w:u w:val="none"/>
          <w:lang w:val="es-PY"/>
        </w:rPr>
        <w:t xml:space="preserve"> </w:t>
      </w:r>
      <w:r w:rsidR="0094482C" w:rsidRPr="0094482C">
        <w:rPr>
          <w:b w:val="0"/>
          <w:color w:val="auto"/>
          <w:sz w:val="24"/>
          <w:szCs w:val="24"/>
          <w:u w:val="none"/>
          <w:lang w:val="es-PY"/>
        </w:rPr>
        <w:t xml:space="preserve">Listado </w:t>
      </w:r>
      <w:r w:rsidR="0094482C">
        <w:rPr>
          <w:b w:val="0"/>
          <w:color w:val="auto"/>
          <w:sz w:val="24"/>
          <w:szCs w:val="24"/>
          <w:u w:val="none"/>
          <w:lang w:val="es-PY"/>
        </w:rPr>
        <w:t>d</w:t>
      </w:r>
      <w:r w:rsidR="0094482C" w:rsidRPr="0094482C">
        <w:rPr>
          <w:b w:val="0"/>
          <w:color w:val="auto"/>
          <w:sz w:val="24"/>
          <w:szCs w:val="24"/>
          <w:u w:val="none"/>
          <w:lang w:val="es-PY"/>
        </w:rPr>
        <w:t>e Filtros Ultravioletas Permitidos”</w:t>
      </w:r>
      <w:r w:rsidR="00BD0440">
        <w:rPr>
          <w:b w:val="0"/>
          <w:color w:val="auto"/>
          <w:sz w:val="24"/>
          <w:szCs w:val="24"/>
          <w:u w:val="none"/>
          <w:lang w:val="es-PY"/>
        </w:rPr>
        <w:t>.</w:t>
      </w:r>
      <w:r w:rsidR="0094482C">
        <w:rPr>
          <w:b w:val="0"/>
          <w:color w:val="auto"/>
          <w:sz w:val="24"/>
          <w:szCs w:val="24"/>
          <w:u w:val="none"/>
          <w:lang w:val="es-PY"/>
        </w:rPr>
        <w:t xml:space="preserve"> </w:t>
      </w:r>
    </w:p>
    <w:p w:rsidR="00FE5EDF" w:rsidRDefault="00FE5EDF" w:rsidP="0094482C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FE5EDF" w:rsidRDefault="00FE5EDF" w:rsidP="00FE5EDF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  <w:r>
        <w:rPr>
          <w:b w:val="0"/>
          <w:color w:val="auto"/>
          <w:sz w:val="24"/>
          <w:szCs w:val="24"/>
          <w:u w:val="none"/>
          <w:lang w:val="es-PY"/>
        </w:rPr>
        <w:t xml:space="preserve">Por su parte, la Delegación de Argentina realizó ajustes y autenticó la traducción realizada por la SM a la Resolución GMC N° 89/94 “Homologación de Vehículos”. Dichas autenticaciones constan en </w:t>
      </w:r>
      <w:r w:rsidRPr="00BD0440">
        <w:rPr>
          <w:color w:val="auto"/>
          <w:sz w:val="24"/>
          <w:szCs w:val="24"/>
          <w:u w:val="none"/>
          <w:lang w:val="es-PY"/>
        </w:rPr>
        <w:t xml:space="preserve">Anexo </w:t>
      </w:r>
      <w:r w:rsidRPr="0030278A">
        <w:rPr>
          <w:color w:val="auto"/>
          <w:sz w:val="24"/>
          <w:szCs w:val="24"/>
          <w:u w:val="none"/>
          <w:lang w:val="es-PY"/>
        </w:rPr>
        <w:t>XII</w:t>
      </w:r>
      <w:r>
        <w:rPr>
          <w:color w:val="auto"/>
          <w:sz w:val="24"/>
          <w:szCs w:val="24"/>
          <w:u w:val="none"/>
          <w:lang w:val="es-PY"/>
        </w:rPr>
        <w:t>.</w:t>
      </w:r>
    </w:p>
    <w:p w:rsidR="008E35BF" w:rsidRDefault="008E35BF" w:rsidP="00440AE3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074D1E" w:rsidRPr="001569BE" w:rsidRDefault="00074D1E" w:rsidP="00074D1E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</w:rPr>
      </w:pPr>
      <w:r w:rsidRPr="001569BE">
        <w:rPr>
          <w:b w:val="0"/>
          <w:color w:val="auto"/>
          <w:sz w:val="24"/>
          <w:szCs w:val="24"/>
          <w:u w:val="none"/>
        </w:rPr>
        <w:t>El GIN solicitó a la SM que remita, antes de su próxima reunión, el listad</w:t>
      </w:r>
      <w:r w:rsidR="001569BE" w:rsidRPr="001569BE">
        <w:rPr>
          <w:b w:val="0"/>
          <w:color w:val="auto"/>
          <w:sz w:val="24"/>
          <w:szCs w:val="24"/>
          <w:u w:val="none"/>
        </w:rPr>
        <w:t>o de normas cuyas traducciones restan</w:t>
      </w:r>
      <w:r w:rsidRPr="001569BE">
        <w:rPr>
          <w:b w:val="0"/>
          <w:color w:val="auto"/>
          <w:sz w:val="24"/>
          <w:szCs w:val="24"/>
          <w:u w:val="none"/>
        </w:rPr>
        <w:t xml:space="preserve"> ser autenticadas.</w:t>
      </w:r>
    </w:p>
    <w:p w:rsidR="00A01181" w:rsidRDefault="00A01181" w:rsidP="00074D1E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</w:rPr>
      </w:pPr>
    </w:p>
    <w:p w:rsidR="00A01181" w:rsidRPr="00A01181" w:rsidRDefault="00A01181" w:rsidP="00A01181">
      <w:pPr>
        <w:numPr>
          <w:ilvl w:val="1"/>
          <w:numId w:val="1"/>
        </w:numPr>
        <w:tabs>
          <w:tab w:val="left" w:pos="360"/>
        </w:tabs>
        <w:jc w:val="both"/>
        <w:rPr>
          <w:color w:val="auto"/>
          <w:sz w:val="24"/>
          <w:szCs w:val="24"/>
          <w:u w:val="none"/>
        </w:rPr>
      </w:pPr>
      <w:r w:rsidRPr="00A01181">
        <w:rPr>
          <w:color w:val="auto"/>
          <w:sz w:val="24"/>
          <w:szCs w:val="24"/>
          <w:u w:val="none"/>
        </w:rPr>
        <w:t>Instrucciones del GMC</w:t>
      </w:r>
    </w:p>
    <w:p w:rsidR="00A01181" w:rsidRDefault="00A01181" w:rsidP="00074D1E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</w:rPr>
      </w:pPr>
    </w:p>
    <w:p w:rsidR="00A01181" w:rsidRDefault="00A01181" w:rsidP="00074D1E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  <w:r w:rsidRPr="00FF6666">
        <w:rPr>
          <w:b w:val="0"/>
          <w:color w:val="auto"/>
          <w:sz w:val="24"/>
          <w:szCs w:val="24"/>
          <w:u w:val="none"/>
          <w:lang w:val="es-PY"/>
        </w:rPr>
        <w:t xml:space="preserve">En cumplimiento de </w:t>
      </w:r>
      <w:r>
        <w:rPr>
          <w:b w:val="0"/>
          <w:color w:val="auto"/>
          <w:sz w:val="24"/>
          <w:szCs w:val="24"/>
          <w:u w:val="none"/>
          <w:lang w:val="es-PY"/>
        </w:rPr>
        <w:t>lo solicitado por el GMC en su L</w:t>
      </w:r>
      <w:r w:rsidRPr="00FF6666">
        <w:rPr>
          <w:b w:val="0"/>
          <w:color w:val="auto"/>
          <w:sz w:val="24"/>
          <w:szCs w:val="24"/>
          <w:u w:val="none"/>
          <w:lang w:val="es-PY"/>
        </w:rPr>
        <w:t xml:space="preserve"> Reunión</w:t>
      </w:r>
      <w:r>
        <w:rPr>
          <w:b w:val="0"/>
          <w:color w:val="auto"/>
          <w:sz w:val="24"/>
          <w:szCs w:val="24"/>
          <w:u w:val="none"/>
          <w:lang w:val="es-PY"/>
        </w:rPr>
        <w:t xml:space="preserve"> Extraordinaria</w:t>
      </w:r>
      <w:r w:rsidRPr="00FF6666">
        <w:rPr>
          <w:b w:val="0"/>
          <w:color w:val="auto"/>
          <w:sz w:val="24"/>
          <w:szCs w:val="24"/>
          <w:u w:val="none"/>
          <w:lang w:val="es-PY"/>
        </w:rPr>
        <w:t>, Acta N° 0</w:t>
      </w:r>
      <w:r>
        <w:rPr>
          <w:b w:val="0"/>
          <w:color w:val="auto"/>
          <w:sz w:val="24"/>
          <w:szCs w:val="24"/>
          <w:u w:val="none"/>
          <w:lang w:val="es-PY"/>
        </w:rPr>
        <w:t>1</w:t>
      </w:r>
      <w:r w:rsidRPr="00FF6666">
        <w:rPr>
          <w:b w:val="0"/>
          <w:color w:val="auto"/>
          <w:sz w:val="24"/>
          <w:szCs w:val="24"/>
          <w:u w:val="none"/>
          <w:lang w:val="es-PY"/>
        </w:rPr>
        <w:t>/1</w:t>
      </w:r>
      <w:r>
        <w:rPr>
          <w:b w:val="0"/>
          <w:color w:val="auto"/>
          <w:sz w:val="24"/>
          <w:szCs w:val="24"/>
          <w:u w:val="none"/>
          <w:lang w:val="es-PY"/>
        </w:rPr>
        <w:t>9</w:t>
      </w:r>
      <w:r w:rsidRPr="00FF6666">
        <w:rPr>
          <w:b w:val="0"/>
          <w:color w:val="auto"/>
          <w:sz w:val="24"/>
          <w:szCs w:val="24"/>
          <w:u w:val="none"/>
          <w:lang w:val="es-PY"/>
        </w:rPr>
        <w:t>, el GIN</w:t>
      </w:r>
      <w:r>
        <w:rPr>
          <w:b w:val="0"/>
          <w:color w:val="auto"/>
          <w:sz w:val="24"/>
          <w:szCs w:val="24"/>
          <w:u w:val="none"/>
          <w:lang w:val="es-PY"/>
        </w:rPr>
        <w:t xml:space="preserve"> analizó la solicitud efectuada por el SGT N° 3 relativa a la </w:t>
      </w:r>
      <w:r w:rsidR="00142836">
        <w:rPr>
          <w:b w:val="0"/>
          <w:color w:val="auto"/>
          <w:sz w:val="24"/>
          <w:szCs w:val="24"/>
          <w:u w:val="none"/>
          <w:lang w:val="es-PY"/>
        </w:rPr>
        <w:t xml:space="preserve">derogación de la </w:t>
      </w:r>
      <w:r>
        <w:rPr>
          <w:b w:val="0"/>
          <w:color w:val="auto"/>
          <w:sz w:val="24"/>
          <w:szCs w:val="24"/>
          <w:u w:val="none"/>
          <w:lang w:val="es-PY"/>
        </w:rPr>
        <w:t>Resolución GMC N° 40/11 “</w:t>
      </w:r>
      <w:r w:rsidRPr="00C92504">
        <w:rPr>
          <w:b w:val="0"/>
          <w:color w:val="auto"/>
          <w:sz w:val="24"/>
          <w:szCs w:val="24"/>
          <w:u w:val="none"/>
          <w:lang w:val="es-PY"/>
        </w:rPr>
        <w:t>Rot</w:t>
      </w:r>
      <w:r w:rsidR="009F16D9" w:rsidRPr="00C92504">
        <w:rPr>
          <w:b w:val="0"/>
          <w:color w:val="auto"/>
          <w:sz w:val="24"/>
          <w:szCs w:val="24"/>
          <w:u w:val="none"/>
          <w:lang w:val="es-PY"/>
        </w:rPr>
        <w:t xml:space="preserve">ulado </w:t>
      </w:r>
      <w:r w:rsidR="00A57385" w:rsidRPr="00C92504">
        <w:rPr>
          <w:b w:val="0"/>
          <w:color w:val="auto"/>
          <w:sz w:val="24"/>
          <w:szCs w:val="24"/>
          <w:u w:val="none"/>
          <w:lang w:val="es-PY"/>
        </w:rPr>
        <w:t>n</w:t>
      </w:r>
      <w:r w:rsidR="009F16D9" w:rsidRPr="00C92504">
        <w:rPr>
          <w:b w:val="0"/>
          <w:color w:val="auto"/>
          <w:sz w:val="24"/>
          <w:szCs w:val="24"/>
          <w:u w:val="none"/>
          <w:lang w:val="es-PY"/>
        </w:rPr>
        <w:t>utricional de bebidas no-</w:t>
      </w:r>
      <w:r w:rsidRPr="00C92504">
        <w:rPr>
          <w:b w:val="0"/>
          <w:color w:val="auto"/>
          <w:sz w:val="24"/>
          <w:szCs w:val="24"/>
          <w:u w:val="none"/>
          <w:lang w:val="es-PY"/>
        </w:rPr>
        <w:t>alcohólicas comercializadas en envases retornables</w:t>
      </w:r>
      <w:r>
        <w:rPr>
          <w:b w:val="0"/>
          <w:color w:val="auto"/>
          <w:sz w:val="24"/>
          <w:szCs w:val="24"/>
          <w:u w:val="none"/>
          <w:lang w:val="es-PY"/>
        </w:rPr>
        <w:t>”</w:t>
      </w:r>
      <w:r w:rsidR="00B21F38">
        <w:rPr>
          <w:b w:val="0"/>
          <w:color w:val="auto"/>
          <w:sz w:val="24"/>
          <w:szCs w:val="24"/>
          <w:u w:val="none"/>
          <w:lang w:val="es-PY"/>
        </w:rPr>
        <w:t>.</w:t>
      </w:r>
    </w:p>
    <w:p w:rsidR="00865E1E" w:rsidRDefault="00865E1E" w:rsidP="00074D1E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865E1E" w:rsidRDefault="00865E1E" w:rsidP="009506DB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  <w:r>
        <w:rPr>
          <w:b w:val="0"/>
          <w:color w:val="auto"/>
          <w:sz w:val="24"/>
          <w:szCs w:val="24"/>
          <w:u w:val="none"/>
          <w:lang w:val="es-PY"/>
        </w:rPr>
        <w:lastRenderedPageBreak/>
        <w:t xml:space="preserve">Al respecto, el GIN recordó que dicha Resolución extiende el plazo establecido en la Resolución GMC N° 48/06 para la adecuación del rotulado nutricional de las bebidas no-alcohólicas comercializadas en envases retornables hasta el 31 de diciembre de 2014.  Por su parte, la Resolución GMC N° 48/06 extendió el plazo previsto </w:t>
      </w:r>
      <w:r w:rsidR="009506DB">
        <w:rPr>
          <w:b w:val="0"/>
          <w:color w:val="auto"/>
          <w:sz w:val="24"/>
          <w:szCs w:val="24"/>
          <w:u w:val="none"/>
          <w:lang w:val="es-PY"/>
        </w:rPr>
        <w:t xml:space="preserve">para dicha adecuación </w:t>
      </w:r>
      <w:r>
        <w:rPr>
          <w:b w:val="0"/>
          <w:color w:val="auto"/>
          <w:sz w:val="24"/>
          <w:szCs w:val="24"/>
          <w:u w:val="none"/>
          <w:lang w:val="es-PY"/>
        </w:rPr>
        <w:t xml:space="preserve">en la Resolución GMC N° 44/03 hasta el 1 de agosto de 2011. </w:t>
      </w:r>
      <w:r w:rsidR="009506DB">
        <w:rPr>
          <w:b w:val="0"/>
          <w:color w:val="auto"/>
          <w:sz w:val="24"/>
          <w:szCs w:val="24"/>
          <w:u w:val="none"/>
          <w:lang w:val="es-PY"/>
        </w:rPr>
        <w:t xml:space="preserve">Cabe señalar que de las normas mencionadas sólo se encuentra vigente la Resolución GMC N° 44/03 y que las otras dos Resoluciones prevén plazos de adecuación que se encuentran vencidos. </w:t>
      </w:r>
    </w:p>
    <w:p w:rsidR="007A5F0A" w:rsidRDefault="007A5F0A" w:rsidP="009506DB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A10006" w:rsidRDefault="007A5F0A" w:rsidP="007A5F0A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  <w:r>
        <w:rPr>
          <w:b w:val="0"/>
          <w:color w:val="auto"/>
          <w:sz w:val="24"/>
          <w:szCs w:val="24"/>
          <w:u w:val="none"/>
          <w:lang w:val="es-PY"/>
        </w:rPr>
        <w:t>Considerando que tanto la Resolución GMC N° 48/06 como la Resolución GMC N° 40/11 se encuentran con plazo vencido, el GIN sugiere que la derogación de las mismas sea contemplada en una norma que actualice la Resolución GMC N° 44/03.</w:t>
      </w:r>
    </w:p>
    <w:p w:rsidR="00A01181" w:rsidRDefault="00A01181" w:rsidP="00843715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</w:rPr>
      </w:pPr>
    </w:p>
    <w:p w:rsidR="00A01181" w:rsidRDefault="00A01181" w:rsidP="00843715">
      <w:pPr>
        <w:tabs>
          <w:tab w:val="left" w:pos="360"/>
        </w:tabs>
        <w:jc w:val="both"/>
        <w:rPr>
          <w:b w:val="0"/>
          <w:color w:val="auto"/>
          <w:sz w:val="24"/>
          <w:szCs w:val="24"/>
          <w:u w:val="none"/>
        </w:rPr>
      </w:pPr>
    </w:p>
    <w:p w:rsidR="00440AE3" w:rsidRPr="004845BD" w:rsidRDefault="00826CE5" w:rsidP="00440AE3">
      <w:pPr>
        <w:jc w:val="both"/>
        <w:rPr>
          <w:color w:val="auto"/>
          <w:sz w:val="24"/>
          <w:szCs w:val="24"/>
          <w:u w:val="none"/>
          <w:lang w:val="es-PY"/>
        </w:rPr>
      </w:pPr>
      <w:r w:rsidRPr="004845BD">
        <w:rPr>
          <w:color w:val="auto"/>
          <w:sz w:val="24"/>
          <w:u w:val="none"/>
          <w:lang w:val="es-PY"/>
        </w:rPr>
        <w:t>PRÓXIMA REUNIÓN</w:t>
      </w:r>
    </w:p>
    <w:p w:rsidR="00440AE3" w:rsidRPr="004845BD" w:rsidRDefault="00440AE3" w:rsidP="00440AE3">
      <w:pPr>
        <w:tabs>
          <w:tab w:val="left" w:pos="3600"/>
        </w:tabs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440AE3" w:rsidRPr="0094482C" w:rsidRDefault="0094482C" w:rsidP="00440AE3">
      <w:pPr>
        <w:jc w:val="both"/>
        <w:rPr>
          <w:b w:val="0"/>
          <w:color w:val="auto"/>
          <w:sz w:val="24"/>
          <w:szCs w:val="24"/>
          <w:u w:val="none"/>
          <w:lang w:val="es-PY"/>
        </w:rPr>
      </w:pPr>
      <w:r w:rsidRPr="0094482C">
        <w:rPr>
          <w:b w:val="0"/>
          <w:color w:val="auto"/>
          <w:sz w:val="24"/>
          <w:szCs w:val="24"/>
          <w:u w:val="none"/>
          <w:lang w:val="es-PY"/>
        </w:rPr>
        <w:t xml:space="preserve">La próxima reunión del </w:t>
      </w:r>
      <w:r>
        <w:rPr>
          <w:b w:val="0"/>
          <w:color w:val="auto"/>
          <w:sz w:val="24"/>
          <w:szCs w:val="24"/>
          <w:u w:val="none"/>
          <w:lang w:val="es-PY"/>
        </w:rPr>
        <w:t>GIN</w:t>
      </w:r>
      <w:r w:rsidRPr="0094482C">
        <w:rPr>
          <w:b w:val="0"/>
          <w:color w:val="auto"/>
          <w:sz w:val="24"/>
          <w:szCs w:val="24"/>
          <w:u w:val="none"/>
          <w:lang w:val="es-PY"/>
        </w:rPr>
        <w:t xml:space="preserve"> será convocada por la PPT</w:t>
      </w:r>
      <w:r>
        <w:rPr>
          <w:b w:val="0"/>
          <w:color w:val="auto"/>
          <w:sz w:val="24"/>
          <w:szCs w:val="24"/>
          <w:u w:val="none"/>
          <w:lang w:val="es-PY"/>
        </w:rPr>
        <w:t>.</w:t>
      </w:r>
    </w:p>
    <w:p w:rsidR="00440AE3" w:rsidRDefault="00440AE3" w:rsidP="00440AE3">
      <w:pPr>
        <w:pStyle w:val="Encabezado"/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160A52" w:rsidRPr="004845BD" w:rsidRDefault="00160A52" w:rsidP="00160A52">
      <w:pPr>
        <w:tabs>
          <w:tab w:val="left" w:pos="2130"/>
          <w:tab w:val="center" w:pos="4819"/>
          <w:tab w:val="right" w:pos="9071"/>
        </w:tabs>
        <w:jc w:val="both"/>
        <w:rPr>
          <w:rFonts w:eastAsia="Batang"/>
          <w:color w:val="auto"/>
          <w:sz w:val="24"/>
          <w:szCs w:val="20"/>
          <w:u w:val="none"/>
          <w:lang w:val="es-PY" w:eastAsia="pt-BR"/>
        </w:rPr>
      </w:pPr>
      <w:r w:rsidRPr="004845BD">
        <w:rPr>
          <w:rFonts w:eastAsia="Batang" w:cs="Times New Roman"/>
          <w:bCs w:val="0"/>
          <w:color w:val="auto"/>
          <w:sz w:val="24"/>
          <w:szCs w:val="20"/>
          <w:u w:val="none"/>
          <w:lang w:val="es-PY" w:eastAsia="pt-BR"/>
        </w:rPr>
        <w:t>LISTA DE ANEXOS</w:t>
      </w:r>
    </w:p>
    <w:p w:rsidR="00160A52" w:rsidRPr="004845BD" w:rsidRDefault="00160A52" w:rsidP="00160A52">
      <w:pPr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p w:rsidR="00160A52" w:rsidRPr="004845BD" w:rsidRDefault="00160A52" w:rsidP="00160A52">
      <w:pPr>
        <w:pStyle w:val="Encabezado"/>
        <w:jc w:val="both"/>
        <w:rPr>
          <w:b w:val="0"/>
          <w:color w:val="auto"/>
          <w:sz w:val="24"/>
          <w:szCs w:val="24"/>
          <w:u w:val="none"/>
          <w:lang w:val="es-PY"/>
        </w:rPr>
      </w:pPr>
      <w:r w:rsidRPr="004845BD">
        <w:rPr>
          <w:b w:val="0"/>
          <w:color w:val="auto"/>
          <w:sz w:val="24"/>
          <w:u w:val="none"/>
          <w:lang w:val="es-PY"/>
        </w:rPr>
        <w:t>Forman parte de la presente Acta los siguientes Anexos:</w:t>
      </w:r>
    </w:p>
    <w:p w:rsidR="00160A52" w:rsidRPr="004845BD" w:rsidRDefault="00160A52" w:rsidP="00160A52">
      <w:pPr>
        <w:pStyle w:val="Encabezado"/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7421"/>
      </w:tblGrid>
      <w:tr w:rsidR="00160A52" w:rsidRPr="004845BD" w:rsidTr="002F4AF3">
        <w:tc>
          <w:tcPr>
            <w:tcW w:w="1649" w:type="dxa"/>
          </w:tcPr>
          <w:p w:rsidR="00160A52" w:rsidRPr="004845BD" w:rsidRDefault="00160A52" w:rsidP="002F4AF3">
            <w:pPr>
              <w:pStyle w:val="Encabezado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t>Anexo I</w:t>
            </w:r>
          </w:p>
        </w:tc>
        <w:tc>
          <w:tcPr>
            <w:tcW w:w="7421" w:type="dxa"/>
          </w:tcPr>
          <w:p w:rsidR="00160A52" w:rsidRPr="004845BD" w:rsidRDefault="00160A52" w:rsidP="002F4AF3">
            <w:pPr>
              <w:pStyle w:val="Encabezado"/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Lista de Participantes</w:t>
            </w:r>
          </w:p>
        </w:tc>
      </w:tr>
      <w:tr w:rsidR="00160A52" w:rsidRPr="004845BD" w:rsidTr="002F4AF3">
        <w:tc>
          <w:tcPr>
            <w:tcW w:w="1649" w:type="dxa"/>
          </w:tcPr>
          <w:p w:rsidR="00160A52" w:rsidRPr="004845BD" w:rsidRDefault="00160A52" w:rsidP="002F4AF3">
            <w:pPr>
              <w:pStyle w:val="Encabezado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t>Anexo II</w:t>
            </w:r>
          </w:p>
        </w:tc>
        <w:tc>
          <w:tcPr>
            <w:tcW w:w="7421" w:type="dxa"/>
          </w:tcPr>
          <w:p w:rsidR="00160A52" w:rsidRPr="004845BD" w:rsidRDefault="00160A52" w:rsidP="002F4AF3">
            <w:pPr>
              <w:pStyle w:val="Encabezado"/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Agenda</w:t>
            </w:r>
          </w:p>
        </w:tc>
      </w:tr>
      <w:tr w:rsidR="00160A52" w:rsidRPr="004845BD" w:rsidTr="002F4AF3">
        <w:tc>
          <w:tcPr>
            <w:tcW w:w="1649" w:type="dxa"/>
          </w:tcPr>
          <w:p w:rsidR="00160A52" w:rsidRPr="004845BD" w:rsidRDefault="00160A52" w:rsidP="002F4AF3">
            <w:pPr>
              <w:pStyle w:val="Encabezado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t>Anexo III</w:t>
            </w:r>
          </w:p>
        </w:tc>
        <w:tc>
          <w:tcPr>
            <w:tcW w:w="7421" w:type="dxa"/>
          </w:tcPr>
          <w:p w:rsidR="00160A52" w:rsidRPr="004845BD" w:rsidRDefault="00160A52" w:rsidP="002F4AF3">
            <w:pPr>
              <w:pStyle w:val="Encabezado"/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Resumen del Acta</w:t>
            </w:r>
          </w:p>
        </w:tc>
      </w:tr>
      <w:tr w:rsidR="00160A52" w:rsidRPr="004845BD" w:rsidTr="002F4AF3">
        <w:tblPrEx>
          <w:tblLook w:val="0000" w:firstRow="0" w:lastRow="0" w:firstColumn="0" w:lastColumn="0" w:noHBand="0" w:noVBand="0"/>
        </w:tblPrEx>
        <w:tc>
          <w:tcPr>
            <w:tcW w:w="1649" w:type="dxa"/>
            <w:shd w:val="clear" w:color="auto" w:fill="auto"/>
          </w:tcPr>
          <w:p w:rsidR="00160A52" w:rsidRPr="004845BD" w:rsidRDefault="00160A52" w:rsidP="002F4AF3">
            <w:pPr>
              <w:pStyle w:val="Encabezado"/>
              <w:snapToGrid w:val="0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t>Anexo IV</w:t>
            </w:r>
          </w:p>
        </w:tc>
        <w:tc>
          <w:tcPr>
            <w:tcW w:w="7421" w:type="dxa"/>
            <w:shd w:val="clear" w:color="auto" w:fill="auto"/>
          </w:tcPr>
          <w:p w:rsidR="00160A52" w:rsidRPr="006408F8" w:rsidRDefault="00160A52" w:rsidP="006E479C">
            <w:pPr>
              <w:pStyle w:val="Encabezado"/>
              <w:snapToGrid w:val="0"/>
              <w:jc w:val="both"/>
              <w:rPr>
                <w:b w:val="0"/>
                <w:i/>
                <w:color w:val="auto"/>
                <w:sz w:val="24"/>
                <w:szCs w:val="24"/>
                <w:u w:val="none"/>
                <w:lang w:val="es-PY"/>
              </w:rPr>
            </w:pPr>
            <w:r w:rsidRPr="006408F8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MERCOSU</w:t>
            </w:r>
            <w:r w:rsidR="006E479C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R</w:t>
            </w:r>
            <w:r w:rsidRPr="006408F8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/IV GIN/DI Nº 01/14 Rev. </w:t>
            </w:r>
            <w:r w:rsidR="001942EE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8</w:t>
            </w:r>
            <w:r w:rsidRPr="006408F8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- “</w:t>
            </w:r>
            <w:r w:rsidRPr="006408F8">
              <w:rPr>
                <w:b w:val="0"/>
                <w:color w:val="auto"/>
                <w:sz w:val="24"/>
                <w:u w:val="none"/>
                <w:lang w:val="es-PY"/>
              </w:rPr>
              <w:t>Lista de normas que restan ser incorporadas por un solo Estado Parte para su entrada en vigor”.</w:t>
            </w:r>
          </w:p>
        </w:tc>
      </w:tr>
      <w:tr w:rsidR="00160A52" w:rsidRPr="004845BD" w:rsidTr="002F4AF3">
        <w:tblPrEx>
          <w:tblLook w:val="0000" w:firstRow="0" w:lastRow="0" w:firstColumn="0" w:lastColumn="0" w:noHBand="0" w:noVBand="0"/>
        </w:tblPrEx>
        <w:tc>
          <w:tcPr>
            <w:tcW w:w="1649" w:type="dxa"/>
            <w:shd w:val="clear" w:color="auto" w:fill="auto"/>
          </w:tcPr>
          <w:p w:rsidR="00160A52" w:rsidRPr="004845BD" w:rsidRDefault="00160A52" w:rsidP="002F4AF3">
            <w:pPr>
              <w:pStyle w:val="Encabezado"/>
              <w:snapToGrid w:val="0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t>Anexo V</w:t>
            </w:r>
          </w:p>
        </w:tc>
        <w:tc>
          <w:tcPr>
            <w:tcW w:w="7421" w:type="dxa"/>
            <w:shd w:val="clear" w:color="auto" w:fill="auto"/>
          </w:tcPr>
          <w:p w:rsidR="00160A52" w:rsidRPr="00BA00C4" w:rsidRDefault="00160A52" w:rsidP="006E479C">
            <w:pPr>
              <w:pStyle w:val="Encabezado"/>
              <w:snapToGrid w:val="0"/>
              <w:jc w:val="both"/>
              <w:rPr>
                <w:b w:val="0"/>
                <w:i/>
                <w:color w:val="auto"/>
                <w:sz w:val="24"/>
                <w:szCs w:val="24"/>
                <w:u w:val="none"/>
                <w:lang w:val="es-PY"/>
              </w:rPr>
            </w:pPr>
            <w:r w:rsidRPr="00BA00C4">
              <w:rPr>
                <w:color w:val="auto"/>
                <w:sz w:val="24"/>
                <w:szCs w:val="24"/>
                <w:u w:val="none"/>
                <w:lang w:val="es-PY"/>
              </w:rPr>
              <w:t>RESERVADO</w:t>
            </w:r>
            <w:r w:rsidR="006408F8">
              <w:rPr>
                <w:color w:val="auto"/>
                <w:sz w:val="24"/>
                <w:szCs w:val="24"/>
                <w:u w:val="none"/>
                <w:lang w:val="es-PY"/>
              </w:rPr>
              <w:t xml:space="preserve"> -</w:t>
            </w:r>
            <w:r w:rsidRPr="00BA00C4">
              <w:rPr>
                <w:b w:val="0"/>
                <w:color w:val="auto"/>
                <w:sz w:val="24"/>
                <w:u w:val="none"/>
                <w:lang w:val="es-PY"/>
              </w:rPr>
              <w:t xml:space="preserve"> MERCOSU</w:t>
            </w:r>
            <w:r w:rsidR="006E479C">
              <w:rPr>
                <w:b w:val="0"/>
                <w:color w:val="auto"/>
                <w:sz w:val="24"/>
                <w:u w:val="none"/>
                <w:lang w:val="es-PY"/>
              </w:rPr>
              <w:t>R</w:t>
            </w:r>
            <w:r w:rsidRPr="00BA00C4">
              <w:rPr>
                <w:b w:val="0"/>
                <w:color w:val="auto"/>
                <w:sz w:val="24"/>
                <w:u w:val="none"/>
                <w:lang w:val="es-PY"/>
              </w:rPr>
              <w:t xml:space="preserve">/IV GIN/DT Nº 02/14 </w:t>
            </w:r>
            <w:r w:rsidRPr="003A6DA8">
              <w:rPr>
                <w:b w:val="0"/>
                <w:color w:val="auto"/>
                <w:sz w:val="24"/>
                <w:u w:val="none"/>
                <w:lang w:val="es-PY"/>
              </w:rPr>
              <w:t xml:space="preserve">Rev. </w:t>
            </w:r>
            <w:r w:rsidR="003A6DA8">
              <w:rPr>
                <w:b w:val="0"/>
                <w:color w:val="auto"/>
                <w:sz w:val="24"/>
                <w:u w:val="none"/>
                <w:lang w:val="es-PY"/>
              </w:rPr>
              <w:t>9</w:t>
            </w:r>
            <w:r w:rsidRPr="00BA00C4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- “</w:t>
            </w:r>
            <w:r w:rsidRPr="00BA00C4">
              <w:rPr>
                <w:b w:val="0"/>
                <w:color w:val="auto"/>
                <w:sz w:val="24"/>
                <w:u w:val="none"/>
                <w:lang w:val="es-PY"/>
              </w:rPr>
              <w:t>Lista de normas no incorporadas cuyo plazo de incorporación está vencido”</w:t>
            </w:r>
            <w:r w:rsidR="001E09C0">
              <w:rPr>
                <w:b w:val="0"/>
                <w:color w:val="auto"/>
                <w:sz w:val="24"/>
                <w:u w:val="none"/>
                <w:lang w:val="es-PY"/>
              </w:rPr>
              <w:t>.</w:t>
            </w:r>
          </w:p>
        </w:tc>
      </w:tr>
      <w:tr w:rsidR="00160A52" w:rsidRPr="004845BD" w:rsidTr="002F4AF3">
        <w:tblPrEx>
          <w:tblLook w:val="0000" w:firstRow="0" w:lastRow="0" w:firstColumn="0" w:lastColumn="0" w:noHBand="0" w:noVBand="0"/>
        </w:tblPrEx>
        <w:tc>
          <w:tcPr>
            <w:tcW w:w="1649" w:type="dxa"/>
            <w:shd w:val="clear" w:color="auto" w:fill="auto"/>
          </w:tcPr>
          <w:p w:rsidR="00160A52" w:rsidRPr="004845BD" w:rsidRDefault="00160A52" w:rsidP="002F4AF3">
            <w:pPr>
              <w:pStyle w:val="Encabezado"/>
              <w:snapToGrid w:val="0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t>Anexo VI</w:t>
            </w:r>
          </w:p>
        </w:tc>
        <w:tc>
          <w:tcPr>
            <w:tcW w:w="7421" w:type="dxa"/>
            <w:shd w:val="clear" w:color="auto" w:fill="auto"/>
          </w:tcPr>
          <w:p w:rsidR="00160A52" w:rsidRPr="00BA00C4" w:rsidRDefault="00160A52" w:rsidP="002F4AF3">
            <w:pPr>
              <w:jc w:val="both"/>
              <w:rPr>
                <w:b w:val="0"/>
                <w:color w:val="auto"/>
                <w:sz w:val="24"/>
                <w:szCs w:val="24"/>
                <w:highlight w:val="cyan"/>
                <w:u w:val="none"/>
                <w:lang w:val="es-PY"/>
              </w:rPr>
            </w:pPr>
            <w:r w:rsidRPr="00BA00C4">
              <w:rPr>
                <w:b w:val="0"/>
                <w:color w:val="auto"/>
                <w:sz w:val="24"/>
                <w:u w:val="none"/>
                <w:lang w:val="es-PY"/>
              </w:rPr>
              <w:t>Listado presentado por la Dirección de Tratados del Ministerio de Relaciones Exteriores del Paraguay sobre “Depósito de Instrumentos de Ratificación y de Entrada en Vigencia de Acuerdos Internacionales suscritos en el ámbito del MERCOSUR”.</w:t>
            </w:r>
          </w:p>
        </w:tc>
      </w:tr>
      <w:tr w:rsidR="00160A52" w:rsidRPr="004845BD" w:rsidTr="002F4AF3">
        <w:tblPrEx>
          <w:tblLook w:val="0000" w:firstRow="0" w:lastRow="0" w:firstColumn="0" w:lastColumn="0" w:noHBand="0" w:noVBand="0"/>
        </w:tblPrEx>
        <w:tc>
          <w:tcPr>
            <w:tcW w:w="1649" w:type="dxa"/>
            <w:shd w:val="clear" w:color="auto" w:fill="auto"/>
          </w:tcPr>
          <w:p w:rsidR="00160A52" w:rsidRPr="004845BD" w:rsidRDefault="000874ED" w:rsidP="007B65D2">
            <w:pPr>
              <w:pStyle w:val="Encabezado"/>
              <w:snapToGrid w:val="0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t>Anexo VII</w:t>
            </w:r>
          </w:p>
        </w:tc>
        <w:tc>
          <w:tcPr>
            <w:tcW w:w="7421" w:type="dxa"/>
            <w:shd w:val="clear" w:color="auto" w:fill="auto"/>
          </w:tcPr>
          <w:p w:rsidR="00160A52" w:rsidRPr="00BA00C4" w:rsidRDefault="00160A52" w:rsidP="000874ED">
            <w:pPr>
              <w:pStyle w:val="Encabezado"/>
              <w:snapToGrid w:val="0"/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BA00C4">
              <w:rPr>
                <w:color w:val="auto"/>
                <w:sz w:val="24"/>
                <w:szCs w:val="24"/>
                <w:u w:val="none"/>
                <w:lang w:val="pt-BR"/>
              </w:rPr>
              <w:t xml:space="preserve">RESERVADO </w:t>
            </w:r>
            <w:r w:rsidR="006408F8">
              <w:rPr>
                <w:color w:val="auto"/>
                <w:sz w:val="24"/>
                <w:szCs w:val="24"/>
                <w:u w:val="none"/>
                <w:lang w:val="pt-BR"/>
              </w:rPr>
              <w:t>-</w:t>
            </w:r>
            <w:r w:rsidRPr="00BA00C4">
              <w:rPr>
                <w:b w:val="0"/>
                <w:color w:val="auto"/>
                <w:sz w:val="24"/>
                <w:szCs w:val="24"/>
                <w:u w:val="none"/>
                <w:lang w:val="pt-BR"/>
              </w:rPr>
              <w:t xml:space="preserve"> SM/SND</w:t>
            </w:r>
            <w:r w:rsidRPr="00BA00C4">
              <w:rPr>
                <w:b w:val="0"/>
                <w:color w:val="auto"/>
                <w:sz w:val="24"/>
                <w:u w:val="none"/>
                <w:lang w:val="pt-BR"/>
              </w:rPr>
              <w:t xml:space="preserve">/DT Nº </w:t>
            </w:r>
            <w:r w:rsidR="003A6DA8" w:rsidRPr="003A6DA8">
              <w:rPr>
                <w:b w:val="0"/>
                <w:color w:val="auto"/>
                <w:sz w:val="24"/>
                <w:u w:val="none"/>
                <w:lang w:val="pt-BR"/>
              </w:rPr>
              <w:t>DT N° 0</w:t>
            </w:r>
            <w:r w:rsidR="000874ED">
              <w:rPr>
                <w:b w:val="0"/>
                <w:color w:val="auto"/>
                <w:sz w:val="24"/>
                <w:u w:val="none"/>
                <w:lang w:val="pt-BR"/>
              </w:rPr>
              <w:t>8</w:t>
            </w:r>
            <w:r w:rsidR="003A6DA8" w:rsidRPr="003A6DA8">
              <w:rPr>
                <w:b w:val="0"/>
                <w:color w:val="auto"/>
                <w:sz w:val="24"/>
                <w:u w:val="none"/>
                <w:lang w:val="pt-BR"/>
              </w:rPr>
              <w:t xml:space="preserve">/2002 </w:t>
            </w:r>
            <w:proofErr w:type="spellStart"/>
            <w:r w:rsidR="003A6DA8" w:rsidRPr="003A6DA8">
              <w:rPr>
                <w:b w:val="0"/>
                <w:color w:val="auto"/>
                <w:sz w:val="24"/>
                <w:u w:val="none"/>
                <w:lang w:val="pt-BR"/>
              </w:rPr>
              <w:t>Add</w:t>
            </w:r>
            <w:proofErr w:type="spellEnd"/>
            <w:r w:rsidR="003A6DA8" w:rsidRPr="003A6DA8">
              <w:rPr>
                <w:b w:val="0"/>
                <w:color w:val="auto"/>
                <w:sz w:val="24"/>
                <w:u w:val="none"/>
                <w:lang w:val="pt-BR"/>
              </w:rPr>
              <w:t xml:space="preserve">. </w:t>
            </w:r>
            <w:r w:rsidR="003A6DA8" w:rsidRPr="000874ED">
              <w:rPr>
                <w:b w:val="0"/>
                <w:color w:val="auto"/>
                <w:sz w:val="24"/>
                <w:u w:val="none"/>
                <w:lang w:val="es-UY"/>
              </w:rPr>
              <w:t>LVIII</w:t>
            </w:r>
            <w:r w:rsidRPr="00BA00C4">
              <w:rPr>
                <w:b w:val="0"/>
                <w:color w:val="auto"/>
                <w:sz w:val="24"/>
                <w:u w:val="none"/>
                <w:lang w:val="es-PY"/>
              </w:rPr>
              <w:t>).</w:t>
            </w:r>
            <w:r w:rsidRPr="00BA00C4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“Incorporación de las normas del MERCOSUR en el ordenamiento jurídico de los Estados Partes”.</w:t>
            </w:r>
          </w:p>
        </w:tc>
      </w:tr>
      <w:tr w:rsidR="00160A52" w:rsidRPr="004845BD" w:rsidTr="002F4AF3">
        <w:tblPrEx>
          <w:tblLook w:val="0000" w:firstRow="0" w:lastRow="0" w:firstColumn="0" w:lastColumn="0" w:noHBand="0" w:noVBand="0"/>
        </w:tblPrEx>
        <w:tc>
          <w:tcPr>
            <w:tcW w:w="1649" w:type="dxa"/>
            <w:shd w:val="clear" w:color="auto" w:fill="auto"/>
          </w:tcPr>
          <w:p w:rsidR="00160A52" w:rsidRPr="004845BD" w:rsidRDefault="00BD0440" w:rsidP="007B65D2">
            <w:pPr>
              <w:pStyle w:val="Encabezado"/>
              <w:snapToGrid w:val="0"/>
              <w:spacing w:after="120"/>
              <w:jc w:val="both"/>
              <w:rPr>
                <w:color w:val="auto"/>
                <w:sz w:val="24"/>
                <w:szCs w:val="24"/>
                <w:highlight w:val="cyan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t xml:space="preserve">Anexo </w:t>
            </w:r>
            <w:r w:rsidR="007B65D2">
              <w:rPr>
                <w:color w:val="auto"/>
                <w:sz w:val="24"/>
                <w:szCs w:val="24"/>
                <w:u w:val="none"/>
                <w:lang w:val="es-PY"/>
              </w:rPr>
              <w:t>VIII</w:t>
            </w:r>
          </w:p>
        </w:tc>
        <w:tc>
          <w:tcPr>
            <w:tcW w:w="7421" w:type="dxa"/>
            <w:shd w:val="clear" w:color="auto" w:fill="auto"/>
          </w:tcPr>
          <w:p w:rsidR="00160A52" w:rsidRPr="00BA00C4" w:rsidRDefault="00160A52" w:rsidP="001E09C0">
            <w:pPr>
              <w:pStyle w:val="Encabezado"/>
              <w:snapToGrid w:val="0"/>
              <w:jc w:val="both"/>
              <w:rPr>
                <w:b w:val="0"/>
                <w:color w:val="auto"/>
                <w:sz w:val="24"/>
                <w:szCs w:val="24"/>
                <w:highlight w:val="cyan"/>
                <w:u w:val="none"/>
                <w:lang w:val="es-PY"/>
              </w:rPr>
            </w:pPr>
            <w:r w:rsidRPr="00BA00C4">
              <w:rPr>
                <w:color w:val="auto"/>
                <w:sz w:val="24"/>
                <w:szCs w:val="24"/>
                <w:u w:val="none"/>
                <w:lang w:val="es-PY"/>
              </w:rPr>
              <w:t>RESERVADO -</w:t>
            </w:r>
            <w:r w:rsidRPr="00BA00C4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MERCOSUR/IV GIN/DT Nº 04/14 </w:t>
            </w:r>
            <w:r w:rsidRPr="00847A9B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Rev. 1</w:t>
            </w:r>
            <w:r w:rsidR="00847A9B" w:rsidRPr="00847A9B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2</w:t>
            </w:r>
            <w:r w:rsidRPr="00BA00C4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</w:t>
            </w:r>
            <w:r w:rsidR="001E09C0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–</w:t>
            </w:r>
            <w:r w:rsidRPr="00BA00C4">
              <w:rPr>
                <w:color w:val="auto"/>
                <w:sz w:val="24"/>
                <w:szCs w:val="24"/>
                <w:u w:val="none"/>
                <w:lang w:val="es-PY"/>
              </w:rPr>
              <w:t xml:space="preserve"> </w:t>
            </w:r>
            <w:r w:rsidR="001E09C0">
              <w:rPr>
                <w:color w:val="auto"/>
                <w:sz w:val="24"/>
                <w:szCs w:val="24"/>
                <w:u w:val="none"/>
                <w:lang w:val="es-PY"/>
              </w:rPr>
              <w:t>“</w:t>
            </w:r>
            <w:r w:rsidRPr="00BA00C4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Actualización de la </w:t>
            </w:r>
            <w:r w:rsidR="001E09C0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M</w:t>
            </w:r>
            <w:r w:rsidRPr="00BA00C4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atriz del acervo normativo del MERCOSUR</w:t>
            </w:r>
            <w:r w:rsidR="001E09C0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”</w:t>
            </w:r>
            <w:r w:rsidRPr="00BA00C4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.</w:t>
            </w:r>
          </w:p>
        </w:tc>
      </w:tr>
      <w:tr w:rsidR="00160A52" w:rsidRPr="004845BD" w:rsidTr="002F4AF3">
        <w:tblPrEx>
          <w:tblLook w:val="0000" w:firstRow="0" w:lastRow="0" w:firstColumn="0" w:lastColumn="0" w:noHBand="0" w:noVBand="0"/>
        </w:tblPrEx>
        <w:tc>
          <w:tcPr>
            <w:tcW w:w="1649" w:type="dxa"/>
            <w:shd w:val="clear" w:color="auto" w:fill="auto"/>
          </w:tcPr>
          <w:p w:rsidR="00160A52" w:rsidRPr="004845BD" w:rsidRDefault="00BD0440" w:rsidP="002F4AF3">
            <w:pPr>
              <w:pStyle w:val="Encabezado"/>
              <w:snapToGrid w:val="0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>
              <w:rPr>
                <w:color w:val="auto"/>
                <w:sz w:val="24"/>
                <w:szCs w:val="24"/>
                <w:u w:val="none"/>
                <w:lang w:val="es-PY"/>
              </w:rPr>
              <w:t xml:space="preserve">Anexo </w:t>
            </w:r>
            <w:r w:rsidR="007B65D2">
              <w:rPr>
                <w:color w:val="auto"/>
                <w:sz w:val="24"/>
                <w:szCs w:val="24"/>
                <w:u w:val="none"/>
                <w:lang w:val="es-PY"/>
              </w:rPr>
              <w:t>I</w:t>
            </w:r>
            <w:r>
              <w:rPr>
                <w:color w:val="auto"/>
                <w:sz w:val="24"/>
                <w:szCs w:val="24"/>
                <w:u w:val="none"/>
                <w:lang w:val="es-PY"/>
              </w:rPr>
              <w:t>X</w:t>
            </w:r>
          </w:p>
        </w:tc>
        <w:tc>
          <w:tcPr>
            <w:tcW w:w="7421" w:type="dxa"/>
            <w:shd w:val="clear" w:color="auto" w:fill="auto"/>
          </w:tcPr>
          <w:p w:rsidR="00160A52" w:rsidRPr="00A65B09" w:rsidRDefault="00160A52" w:rsidP="006E479C">
            <w:pPr>
              <w:pStyle w:val="Encabezado"/>
              <w:snapToGrid w:val="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A65B09">
              <w:rPr>
                <w:color w:val="auto"/>
                <w:sz w:val="24"/>
                <w:szCs w:val="24"/>
                <w:u w:val="none"/>
                <w:lang w:val="es-PY"/>
              </w:rPr>
              <w:t>RESERVADO -</w:t>
            </w:r>
            <w:r w:rsidRPr="00A65B09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</w:t>
            </w:r>
            <w:r w:rsidRPr="00A65B09">
              <w:rPr>
                <w:b w:val="0"/>
                <w:color w:val="auto"/>
                <w:sz w:val="24"/>
                <w:u w:val="none"/>
                <w:lang w:val="es-PY"/>
              </w:rPr>
              <w:t>MERCOSU</w:t>
            </w:r>
            <w:r w:rsidR="006E479C">
              <w:rPr>
                <w:b w:val="0"/>
                <w:color w:val="auto"/>
                <w:sz w:val="24"/>
                <w:u w:val="none"/>
                <w:lang w:val="es-PY"/>
              </w:rPr>
              <w:t>R</w:t>
            </w:r>
            <w:r w:rsidRPr="00A65B09">
              <w:rPr>
                <w:b w:val="0"/>
                <w:color w:val="auto"/>
                <w:sz w:val="24"/>
                <w:u w:val="none"/>
                <w:lang w:val="es-PY"/>
              </w:rPr>
              <w:t xml:space="preserve">/IX GIN/DT Nº 03/17 </w:t>
            </w:r>
            <w:r w:rsidRPr="00847A9B">
              <w:rPr>
                <w:b w:val="0"/>
                <w:color w:val="auto"/>
                <w:sz w:val="24"/>
                <w:u w:val="none"/>
                <w:lang w:val="es-PY"/>
              </w:rPr>
              <w:t xml:space="preserve">- Rev. </w:t>
            </w:r>
            <w:r w:rsidR="00847A9B">
              <w:rPr>
                <w:b w:val="0"/>
                <w:color w:val="auto"/>
                <w:sz w:val="24"/>
                <w:u w:val="none"/>
                <w:lang w:val="es-PY"/>
              </w:rPr>
              <w:t>4</w:t>
            </w:r>
            <w:r w:rsidRPr="00A65B09">
              <w:rPr>
                <w:b w:val="0"/>
                <w:color w:val="auto"/>
                <w:sz w:val="24"/>
                <w:u w:val="none"/>
                <w:lang w:val="es-PY"/>
              </w:rPr>
              <w:t xml:space="preserve"> </w:t>
            </w:r>
            <w:r w:rsidR="007B65D2">
              <w:rPr>
                <w:b w:val="0"/>
                <w:color w:val="auto"/>
                <w:sz w:val="24"/>
                <w:u w:val="none"/>
                <w:lang w:val="es-PY"/>
              </w:rPr>
              <w:t>“</w:t>
            </w:r>
            <w:r w:rsidRPr="00A65B09">
              <w:rPr>
                <w:b w:val="0"/>
                <w:color w:val="auto"/>
                <w:sz w:val="24"/>
                <w:u w:val="none"/>
                <w:lang w:val="es-PY"/>
              </w:rPr>
              <w:t>Matriz de acuerdos internacionales del MERCOSUR</w:t>
            </w:r>
            <w:r w:rsidR="007B65D2">
              <w:rPr>
                <w:b w:val="0"/>
                <w:color w:val="auto"/>
                <w:sz w:val="24"/>
                <w:u w:val="none"/>
                <w:lang w:val="es-PY"/>
              </w:rPr>
              <w:t>”.</w:t>
            </w:r>
          </w:p>
        </w:tc>
      </w:tr>
      <w:tr w:rsidR="00160A52" w:rsidRPr="004845BD" w:rsidTr="002F4AF3">
        <w:tblPrEx>
          <w:tblLook w:val="0000" w:firstRow="0" w:lastRow="0" w:firstColumn="0" w:lastColumn="0" w:noHBand="0" w:noVBand="0"/>
        </w:tblPrEx>
        <w:tc>
          <w:tcPr>
            <w:tcW w:w="1649" w:type="dxa"/>
            <w:shd w:val="clear" w:color="auto" w:fill="auto"/>
          </w:tcPr>
          <w:p w:rsidR="00160A52" w:rsidRPr="004845BD" w:rsidRDefault="00160A52" w:rsidP="002F4AF3">
            <w:pPr>
              <w:pStyle w:val="Encabezado"/>
              <w:snapToGrid w:val="0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t>Anexo X</w:t>
            </w:r>
          </w:p>
        </w:tc>
        <w:tc>
          <w:tcPr>
            <w:tcW w:w="7421" w:type="dxa"/>
            <w:shd w:val="clear" w:color="auto" w:fill="auto"/>
          </w:tcPr>
          <w:p w:rsidR="00160A52" w:rsidRPr="00A65B09" w:rsidRDefault="00160A52" w:rsidP="0057614E">
            <w:pPr>
              <w:pStyle w:val="Encabezado"/>
              <w:snapToGrid w:val="0"/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A65B09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Texto actualizado de </w:t>
            </w:r>
            <w:r w:rsidR="0057614E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las Decisiones CMC N° 36/10, 24/14 y 45/15.</w:t>
            </w:r>
          </w:p>
        </w:tc>
      </w:tr>
      <w:tr w:rsidR="007B65D2" w:rsidRPr="004845BD" w:rsidTr="002F4AF3">
        <w:tblPrEx>
          <w:tblLook w:val="0000" w:firstRow="0" w:lastRow="0" w:firstColumn="0" w:lastColumn="0" w:noHBand="0" w:noVBand="0"/>
        </w:tblPrEx>
        <w:tc>
          <w:tcPr>
            <w:tcW w:w="1649" w:type="dxa"/>
            <w:shd w:val="clear" w:color="auto" w:fill="auto"/>
          </w:tcPr>
          <w:p w:rsidR="007B65D2" w:rsidRPr="004845BD" w:rsidRDefault="007B65D2" w:rsidP="002F4AF3">
            <w:pPr>
              <w:pStyle w:val="Encabezado"/>
              <w:snapToGrid w:val="0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>
              <w:rPr>
                <w:color w:val="auto"/>
                <w:sz w:val="24"/>
                <w:szCs w:val="24"/>
                <w:u w:val="none"/>
                <w:lang w:val="es-PY"/>
              </w:rPr>
              <w:t>Anexo XI</w:t>
            </w:r>
          </w:p>
        </w:tc>
        <w:tc>
          <w:tcPr>
            <w:tcW w:w="7421" w:type="dxa"/>
            <w:shd w:val="clear" w:color="auto" w:fill="auto"/>
          </w:tcPr>
          <w:p w:rsidR="007B65D2" w:rsidRPr="00A65B09" w:rsidRDefault="007B65D2" w:rsidP="007B65D2">
            <w:pPr>
              <w:pStyle w:val="Encabezado"/>
              <w:snapToGrid w:val="0"/>
              <w:jc w:val="both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A65B09">
              <w:rPr>
                <w:color w:val="auto"/>
                <w:sz w:val="24"/>
                <w:szCs w:val="24"/>
                <w:u w:val="none"/>
                <w:lang w:val="es-PY"/>
              </w:rPr>
              <w:t xml:space="preserve">RESERVADO </w:t>
            </w:r>
            <w:r>
              <w:rPr>
                <w:color w:val="auto"/>
                <w:sz w:val="24"/>
                <w:szCs w:val="24"/>
                <w:u w:val="none"/>
                <w:lang w:val="es-PY"/>
              </w:rPr>
              <w:t xml:space="preserve">– </w:t>
            </w: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MERCOSUR/IX GIN/DT N° 05/14 - </w:t>
            </w:r>
            <w:r w:rsidRPr="007B65D2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Rev.2</w:t>
            </w: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y MERCOSUR/IX GIN/DT N° 06/14 - </w:t>
            </w:r>
            <w:r w:rsidRPr="007B65D2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Rev. 10</w:t>
            </w: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“C</w:t>
            </w:r>
            <w:r w:rsidRPr="007B65D2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uadros de normas MERCOSUR protocolizadas en el ámbito de la ALADI</w:t>
            </w: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”.</w:t>
            </w:r>
          </w:p>
        </w:tc>
      </w:tr>
    </w:tbl>
    <w:p w:rsidR="005810E5" w:rsidRDefault="005810E5">
      <w:r>
        <w:br w:type="page"/>
      </w: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7421"/>
      </w:tblGrid>
      <w:tr w:rsidR="00160A52" w:rsidRPr="00470E98" w:rsidTr="002F4AF3">
        <w:trPr>
          <w:trHeight w:val="693"/>
        </w:trPr>
        <w:tc>
          <w:tcPr>
            <w:tcW w:w="1649" w:type="dxa"/>
            <w:shd w:val="clear" w:color="auto" w:fill="auto"/>
          </w:tcPr>
          <w:p w:rsidR="00160A52" w:rsidRPr="004845BD" w:rsidRDefault="00160A52" w:rsidP="002F4AF3">
            <w:pPr>
              <w:pStyle w:val="Encabezado"/>
              <w:snapToGrid w:val="0"/>
              <w:spacing w:after="120"/>
              <w:jc w:val="both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4845BD">
              <w:rPr>
                <w:color w:val="auto"/>
                <w:sz w:val="24"/>
                <w:szCs w:val="24"/>
                <w:u w:val="none"/>
                <w:lang w:val="es-PY"/>
              </w:rPr>
              <w:lastRenderedPageBreak/>
              <w:t>Anexo XII</w:t>
            </w:r>
          </w:p>
        </w:tc>
        <w:tc>
          <w:tcPr>
            <w:tcW w:w="7421" w:type="dxa"/>
            <w:shd w:val="clear" w:color="auto" w:fill="auto"/>
          </w:tcPr>
          <w:p w:rsidR="00160A52" w:rsidRPr="00AA6C6D" w:rsidRDefault="00BD0440" w:rsidP="00847A9B">
            <w:pPr>
              <w:snapToGrid w:val="0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BD0440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Autenticación de la</w:t>
            </w:r>
            <w:r w:rsidR="008D1580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s</w:t>
            </w:r>
            <w:r w:rsidRPr="00BD0440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</w:t>
            </w:r>
            <w:r w:rsidR="008D1580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Resolucio</w:t>
            </w: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n</w:t>
            </w:r>
            <w:r w:rsidR="008D1580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es</w:t>
            </w: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GMC N° 12/96 “</w:t>
            </w:r>
            <w:r w:rsidRPr="0094482C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Derogación Res Nº 15/95 </w:t>
            </w:r>
            <w:r w:rsidRPr="0094482C">
              <w:rPr>
                <w:b w:val="0"/>
                <w:caps/>
                <w:color w:val="auto"/>
                <w:sz w:val="24"/>
                <w:szCs w:val="24"/>
                <w:u w:val="none"/>
                <w:lang w:val="es-PY"/>
              </w:rPr>
              <w:t>Gmc</w:t>
            </w: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</w:t>
            </w:r>
            <w:r w:rsidRPr="0094482C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Listado </w:t>
            </w:r>
            <w:r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d</w:t>
            </w:r>
            <w:r w:rsidRPr="0094482C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>e Filtros Ultravioletas Permitidos”</w:t>
            </w:r>
            <w:r w:rsidR="008D1580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en la versión en portugués y N°</w:t>
            </w:r>
            <w:r w:rsidR="003F1CDF"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  <w:t xml:space="preserve"> 89/94 “Homologación de Vehículos” en la versión en español.</w:t>
            </w:r>
          </w:p>
        </w:tc>
      </w:tr>
    </w:tbl>
    <w:p w:rsidR="00160A52" w:rsidRPr="00160A52" w:rsidRDefault="00160A52" w:rsidP="00440AE3">
      <w:pPr>
        <w:pStyle w:val="Encabezado"/>
        <w:jc w:val="both"/>
        <w:rPr>
          <w:b w:val="0"/>
          <w:color w:val="auto"/>
          <w:sz w:val="24"/>
          <w:szCs w:val="24"/>
          <w:u w:val="none"/>
        </w:rPr>
      </w:pPr>
    </w:p>
    <w:p w:rsidR="00160A52" w:rsidRDefault="00160A52" w:rsidP="00440AE3">
      <w:pPr>
        <w:pStyle w:val="Encabezado"/>
        <w:jc w:val="both"/>
        <w:rPr>
          <w:b w:val="0"/>
          <w:color w:val="auto"/>
          <w:sz w:val="24"/>
          <w:szCs w:val="24"/>
          <w:u w:val="none"/>
          <w:lang w:val="es-PY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90"/>
      </w:tblGrid>
      <w:tr w:rsidR="000057E1" w:rsidRPr="004845BD" w:rsidTr="00160A52"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UY"/>
              </w:rPr>
            </w:pPr>
          </w:p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UY"/>
              </w:rPr>
            </w:pPr>
          </w:p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UY"/>
              </w:rPr>
            </w:pPr>
          </w:p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UY"/>
              </w:rPr>
            </w:pPr>
          </w:p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UY"/>
              </w:rPr>
            </w:pPr>
          </w:p>
          <w:p w:rsidR="000057E1" w:rsidRPr="00160A52" w:rsidRDefault="000057E1" w:rsidP="000057E1">
            <w:pPr>
              <w:pStyle w:val="Encabezado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  <w:r w:rsidRPr="00160A52">
              <w:rPr>
                <w:color w:val="auto"/>
                <w:sz w:val="24"/>
                <w:u w:val="none"/>
                <w:vertAlign w:val="superscript"/>
                <w:lang w:val="es-PY"/>
              </w:rPr>
              <w:t>_________________________________________________</w:t>
            </w:r>
          </w:p>
          <w:p w:rsidR="000057E1" w:rsidRPr="00160A52" w:rsidRDefault="000057E1" w:rsidP="000057E1">
            <w:pPr>
              <w:jc w:val="center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160A52">
              <w:rPr>
                <w:b w:val="0"/>
                <w:color w:val="auto"/>
                <w:sz w:val="24"/>
                <w:u w:val="none"/>
                <w:lang w:val="es-PY"/>
              </w:rPr>
              <w:t xml:space="preserve">Por la </w:t>
            </w:r>
            <w:r w:rsidR="00750D60">
              <w:rPr>
                <w:b w:val="0"/>
                <w:color w:val="auto"/>
                <w:sz w:val="24"/>
                <w:u w:val="none"/>
                <w:lang w:val="es-PY"/>
              </w:rPr>
              <w:t>D</w:t>
            </w:r>
            <w:r w:rsidRPr="00160A52">
              <w:rPr>
                <w:b w:val="0"/>
                <w:color w:val="auto"/>
                <w:sz w:val="24"/>
                <w:u w:val="none"/>
                <w:lang w:val="es-PY"/>
              </w:rPr>
              <w:t>elegación de Argentina</w:t>
            </w:r>
          </w:p>
          <w:p w:rsidR="000057E1" w:rsidRPr="00160A52" w:rsidRDefault="00750D60" w:rsidP="000057E1">
            <w:pPr>
              <w:jc w:val="center"/>
              <w:rPr>
                <w:color w:val="auto"/>
                <w:sz w:val="24"/>
                <w:szCs w:val="24"/>
                <w:u w:val="none"/>
                <w:lang w:val="es-PY"/>
              </w:rPr>
            </w:pPr>
            <w:r w:rsidRPr="00750D60">
              <w:rPr>
                <w:color w:val="000000"/>
                <w:sz w:val="24"/>
                <w:szCs w:val="24"/>
                <w:u w:val="none"/>
                <w:shd w:val="clear" w:color="auto" w:fill="FFFFFF"/>
                <w:lang w:val="es-PY"/>
              </w:rPr>
              <w:t xml:space="preserve">Sergio </w:t>
            </w:r>
            <w:proofErr w:type="spellStart"/>
            <w:r w:rsidRPr="00750D60">
              <w:rPr>
                <w:color w:val="000000"/>
                <w:sz w:val="24"/>
                <w:szCs w:val="24"/>
                <w:u w:val="none"/>
                <w:shd w:val="clear" w:color="auto" w:fill="FFFFFF"/>
                <w:lang w:val="es-PY"/>
              </w:rPr>
              <w:t>Iaciuk</w:t>
            </w:r>
            <w:proofErr w:type="spellEnd"/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0057E1" w:rsidRPr="00160A52" w:rsidRDefault="000057E1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  <w:r w:rsidRPr="00160A52">
              <w:rPr>
                <w:color w:val="auto"/>
                <w:sz w:val="24"/>
                <w:u w:val="none"/>
                <w:vertAlign w:val="superscript"/>
                <w:lang w:val="es-PY"/>
              </w:rPr>
              <w:t>_______________________________________________</w:t>
            </w:r>
          </w:p>
          <w:p w:rsidR="000057E1" w:rsidRPr="00160A52" w:rsidRDefault="000057E1" w:rsidP="000057E1">
            <w:pPr>
              <w:jc w:val="center"/>
              <w:rPr>
                <w:b w:val="0"/>
                <w:color w:val="auto"/>
                <w:sz w:val="24"/>
                <w:szCs w:val="24"/>
                <w:u w:val="none"/>
                <w:lang w:val="es-PY"/>
              </w:rPr>
            </w:pPr>
            <w:r w:rsidRPr="00160A52">
              <w:rPr>
                <w:b w:val="0"/>
                <w:color w:val="auto"/>
                <w:sz w:val="24"/>
                <w:u w:val="none"/>
                <w:lang w:val="es-PY"/>
              </w:rPr>
              <w:t xml:space="preserve">Por la </w:t>
            </w:r>
            <w:r w:rsidR="00750D60">
              <w:rPr>
                <w:b w:val="0"/>
                <w:color w:val="auto"/>
                <w:sz w:val="24"/>
                <w:u w:val="none"/>
                <w:lang w:val="es-PY"/>
              </w:rPr>
              <w:t>D</w:t>
            </w:r>
            <w:r w:rsidRPr="00160A52">
              <w:rPr>
                <w:b w:val="0"/>
                <w:color w:val="auto"/>
                <w:sz w:val="24"/>
                <w:u w:val="none"/>
                <w:lang w:val="es-PY"/>
              </w:rPr>
              <w:t>elegación de Brasil</w:t>
            </w:r>
          </w:p>
          <w:p w:rsidR="000057E1" w:rsidRPr="00160A52" w:rsidRDefault="00750D60" w:rsidP="000057E1">
            <w:pPr>
              <w:jc w:val="center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  <w:proofErr w:type="spellStart"/>
            <w:r w:rsidRPr="00750D60">
              <w:rPr>
                <w:sz w:val="24"/>
                <w:szCs w:val="24"/>
                <w:u w:val="none"/>
                <w:lang w:val="es-UY"/>
              </w:rPr>
              <w:t>Riane</w:t>
            </w:r>
            <w:proofErr w:type="spellEnd"/>
            <w:r w:rsidRPr="00750D60">
              <w:rPr>
                <w:sz w:val="24"/>
                <w:szCs w:val="24"/>
                <w:u w:val="none"/>
                <w:lang w:val="es-UY"/>
              </w:rPr>
              <w:t xml:space="preserve"> </w:t>
            </w:r>
            <w:proofErr w:type="spellStart"/>
            <w:r w:rsidRPr="00750D60">
              <w:rPr>
                <w:sz w:val="24"/>
                <w:szCs w:val="24"/>
                <w:u w:val="none"/>
                <w:lang w:val="es-UY"/>
              </w:rPr>
              <w:t>Tarnovksi</w:t>
            </w:r>
            <w:proofErr w:type="spellEnd"/>
          </w:p>
        </w:tc>
      </w:tr>
      <w:tr w:rsidR="00750D60" w:rsidRPr="004845BD" w:rsidTr="0024576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D60" w:rsidRPr="00160A52" w:rsidRDefault="00750D60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750D60" w:rsidRPr="00160A52" w:rsidRDefault="00750D60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750D60" w:rsidRPr="00160A52" w:rsidRDefault="00750D60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750D60" w:rsidRPr="00160A52" w:rsidRDefault="00750D60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750D60" w:rsidRPr="00160A52" w:rsidRDefault="00750D60" w:rsidP="00F53BB2">
            <w:pPr>
              <w:pStyle w:val="Encabezado"/>
              <w:ind w:left="2305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  <w:r w:rsidRPr="00160A52">
              <w:rPr>
                <w:color w:val="auto"/>
                <w:sz w:val="24"/>
                <w:u w:val="none"/>
                <w:vertAlign w:val="superscript"/>
                <w:lang w:val="es-PY"/>
              </w:rPr>
              <w:t>_________________________________________________</w:t>
            </w:r>
          </w:p>
          <w:p w:rsidR="00750D60" w:rsidRDefault="00750D60" w:rsidP="000057E1">
            <w:pPr>
              <w:pStyle w:val="Encabezado"/>
              <w:jc w:val="center"/>
              <w:rPr>
                <w:b w:val="0"/>
                <w:color w:val="auto"/>
                <w:sz w:val="24"/>
                <w:u w:val="none"/>
                <w:lang w:val="es-PY"/>
              </w:rPr>
            </w:pPr>
            <w:r w:rsidRPr="00160A52">
              <w:rPr>
                <w:b w:val="0"/>
                <w:color w:val="auto"/>
                <w:sz w:val="24"/>
                <w:u w:val="none"/>
                <w:lang w:val="es-PY"/>
              </w:rPr>
              <w:t xml:space="preserve">Por la </w:t>
            </w:r>
            <w:r>
              <w:rPr>
                <w:b w:val="0"/>
                <w:color w:val="auto"/>
                <w:sz w:val="24"/>
                <w:u w:val="none"/>
                <w:lang w:val="es-PY"/>
              </w:rPr>
              <w:t>D</w:t>
            </w:r>
            <w:r w:rsidRPr="00160A52">
              <w:rPr>
                <w:b w:val="0"/>
                <w:color w:val="auto"/>
                <w:sz w:val="24"/>
                <w:u w:val="none"/>
                <w:lang w:val="es-PY"/>
              </w:rPr>
              <w:t>elegación de Paraguay</w:t>
            </w:r>
          </w:p>
          <w:p w:rsidR="00F825E6" w:rsidRPr="00F825E6" w:rsidRDefault="00F825E6" w:rsidP="000057E1">
            <w:pPr>
              <w:pStyle w:val="Encabezado"/>
              <w:jc w:val="center"/>
              <w:rPr>
                <w:color w:val="auto"/>
                <w:sz w:val="24"/>
                <w:u w:val="none"/>
                <w:lang w:val="es-PY"/>
              </w:rPr>
            </w:pPr>
            <w:r w:rsidRPr="00F825E6">
              <w:rPr>
                <w:color w:val="auto"/>
                <w:sz w:val="24"/>
                <w:u w:val="none"/>
                <w:lang w:val="es-PY"/>
              </w:rPr>
              <w:t xml:space="preserve">Mónica </w:t>
            </w:r>
            <w:proofErr w:type="spellStart"/>
            <w:r w:rsidRPr="00F825E6">
              <w:rPr>
                <w:color w:val="auto"/>
                <w:sz w:val="24"/>
                <w:u w:val="none"/>
                <w:lang w:val="es-PY"/>
              </w:rPr>
              <w:t>Addario</w:t>
            </w:r>
            <w:proofErr w:type="spellEnd"/>
          </w:p>
          <w:p w:rsidR="00750D60" w:rsidRPr="00160A52" w:rsidRDefault="00750D60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750D60" w:rsidRPr="00160A52" w:rsidRDefault="00750D60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750D60" w:rsidRPr="00160A52" w:rsidRDefault="00750D60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750D60" w:rsidRPr="00160A52" w:rsidRDefault="00750D60" w:rsidP="000057E1">
            <w:pPr>
              <w:pStyle w:val="Encabezado"/>
              <w:jc w:val="both"/>
              <w:rPr>
                <w:color w:val="auto"/>
                <w:sz w:val="24"/>
                <w:szCs w:val="24"/>
                <w:u w:val="none"/>
                <w:vertAlign w:val="superscript"/>
                <w:lang w:val="es-PY"/>
              </w:rPr>
            </w:pPr>
          </w:p>
          <w:p w:rsidR="00750D60" w:rsidRPr="00160A52" w:rsidRDefault="00750D60" w:rsidP="000057E1">
            <w:pPr>
              <w:pStyle w:val="Encabezado"/>
              <w:jc w:val="center"/>
              <w:rPr>
                <w:color w:val="auto"/>
                <w:sz w:val="24"/>
                <w:szCs w:val="24"/>
                <w:u w:val="none"/>
                <w:lang w:val="es-PY"/>
              </w:rPr>
            </w:pPr>
          </w:p>
        </w:tc>
      </w:tr>
    </w:tbl>
    <w:p w:rsidR="00900228" w:rsidRPr="004845BD" w:rsidRDefault="00900228">
      <w:pPr>
        <w:rPr>
          <w:lang w:val="es-PY"/>
        </w:rPr>
      </w:pPr>
    </w:p>
    <w:sectPr w:rsidR="00900228" w:rsidRPr="004845BD" w:rsidSect="00ED2062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9C" w:rsidRDefault="00CC5D9C">
      <w:r>
        <w:separator/>
      </w:r>
    </w:p>
  </w:endnote>
  <w:endnote w:type="continuationSeparator" w:id="0">
    <w:p w:rsidR="00CC5D9C" w:rsidRDefault="00CC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2A" w:rsidRDefault="001E1558" w:rsidP="00F10B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0D2A" w:rsidRDefault="00CC5D9C" w:rsidP="001846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96" w:rsidRPr="00F36A96" w:rsidRDefault="001E1558">
    <w:pPr>
      <w:pStyle w:val="Piedepgina"/>
      <w:jc w:val="right"/>
      <w:rPr>
        <w:b w:val="0"/>
        <w:sz w:val="20"/>
        <w:szCs w:val="20"/>
        <w:u w:val="none"/>
      </w:rPr>
    </w:pPr>
    <w:r w:rsidRPr="00F36A96">
      <w:rPr>
        <w:b w:val="0"/>
        <w:sz w:val="20"/>
        <w:szCs w:val="20"/>
        <w:u w:val="none"/>
      </w:rPr>
      <w:fldChar w:fldCharType="begin"/>
    </w:r>
    <w:r w:rsidRPr="00F36A96">
      <w:rPr>
        <w:b w:val="0"/>
        <w:sz w:val="20"/>
        <w:szCs w:val="20"/>
        <w:u w:val="none"/>
      </w:rPr>
      <w:instrText>PAGE   \* MERGEFORMAT</w:instrText>
    </w:r>
    <w:r w:rsidRPr="00F36A96">
      <w:rPr>
        <w:b w:val="0"/>
        <w:sz w:val="20"/>
        <w:szCs w:val="20"/>
        <w:u w:val="none"/>
      </w:rPr>
      <w:fldChar w:fldCharType="separate"/>
    </w:r>
    <w:r w:rsidR="00CD4A30">
      <w:rPr>
        <w:b w:val="0"/>
        <w:noProof/>
        <w:sz w:val="20"/>
        <w:szCs w:val="20"/>
        <w:u w:val="none"/>
      </w:rPr>
      <w:t>6</w:t>
    </w:r>
    <w:r w:rsidRPr="00F36A96">
      <w:rPr>
        <w:b w:val="0"/>
        <w:sz w:val="20"/>
        <w:szCs w:val="20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9C" w:rsidRDefault="00CC5D9C">
      <w:r>
        <w:separator/>
      </w:r>
    </w:p>
  </w:footnote>
  <w:footnote w:type="continuationSeparator" w:id="0">
    <w:p w:rsidR="00CC5D9C" w:rsidRDefault="00CC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66B"/>
    <w:multiLevelType w:val="multilevel"/>
    <w:tmpl w:val="B9440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6A7159"/>
    <w:multiLevelType w:val="multilevel"/>
    <w:tmpl w:val="47A292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67EA9"/>
    <w:multiLevelType w:val="multilevel"/>
    <w:tmpl w:val="D61806D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A3F4008"/>
    <w:multiLevelType w:val="hybridMultilevel"/>
    <w:tmpl w:val="554821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A2514"/>
    <w:multiLevelType w:val="multilevel"/>
    <w:tmpl w:val="1A2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8C23322"/>
    <w:multiLevelType w:val="multilevel"/>
    <w:tmpl w:val="1A2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E3"/>
    <w:rsid w:val="0000071B"/>
    <w:rsid w:val="000057E1"/>
    <w:rsid w:val="00027AE3"/>
    <w:rsid w:val="000445AD"/>
    <w:rsid w:val="00051B53"/>
    <w:rsid w:val="00054D4C"/>
    <w:rsid w:val="00070914"/>
    <w:rsid w:val="00074D1E"/>
    <w:rsid w:val="00076EEF"/>
    <w:rsid w:val="0008075C"/>
    <w:rsid w:val="000874ED"/>
    <w:rsid w:val="00093584"/>
    <w:rsid w:val="000A118E"/>
    <w:rsid w:val="000A22BB"/>
    <w:rsid w:val="000B0F41"/>
    <w:rsid w:val="000C6385"/>
    <w:rsid w:val="000D4F14"/>
    <w:rsid w:val="000E2F02"/>
    <w:rsid w:val="000F0445"/>
    <w:rsid w:val="000F435F"/>
    <w:rsid w:val="000F5D31"/>
    <w:rsid w:val="00103EED"/>
    <w:rsid w:val="001170BB"/>
    <w:rsid w:val="00121726"/>
    <w:rsid w:val="001373FA"/>
    <w:rsid w:val="00142836"/>
    <w:rsid w:val="00151CDF"/>
    <w:rsid w:val="001569BE"/>
    <w:rsid w:val="00160A52"/>
    <w:rsid w:val="00164D2D"/>
    <w:rsid w:val="00171ACB"/>
    <w:rsid w:val="0018109F"/>
    <w:rsid w:val="00192E63"/>
    <w:rsid w:val="001942EE"/>
    <w:rsid w:val="001A3B01"/>
    <w:rsid w:val="001B4321"/>
    <w:rsid w:val="001C3030"/>
    <w:rsid w:val="001E09C0"/>
    <w:rsid w:val="001E1558"/>
    <w:rsid w:val="00211FF1"/>
    <w:rsid w:val="002336A7"/>
    <w:rsid w:val="00244D7C"/>
    <w:rsid w:val="0026112D"/>
    <w:rsid w:val="00273A30"/>
    <w:rsid w:val="0027403F"/>
    <w:rsid w:val="0027669C"/>
    <w:rsid w:val="00292DC8"/>
    <w:rsid w:val="002C6DD6"/>
    <w:rsid w:val="002D73C1"/>
    <w:rsid w:val="002F5A4F"/>
    <w:rsid w:val="002F7C0D"/>
    <w:rsid w:val="0030278A"/>
    <w:rsid w:val="0030450C"/>
    <w:rsid w:val="0032057F"/>
    <w:rsid w:val="00330761"/>
    <w:rsid w:val="00350DA3"/>
    <w:rsid w:val="0035634F"/>
    <w:rsid w:val="00357643"/>
    <w:rsid w:val="00380149"/>
    <w:rsid w:val="0039364F"/>
    <w:rsid w:val="003964E8"/>
    <w:rsid w:val="0039714D"/>
    <w:rsid w:val="003A6DA8"/>
    <w:rsid w:val="003B5E10"/>
    <w:rsid w:val="003C1DBB"/>
    <w:rsid w:val="003F1CDF"/>
    <w:rsid w:val="003F5F48"/>
    <w:rsid w:val="00414EE4"/>
    <w:rsid w:val="00414FD1"/>
    <w:rsid w:val="00424E79"/>
    <w:rsid w:val="00425A77"/>
    <w:rsid w:val="004345FB"/>
    <w:rsid w:val="00440AE3"/>
    <w:rsid w:val="00451BA5"/>
    <w:rsid w:val="004658F6"/>
    <w:rsid w:val="00467FC6"/>
    <w:rsid w:val="00470E98"/>
    <w:rsid w:val="004845BD"/>
    <w:rsid w:val="004904EE"/>
    <w:rsid w:val="00491040"/>
    <w:rsid w:val="004C72BF"/>
    <w:rsid w:val="004D287F"/>
    <w:rsid w:val="004D51E8"/>
    <w:rsid w:val="004E1BE7"/>
    <w:rsid w:val="004E2675"/>
    <w:rsid w:val="004E48EF"/>
    <w:rsid w:val="004E5601"/>
    <w:rsid w:val="004E6DEE"/>
    <w:rsid w:val="004F316E"/>
    <w:rsid w:val="004F338E"/>
    <w:rsid w:val="004F5801"/>
    <w:rsid w:val="005050EF"/>
    <w:rsid w:val="005062CE"/>
    <w:rsid w:val="00510F89"/>
    <w:rsid w:val="00512076"/>
    <w:rsid w:val="00521941"/>
    <w:rsid w:val="00523F82"/>
    <w:rsid w:val="00553EB4"/>
    <w:rsid w:val="005544D4"/>
    <w:rsid w:val="0056028A"/>
    <w:rsid w:val="0056190D"/>
    <w:rsid w:val="00570617"/>
    <w:rsid w:val="0057614E"/>
    <w:rsid w:val="005810E5"/>
    <w:rsid w:val="005944CC"/>
    <w:rsid w:val="005A052B"/>
    <w:rsid w:val="005A16CF"/>
    <w:rsid w:val="005B1F32"/>
    <w:rsid w:val="005B1FAE"/>
    <w:rsid w:val="005E4F8F"/>
    <w:rsid w:val="00612B8E"/>
    <w:rsid w:val="006133C9"/>
    <w:rsid w:val="006408F8"/>
    <w:rsid w:val="00653D67"/>
    <w:rsid w:val="00667877"/>
    <w:rsid w:val="00671F9B"/>
    <w:rsid w:val="006731FE"/>
    <w:rsid w:val="006C09F5"/>
    <w:rsid w:val="006D086E"/>
    <w:rsid w:val="006E3651"/>
    <w:rsid w:val="006E479C"/>
    <w:rsid w:val="006F6752"/>
    <w:rsid w:val="006F6F1A"/>
    <w:rsid w:val="0070134D"/>
    <w:rsid w:val="007125AA"/>
    <w:rsid w:val="007209C3"/>
    <w:rsid w:val="007319D3"/>
    <w:rsid w:val="00732164"/>
    <w:rsid w:val="007362C1"/>
    <w:rsid w:val="00750D60"/>
    <w:rsid w:val="007510A0"/>
    <w:rsid w:val="0077055A"/>
    <w:rsid w:val="007706C6"/>
    <w:rsid w:val="00771B8F"/>
    <w:rsid w:val="00781D4D"/>
    <w:rsid w:val="0078554F"/>
    <w:rsid w:val="00786FDC"/>
    <w:rsid w:val="0079781C"/>
    <w:rsid w:val="007A5F0A"/>
    <w:rsid w:val="007A77ED"/>
    <w:rsid w:val="007B050A"/>
    <w:rsid w:val="007B65D2"/>
    <w:rsid w:val="007D2432"/>
    <w:rsid w:val="007F14A3"/>
    <w:rsid w:val="007F14B0"/>
    <w:rsid w:val="007F361E"/>
    <w:rsid w:val="00800454"/>
    <w:rsid w:val="00807D6C"/>
    <w:rsid w:val="008135E4"/>
    <w:rsid w:val="00816496"/>
    <w:rsid w:val="00826CE5"/>
    <w:rsid w:val="00837E64"/>
    <w:rsid w:val="00843715"/>
    <w:rsid w:val="00847946"/>
    <w:rsid w:val="00847A9B"/>
    <w:rsid w:val="00850020"/>
    <w:rsid w:val="008620E0"/>
    <w:rsid w:val="00863C4F"/>
    <w:rsid w:val="00864995"/>
    <w:rsid w:val="00865E1E"/>
    <w:rsid w:val="0087392E"/>
    <w:rsid w:val="0089107F"/>
    <w:rsid w:val="00896F0B"/>
    <w:rsid w:val="008A3667"/>
    <w:rsid w:val="008C2462"/>
    <w:rsid w:val="008D1580"/>
    <w:rsid w:val="008D61C9"/>
    <w:rsid w:val="008E35BF"/>
    <w:rsid w:val="008F37C8"/>
    <w:rsid w:val="008F6C12"/>
    <w:rsid w:val="00900228"/>
    <w:rsid w:val="0092389B"/>
    <w:rsid w:val="0093088E"/>
    <w:rsid w:val="009339A6"/>
    <w:rsid w:val="0094482C"/>
    <w:rsid w:val="00946CF9"/>
    <w:rsid w:val="009506DB"/>
    <w:rsid w:val="00963290"/>
    <w:rsid w:val="00972C2B"/>
    <w:rsid w:val="00977E0A"/>
    <w:rsid w:val="009E43F3"/>
    <w:rsid w:val="009F16D9"/>
    <w:rsid w:val="009F180A"/>
    <w:rsid w:val="00A01181"/>
    <w:rsid w:val="00A10006"/>
    <w:rsid w:val="00A23FB2"/>
    <w:rsid w:val="00A42B5F"/>
    <w:rsid w:val="00A53638"/>
    <w:rsid w:val="00A54219"/>
    <w:rsid w:val="00A57385"/>
    <w:rsid w:val="00A61DDC"/>
    <w:rsid w:val="00AA6C6D"/>
    <w:rsid w:val="00AB509B"/>
    <w:rsid w:val="00AF0091"/>
    <w:rsid w:val="00B02E71"/>
    <w:rsid w:val="00B21F38"/>
    <w:rsid w:val="00B277E4"/>
    <w:rsid w:val="00B471A5"/>
    <w:rsid w:val="00B50F31"/>
    <w:rsid w:val="00B55ACC"/>
    <w:rsid w:val="00B64792"/>
    <w:rsid w:val="00B84925"/>
    <w:rsid w:val="00BB221C"/>
    <w:rsid w:val="00BC6A8C"/>
    <w:rsid w:val="00BD0440"/>
    <w:rsid w:val="00BD1257"/>
    <w:rsid w:val="00BD5E87"/>
    <w:rsid w:val="00BE3857"/>
    <w:rsid w:val="00BF43F4"/>
    <w:rsid w:val="00BF4C78"/>
    <w:rsid w:val="00C1257F"/>
    <w:rsid w:val="00C14314"/>
    <w:rsid w:val="00C42B51"/>
    <w:rsid w:val="00C439A7"/>
    <w:rsid w:val="00C61FA9"/>
    <w:rsid w:val="00C92504"/>
    <w:rsid w:val="00CC15C3"/>
    <w:rsid w:val="00CC5C4F"/>
    <w:rsid w:val="00CC5D9C"/>
    <w:rsid w:val="00CD35A5"/>
    <w:rsid w:val="00CD4A30"/>
    <w:rsid w:val="00CD7922"/>
    <w:rsid w:val="00CE301E"/>
    <w:rsid w:val="00CF0A70"/>
    <w:rsid w:val="00CF3380"/>
    <w:rsid w:val="00D05CB7"/>
    <w:rsid w:val="00D10469"/>
    <w:rsid w:val="00D10E3C"/>
    <w:rsid w:val="00D27E4C"/>
    <w:rsid w:val="00D3319A"/>
    <w:rsid w:val="00D61AC4"/>
    <w:rsid w:val="00D7763B"/>
    <w:rsid w:val="00D84777"/>
    <w:rsid w:val="00D85FFC"/>
    <w:rsid w:val="00DD3E05"/>
    <w:rsid w:val="00DE6FEB"/>
    <w:rsid w:val="00E0673A"/>
    <w:rsid w:val="00E1018A"/>
    <w:rsid w:val="00E27AD2"/>
    <w:rsid w:val="00E61B3F"/>
    <w:rsid w:val="00E740FC"/>
    <w:rsid w:val="00E81D44"/>
    <w:rsid w:val="00EA3400"/>
    <w:rsid w:val="00EA44D5"/>
    <w:rsid w:val="00EA5594"/>
    <w:rsid w:val="00ED2062"/>
    <w:rsid w:val="00EE34CC"/>
    <w:rsid w:val="00EE5B81"/>
    <w:rsid w:val="00EF52DF"/>
    <w:rsid w:val="00F01F06"/>
    <w:rsid w:val="00F063DA"/>
    <w:rsid w:val="00F27483"/>
    <w:rsid w:val="00F327E1"/>
    <w:rsid w:val="00F36A0F"/>
    <w:rsid w:val="00F406F5"/>
    <w:rsid w:val="00F42D14"/>
    <w:rsid w:val="00F459A9"/>
    <w:rsid w:val="00F47DCD"/>
    <w:rsid w:val="00F53BB2"/>
    <w:rsid w:val="00F61C08"/>
    <w:rsid w:val="00F825E6"/>
    <w:rsid w:val="00F92676"/>
    <w:rsid w:val="00FA16D6"/>
    <w:rsid w:val="00FC5B87"/>
    <w:rsid w:val="00FE2085"/>
    <w:rsid w:val="00FE5EDF"/>
    <w:rsid w:val="00FF18EE"/>
    <w:rsid w:val="00FF2A5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2812"/>
  <w15:docId w15:val="{20042C0F-885F-4E45-9600-FF3F2F9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E3"/>
    <w:pPr>
      <w:spacing w:after="0" w:line="240" w:lineRule="auto"/>
    </w:pPr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40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E3"/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character" w:styleId="Nmerodepgina">
    <w:name w:val="page number"/>
    <w:basedOn w:val="Fuentedeprrafopredeter"/>
    <w:rsid w:val="00440AE3"/>
  </w:style>
  <w:style w:type="paragraph" w:styleId="Encabezado">
    <w:name w:val="header"/>
    <w:basedOn w:val="Normal"/>
    <w:link w:val="EncabezadoCar"/>
    <w:rsid w:val="00440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0AE3"/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440AE3"/>
    <w:pPr>
      <w:spacing w:before="240" w:after="60"/>
      <w:jc w:val="center"/>
      <w:outlineLvl w:val="0"/>
    </w:pPr>
    <w:rPr>
      <w:rFonts w:ascii="Cambria" w:hAnsi="Cambria" w:cs="Times New Roman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440AE3"/>
    <w:rPr>
      <w:rFonts w:ascii="Cambria" w:eastAsia="Times New Roman" w:hAnsi="Cambria" w:cs="Times New Roman"/>
      <w:b/>
      <w:bCs/>
      <w:color w:val="211D1E"/>
      <w:kern w:val="28"/>
      <w:sz w:val="32"/>
      <w:szCs w:val="32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F0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rrafodelistaCar"/>
    <w:uiPriority w:val="34"/>
    <w:qFormat/>
    <w:rsid w:val="006678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8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57"/>
    <w:rPr>
      <w:rFonts w:ascii="Segoe UI" w:eastAsia="Times New Roman" w:hAnsi="Segoe UI" w:cs="Segoe UI"/>
      <w:b/>
      <w:bCs/>
      <w:color w:val="211D1E"/>
      <w:sz w:val="18"/>
      <w:szCs w:val="18"/>
      <w:u w:val="single"/>
      <w:lang w:val="es-ES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locked/>
    <w:rsid w:val="00A01181"/>
    <w:rPr>
      <w:rFonts w:ascii="Arial" w:eastAsia="Times New Roman" w:hAnsi="Arial" w:cs="Arial"/>
      <w:b/>
      <w:bCs/>
      <w:color w:val="211D1E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825E6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20"/>
      <w:szCs w:val="20"/>
      <w:u w:val="none"/>
      <w:lang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825E6"/>
    <w:rPr>
      <w:rFonts w:ascii="Times New Roman" w:eastAsia="Times New Roman" w:hAnsi="Times New Roman" w:cs="Times New Roman"/>
      <w:sz w:val="20"/>
      <w:szCs w:val="20"/>
      <w:lang w:val="es-ES" w:eastAsia="pt-BR"/>
    </w:rPr>
  </w:style>
  <w:style w:type="character" w:styleId="Refdecomentario">
    <w:name w:val="annotation reference"/>
    <w:basedOn w:val="Fuentedeprrafopredeter"/>
    <w:uiPriority w:val="99"/>
    <w:semiHidden/>
    <w:unhideWhenUsed/>
    <w:rsid w:val="00D05C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C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CB7"/>
    <w:rPr>
      <w:rFonts w:ascii="Arial" w:eastAsia="Times New Roman" w:hAnsi="Arial" w:cs="Arial"/>
      <w:b/>
      <w:bCs/>
      <w:color w:val="211D1E"/>
      <w:sz w:val="20"/>
      <w:szCs w:val="20"/>
      <w:u w:val="single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CB7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CB7"/>
    <w:rPr>
      <w:rFonts w:ascii="Arial" w:eastAsia="Times New Roman" w:hAnsi="Arial" w:cs="Arial"/>
      <w:b/>
      <w:bCs/>
      <w:color w:val="211D1E"/>
      <w:sz w:val="20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90D9-DEC0-4C65-B93E-28512761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Itaipu Binacional</Company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Itaipu Binacional</dc:creator>
  <cp:lastModifiedBy>Belén Gauto</cp:lastModifiedBy>
  <cp:revision>3</cp:revision>
  <cp:lastPrinted>2018-08-23T18:07:00Z</cp:lastPrinted>
  <dcterms:created xsi:type="dcterms:W3CDTF">2019-06-07T15:05:00Z</dcterms:created>
  <dcterms:modified xsi:type="dcterms:W3CDTF">2019-06-07T15:16:00Z</dcterms:modified>
</cp:coreProperties>
</file>