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12EDE" w14:textId="653316C0" w:rsidR="00527A1F" w:rsidRPr="00527A1F" w:rsidRDefault="00527A1F" w:rsidP="00527A1F">
      <w:pPr>
        <w:widowControl w:val="0"/>
        <w:pBdr>
          <w:top w:val="nil"/>
          <w:left w:val="nil"/>
          <w:bottom w:val="nil"/>
          <w:right w:val="nil"/>
          <w:between w:val="nil"/>
        </w:pBdr>
        <w:spacing w:line="276" w:lineRule="auto"/>
        <w:jc w:val="both"/>
      </w:pPr>
      <w:r>
        <w:rPr>
          <w:noProof/>
          <w:color w:val="000000"/>
          <w:lang w:eastAsia="pt-BR"/>
        </w:rPr>
        <w:drawing>
          <wp:inline distT="0" distB="0" distL="0" distR="0" wp14:anchorId="53B50A1E" wp14:editId="6351F39E">
            <wp:extent cx="1186180" cy="748030"/>
            <wp:effectExtent l="0" t="0" r="0" b="0"/>
            <wp:docPr id="113273164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186180" cy="748030"/>
                    </a:xfrm>
                    <a:prstGeom prst="rect">
                      <a:avLst/>
                    </a:prstGeom>
                    <a:ln/>
                  </pic:spPr>
                </pic:pic>
              </a:graphicData>
            </a:graphic>
          </wp:inline>
        </w:drawing>
      </w:r>
      <w:r>
        <w:t xml:space="preserve">     </w:t>
      </w:r>
      <w:r>
        <w:rPr>
          <w:noProof/>
          <w:color w:val="000000"/>
          <w:lang w:eastAsia="pt-BR"/>
        </w:rPr>
        <w:t xml:space="preserve">                                                                       </w:t>
      </w:r>
      <w:r>
        <w:rPr>
          <w:noProof/>
          <w:color w:val="000000"/>
          <w:lang w:eastAsia="pt-BR"/>
        </w:rPr>
        <w:drawing>
          <wp:inline distT="0" distB="0" distL="0" distR="0" wp14:anchorId="45AA5DC1" wp14:editId="33DB7C39">
            <wp:extent cx="1199515" cy="760095"/>
            <wp:effectExtent l="0" t="0" r="0" b="0"/>
            <wp:docPr id="1932328450" name="image3.png" descr="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932328450" name="image3.png" descr="Logotipo&#10;&#10;El contenido generado por IA puede ser incorrecto."/>
                    <pic:cNvPicPr preferRelativeResize="0"/>
                  </pic:nvPicPr>
                  <pic:blipFill>
                    <a:blip r:embed="rId10"/>
                    <a:srcRect/>
                    <a:stretch>
                      <a:fillRect/>
                    </a:stretch>
                  </pic:blipFill>
                  <pic:spPr>
                    <a:xfrm>
                      <a:off x="0" y="0"/>
                      <a:ext cx="1199515" cy="760095"/>
                    </a:xfrm>
                    <a:prstGeom prst="rect">
                      <a:avLst/>
                    </a:prstGeom>
                    <a:ln/>
                  </pic:spPr>
                </pic:pic>
              </a:graphicData>
            </a:graphic>
          </wp:inline>
        </w:drawing>
      </w:r>
    </w:p>
    <w:p w14:paraId="71079114" w14:textId="77777777" w:rsidR="00527A1F" w:rsidRDefault="00527A1F" w:rsidP="00527A1F">
      <w:pPr>
        <w:jc w:val="both"/>
        <w:rPr>
          <w:b/>
        </w:rPr>
      </w:pPr>
    </w:p>
    <w:p w14:paraId="0C7C72D8" w14:textId="52EFDDB4" w:rsidR="00947F9E" w:rsidRPr="00B5691B" w:rsidRDefault="005C1822" w:rsidP="00527A1F">
      <w:pPr>
        <w:jc w:val="both"/>
        <w:rPr>
          <w:b/>
        </w:rPr>
      </w:pPr>
      <w:r w:rsidRPr="00B5691B">
        <w:rPr>
          <w:b/>
        </w:rPr>
        <w:t>MERCOSUL/</w:t>
      </w:r>
      <w:r w:rsidR="00527A1F">
        <w:rPr>
          <w:b/>
        </w:rPr>
        <w:t>RMS-</w:t>
      </w:r>
      <w:r w:rsidRPr="00B5691B">
        <w:rPr>
          <w:b/>
        </w:rPr>
        <w:t>C</w:t>
      </w:r>
      <w:r w:rsidR="004D654F">
        <w:rPr>
          <w:b/>
        </w:rPr>
        <w:t>AHTA</w:t>
      </w:r>
      <w:r w:rsidR="00E16865">
        <w:rPr>
          <w:b/>
        </w:rPr>
        <w:t>S</w:t>
      </w:r>
      <w:r w:rsidRPr="00B5691B">
        <w:rPr>
          <w:b/>
        </w:rPr>
        <w:t>/ATA Nº 0</w:t>
      </w:r>
      <w:r w:rsidR="00E16865">
        <w:rPr>
          <w:b/>
        </w:rPr>
        <w:t>1</w:t>
      </w:r>
      <w:r w:rsidRPr="00B5691B">
        <w:rPr>
          <w:b/>
        </w:rPr>
        <w:t>/2</w:t>
      </w:r>
      <w:r w:rsidR="00445D7E" w:rsidRPr="00B5691B">
        <w:rPr>
          <w:b/>
        </w:rPr>
        <w:t>5</w:t>
      </w:r>
    </w:p>
    <w:p w14:paraId="1D4E8098" w14:textId="77777777" w:rsidR="00947F9E" w:rsidRPr="00B5691B" w:rsidRDefault="005C1822" w:rsidP="00527A1F">
      <w:pPr>
        <w:jc w:val="both"/>
        <w:rPr>
          <w:b/>
        </w:rPr>
      </w:pPr>
      <w:r w:rsidRPr="00B5691B">
        <w:rPr>
          <w:b/>
        </w:rPr>
        <w:t xml:space="preserve"> </w:t>
      </w:r>
    </w:p>
    <w:p w14:paraId="67A7FC91" w14:textId="40DEB1D2" w:rsidR="00947F9E" w:rsidRPr="00B5691B" w:rsidRDefault="005C1822" w:rsidP="00527A1F">
      <w:pPr>
        <w:jc w:val="center"/>
      </w:pPr>
      <w:r w:rsidRPr="00B5691B">
        <w:rPr>
          <w:b/>
        </w:rPr>
        <w:t xml:space="preserve">REUNIÃO </w:t>
      </w:r>
      <w:r w:rsidR="00030D3C" w:rsidRPr="00B5691B">
        <w:rPr>
          <w:b/>
        </w:rPr>
        <w:t xml:space="preserve">DO </w:t>
      </w:r>
      <w:bookmarkStart w:id="0" w:name="_Hlk208819669"/>
      <w:r w:rsidR="00030D3C" w:rsidRPr="00B5691B">
        <w:rPr>
          <w:b/>
        </w:rPr>
        <w:t xml:space="preserve">COMITÊ </w:t>
      </w:r>
      <w:r w:rsidR="00527A1F" w:rsidRPr="00B5691B">
        <w:rPr>
          <w:b/>
        </w:rPr>
        <w:t xml:space="preserve">AD HOC </w:t>
      </w:r>
      <w:r w:rsidR="00030D3C" w:rsidRPr="00B5691B">
        <w:rPr>
          <w:b/>
        </w:rPr>
        <w:t>DE TECNOLOGIAS ASSOCIADAS À SAÚDE (CAH</w:t>
      </w:r>
      <w:r w:rsidR="00527A1F">
        <w:rPr>
          <w:b/>
        </w:rPr>
        <w:t>TAS</w:t>
      </w:r>
      <w:r w:rsidR="00030D3C" w:rsidRPr="00B5691B">
        <w:rPr>
          <w:b/>
        </w:rPr>
        <w:t>)</w:t>
      </w:r>
      <w:bookmarkEnd w:id="0"/>
    </w:p>
    <w:p w14:paraId="32912D1B" w14:textId="1F01A3D5" w:rsidR="00947F9E" w:rsidRPr="00B5691B" w:rsidRDefault="005C1822" w:rsidP="00B5691B">
      <w:pPr>
        <w:spacing w:before="240" w:after="240" w:line="237" w:lineRule="auto"/>
        <w:ind w:right="80"/>
        <w:jc w:val="both"/>
      </w:pPr>
      <w:r w:rsidRPr="00B5691B">
        <w:t xml:space="preserve">Realizou-se em Brasília, </w:t>
      </w:r>
      <w:r w:rsidR="00527A1F">
        <w:t xml:space="preserve">entre </w:t>
      </w:r>
      <w:r w:rsidRPr="00B5691B">
        <w:t>os dias 1</w:t>
      </w:r>
      <w:r w:rsidR="00030D3C" w:rsidRPr="00B5691B">
        <w:t>5</w:t>
      </w:r>
      <w:r w:rsidRPr="00B5691B">
        <w:t xml:space="preserve"> e </w:t>
      </w:r>
      <w:r w:rsidR="00030D3C" w:rsidRPr="00B5691B">
        <w:t>17</w:t>
      </w:r>
      <w:r w:rsidRPr="00B5691B">
        <w:t xml:space="preserve"> de setembro de 202</w:t>
      </w:r>
      <w:r w:rsidR="00030D3C" w:rsidRPr="00B5691B">
        <w:t>5</w:t>
      </w:r>
      <w:r w:rsidRPr="00B5691B">
        <w:t xml:space="preserve">, em exercício da Presidência </w:t>
      </w:r>
      <w:r w:rsidRPr="00B5691B">
        <w:rPr>
          <w:i/>
        </w:rPr>
        <w:t xml:space="preserve">Pro Tempore </w:t>
      </w:r>
      <w:r w:rsidRPr="004D654F">
        <w:t xml:space="preserve">de Brasil (PPTB), a </w:t>
      </w:r>
      <w:r w:rsidR="00E120EC">
        <w:t xml:space="preserve">primeira </w:t>
      </w:r>
      <w:r w:rsidR="00E120EC" w:rsidRPr="00E16865">
        <w:t xml:space="preserve">Reunião Ordinária do Comitê </w:t>
      </w:r>
      <w:r w:rsidR="00E120EC" w:rsidRPr="00527A1F">
        <w:rPr>
          <w:i/>
          <w:iCs/>
        </w:rPr>
        <w:t>Ad Hoc</w:t>
      </w:r>
      <w:r w:rsidR="00E120EC" w:rsidRPr="00E16865">
        <w:t xml:space="preserve"> de </w:t>
      </w:r>
      <w:r w:rsidR="00E16865" w:rsidRPr="00E16865">
        <w:t>Tecnologias Associadas à Saúde</w:t>
      </w:r>
      <w:r w:rsidR="00E120EC" w:rsidRPr="00E16865">
        <w:t xml:space="preserve"> </w:t>
      </w:r>
      <w:r w:rsidR="00030D3C" w:rsidRPr="00E16865">
        <w:t>(CAH</w:t>
      </w:r>
      <w:r w:rsidR="00E16865" w:rsidRPr="00E16865">
        <w:t>TAS</w:t>
      </w:r>
      <w:r w:rsidR="00030D3C" w:rsidRPr="00E16865">
        <w:t>)</w:t>
      </w:r>
      <w:r w:rsidRPr="00E16865">
        <w:t>,</w:t>
      </w:r>
      <w:r w:rsidRPr="00B5691B">
        <w:t xml:space="preserve"> com a presença das </w:t>
      </w:r>
      <w:r w:rsidR="00527A1F">
        <w:t>d</w:t>
      </w:r>
      <w:r w:rsidRPr="00B5691B">
        <w:t>elegações d</w:t>
      </w:r>
      <w:r w:rsidR="004718C0">
        <w:t>e</w:t>
      </w:r>
      <w:r w:rsidRPr="00B5691B">
        <w:t xml:space="preserve"> Argentina, Brasil, Paraguai e Uruguai</w:t>
      </w:r>
      <w:r w:rsidR="00211C06" w:rsidRPr="00B5691B">
        <w:t>.</w:t>
      </w:r>
    </w:p>
    <w:p w14:paraId="637A0625" w14:textId="212811D8" w:rsidR="00947F9E" w:rsidRPr="00B5691B" w:rsidRDefault="005C1822" w:rsidP="00B5691B">
      <w:pPr>
        <w:spacing w:before="240" w:after="240" w:line="237" w:lineRule="auto"/>
        <w:ind w:right="80"/>
        <w:jc w:val="both"/>
      </w:pPr>
      <w:r w:rsidRPr="00B5691B">
        <w:t xml:space="preserve">Iniciou-se a reunião com a apresentação dos participantes e as palavras de boas-vindas </w:t>
      </w:r>
      <w:r w:rsidR="004718C0">
        <w:t>da Secretária Ana Estela Haddad, da Secretaria de Informação e Saúde Digital do Ministério da Saúde do Brasil.</w:t>
      </w:r>
    </w:p>
    <w:p w14:paraId="5B4AA03E" w14:textId="553C6125" w:rsidR="00947F9E" w:rsidRDefault="005C1822" w:rsidP="00527A1F">
      <w:pPr>
        <w:jc w:val="both"/>
      </w:pPr>
      <w:r w:rsidRPr="00B5691B">
        <w:t>A Lista de Participantes</w:t>
      </w:r>
      <w:r w:rsidR="004718C0">
        <w:t xml:space="preserve">, </w:t>
      </w:r>
      <w:r w:rsidRPr="00B5691B">
        <w:t xml:space="preserve">consta no </w:t>
      </w:r>
      <w:r w:rsidRPr="00B5691B">
        <w:rPr>
          <w:b/>
        </w:rPr>
        <w:t>Anexo I</w:t>
      </w:r>
      <w:r w:rsidRPr="00B5691B">
        <w:t>.</w:t>
      </w:r>
    </w:p>
    <w:p w14:paraId="56A067A6" w14:textId="77777777" w:rsidR="00527A1F" w:rsidRDefault="00527A1F" w:rsidP="00527A1F">
      <w:pPr>
        <w:jc w:val="both"/>
      </w:pPr>
    </w:p>
    <w:p w14:paraId="33E35163" w14:textId="5C2A1CD1" w:rsidR="00E23C6C" w:rsidRDefault="00E23C6C" w:rsidP="00527A1F">
      <w:pPr>
        <w:jc w:val="both"/>
      </w:pPr>
      <w:r>
        <w:t xml:space="preserve">Agenda consta no </w:t>
      </w:r>
      <w:r w:rsidRPr="00E23C6C">
        <w:rPr>
          <w:b/>
          <w:bCs/>
        </w:rPr>
        <w:t>Anexo II</w:t>
      </w:r>
      <w:r>
        <w:t>.</w:t>
      </w:r>
    </w:p>
    <w:p w14:paraId="143E2BF2" w14:textId="77777777" w:rsidR="00527A1F" w:rsidRDefault="00527A1F" w:rsidP="00527A1F">
      <w:pPr>
        <w:jc w:val="both"/>
        <w:rPr>
          <w:highlight w:val="white"/>
        </w:rPr>
      </w:pPr>
    </w:p>
    <w:p w14:paraId="58F24C74" w14:textId="0D9E7D6B" w:rsidR="00947F9E" w:rsidRDefault="00211C06" w:rsidP="00527A1F">
      <w:pPr>
        <w:jc w:val="both"/>
        <w:rPr>
          <w:highlight w:val="white"/>
        </w:rPr>
      </w:pPr>
      <w:r w:rsidRPr="00B5691B">
        <w:rPr>
          <w:highlight w:val="white"/>
        </w:rPr>
        <w:t>Durante a reunião, trataram-se os seguintes temas:</w:t>
      </w:r>
    </w:p>
    <w:p w14:paraId="1ECDFB22" w14:textId="77777777" w:rsidR="00527A1F" w:rsidRPr="00B5691B" w:rsidRDefault="00527A1F" w:rsidP="00527A1F">
      <w:pPr>
        <w:jc w:val="both"/>
        <w:rPr>
          <w:highlight w:val="white"/>
        </w:rPr>
      </w:pPr>
    </w:p>
    <w:p w14:paraId="626BE77D" w14:textId="474DC1AD" w:rsidR="00947F9E" w:rsidRPr="00B5691B" w:rsidRDefault="00B5691B" w:rsidP="00AC0D72">
      <w:pPr>
        <w:ind w:left="284" w:hanging="284"/>
        <w:jc w:val="both"/>
        <w:rPr>
          <w:b/>
        </w:rPr>
      </w:pPr>
      <w:r>
        <w:rPr>
          <w:b/>
        </w:rPr>
        <w:t xml:space="preserve">1. </w:t>
      </w:r>
      <w:r w:rsidR="005C1822" w:rsidRPr="00B5691B">
        <w:rPr>
          <w:b/>
        </w:rPr>
        <w:t>LEITURA</w:t>
      </w:r>
      <w:r w:rsidRPr="00B5691B">
        <w:rPr>
          <w:b/>
        </w:rPr>
        <w:t xml:space="preserve">, </w:t>
      </w:r>
      <w:r w:rsidR="005C1822" w:rsidRPr="00B5691B">
        <w:rPr>
          <w:b/>
        </w:rPr>
        <w:t>APROVAÇÃO DA AGENDA</w:t>
      </w:r>
      <w:r w:rsidRPr="00B5691B">
        <w:rPr>
          <w:b/>
        </w:rPr>
        <w:t xml:space="preserve"> E CONSIDERAÇÕES INICIAIS</w:t>
      </w:r>
    </w:p>
    <w:p w14:paraId="3D74159D" w14:textId="469C0B87" w:rsidR="008E491F" w:rsidRDefault="004718C0" w:rsidP="00B5691B">
      <w:pPr>
        <w:spacing w:before="240" w:after="240"/>
        <w:jc w:val="both"/>
        <w:rPr>
          <w:bCs/>
        </w:rPr>
      </w:pPr>
      <w:r>
        <w:rPr>
          <w:bCs/>
        </w:rPr>
        <w:t xml:space="preserve">A delegação do Brasil destacou a importância do </w:t>
      </w:r>
      <w:r w:rsidR="00527A1F">
        <w:rPr>
          <w:bCs/>
        </w:rPr>
        <w:t>MERCOSUL</w:t>
      </w:r>
      <w:r>
        <w:rPr>
          <w:bCs/>
        </w:rPr>
        <w:t xml:space="preserve">, </w:t>
      </w:r>
      <w:r w:rsidRPr="00B5691B">
        <w:rPr>
          <w:bCs/>
        </w:rPr>
        <w:t xml:space="preserve">especialmente no que se refere ao tema da saúde digital, ressaltando o caráter histórico do encontro, uma vez que se trata da primeira vez em que o bloco discute especificamente essa pauta. Recordou que o processo teve início durante a Presidência </w:t>
      </w:r>
      <w:r w:rsidRPr="00527A1F">
        <w:rPr>
          <w:bCs/>
          <w:i/>
          <w:iCs/>
        </w:rPr>
        <w:t>Pro Tempore</w:t>
      </w:r>
      <w:r w:rsidRPr="00B5691B">
        <w:rPr>
          <w:bCs/>
        </w:rPr>
        <w:t xml:space="preserve"> da Argentina e afirmou o compromisso do Brasil em dar continuidade às discussões. </w:t>
      </w:r>
      <w:r>
        <w:rPr>
          <w:bCs/>
        </w:rPr>
        <w:t>Ademais, e</w:t>
      </w:r>
      <w:r w:rsidRPr="00B5691B">
        <w:rPr>
          <w:bCs/>
        </w:rPr>
        <w:t>nfatizou que o intercâmbio de experiências será essencial para avançar no tema, sobretudo no que diz respeito à harmonização de plataformas, tecnologias e padrões</w:t>
      </w:r>
      <w:r w:rsidR="008E491F">
        <w:rPr>
          <w:bCs/>
        </w:rPr>
        <w:t xml:space="preserve">, bem como a </w:t>
      </w:r>
      <w:r>
        <w:rPr>
          <w:bCs/>
        </w:rPr>
        <w:t xml:space="preserve">importância das </w:t>
      </w:r>
      <w:r w:rsidRPr="00B5691B">
        <w:rPr>
          <w:bCs/>
        </w:rPr>
        <w:t>visita</w:t>
      </w:r>
      <w:r w:rsidR="00D20C5C">
        <w:rPr>
          <w:bCs/>
        </w:rPr>
        <w:t>s</w:t>
      </w:r>
      <w:r w:rsidRPr="00B5691B">
        <w:rPr>
          <w:bCs/>
        </w:rPr>
        <w:t xml:space="preserve"> </w:t>
      </w:r>
      <w:r>
        <w:rPr>
          <w:bCs/>
        </w:rPr>
        <w:t xml:space="preserve">técnicas </w:t>
      </w:r>
      <w:r w:rsidRPr="00B5691B">
        <w:rPr>
          <w:bCs/>
        </w:rPr>
        <w:t>para conhecer as práticas locais de saúde digital</w:t>
      </w:r>
      <w:r w:rsidR="008E491F">
        <w:rPr>
          <w:bCs/>
        </w:rPr>
        <w:t xml:space="preserve"> dos países.</w:t>
      </w:r>
    </w:p>
    <w:p w14:paraId="22E52C7C" w14:textId="392D832D" w:rsidR="008E491F" w:rsidRDefault="008E491F" w:rsidP="00B5691B">
      <w:pPr>
        <w:spacing w:before="240" w:after="240"/>
        <w:jc w:val="both"/>
        <w:rPr>
          <w:bCs/>
        </w:rPr>
      </w:pPr>
      <w:r>
        <w:rPr>
          <w:bCs/>
        </w:rPr>
        <w:t>A Secret</w:t>
      </w:r>
      <w:r w:rsidR="00527A1F">
        <w:rPr>
          <w:bCs/>
        </w:rPr>
        <w:t>á</w:t>
      </w:r>
      <w:r>
        <w:rPr>
          <w:bCs/>
        </w:rPr>
        <w:t>ria enfatizou ainda a importância do P</w:t>
      </w:r>
      <w:r w:rsidR="00FD7919">
        <w:rPr>
          <w:bCs/>
        </w:rPr>
        <w:t>T</w:t>
      </w:r>
      <w:r w:rsidR="004718C0" w:rsidRPr="00B5691B">
        <w:rPr>
          <w:bCs/>
        </w:rPr>
        <w:t xml:space="preserve"> </w:t>
      </w:r>
      <w:r>
        <w:rPr>
          <w:bCs/>
        </w:rPr>
        <w:t>a ser desenvolvido pelo Comitê Ad Hoc.</w:t>
      </w:r>
    </w:p>
    <w:p w14:paraId="275E3875" w14:textId="77777777" w:rsidR="00A012C4" w:rsidRDefault="008E491F" w:rsidP="00B5691B">
      <w:pPr>
        <w:spacing w:before="240" w:after="240"/>
        <w:jc w:val="both"/>
        <w:rPr>
          <w:bCs/>
        </w:rPr>
      </w:pPr>
      <w:r>
        <w:rPr>
          <w:bCs/>
        </w:rPr>
        <w:t>Comentou sobre o P</w:t>
      </w:r>
      <w:r w:rsidR="00FD7919">
        <w:rPr>
          <w:bCs/>
        </w:rPr>
        <w:t>T</w:t>
      </w:r>
      <w:r>
        <w:rPr>
          <w:bCs/>
        </w:rPr>
        <w:t xml:space="preserve"> que servirá </w:t>
      </w:r>
      <w:r w:rsidR="004718C0" w:rsidRPr="00B5691B">
        <w:rPr>
          <w:bCs/>
        </w:rPr>
        <w:t xml:space="preserve">de guia para os próximos anos e relacionou a agenda do </w:t>
      </w:r>
      <w:r w:rsidR="00527A1F" w:rsidRPr="00B5691B">
        <w:rPr>
          <w:bCs/>
        </w:rPr>
        <w:t xml:space="preserve">MERCOSUL </w:t>
      </w:r>
      <w:r w:rsidR="004718C0" w:rsidRPr="00B5691B">
        <w:rPr>
          <w:bCs/>
        </w:rPr>
        <w:t>com outros foros internacionais em que o Brasil tem atuado, como o G20 e os BRICS.</w:t>
      </w:r>
    </w:p>
    <w:p w14:paraId="64A8AA1E" w14:textId="77777777" w:rsidR="00A012C4" w:rsidRDefault="00A012C4" w:rsidP="00A012C4">
      <w:pPr>
        <w:spacing w:before="240" w:after="240"/>
        <w:jc w:val="both"/>
        <w:rPr>
          <w:bCs/>
        </w:rPr>
      </w:pPr>
      <w:r w:rsidRPr="00B5691B">
        <w:rPr>
          <w:bCs/>
        </w:rPr>
        <w:t xml:space="preserve">Entre os temas prioritários elencados, destacou a inteligência artificial, a segurança da informação, a interoperabilidade, a governança e a soberania de dados. </w:t>
      </w:r>
    </w:p>
    <w:p w14:paraId="75643FBA" w14:textId="274F46DC" w:rsidR="008E491F" w:rsidRDefault="004718C0" w:rsidP="00B5691B">
      <w:pPr>
        <w:spacing w:before="240" w:after="240"/>
        <w:jc w:val="both"/>
        <w:rPr>
          <w:bCs/>
        </w:rPr>
      </w:pPr>
      <w:r w:rsidRPr="00B5691B">
        <w:rPr>
          <w:bCs/>
        </w:rPr>
        <w:t xml:space="preserve"> </w:t>
      </w:r>
    </w:p>
    <w:sdt>
      <w:sdtPr>
        <w:id w:val="2113006622"/>
        <w:docPartObj>
          <w:docPartGallery w:val="Page Numbers (Bottom of Page)"/>
          <w:docPartUnique/>
        </w:docPartObj>
      </w:sdtPr>
      <w:sdtEndPr/>
      <w:sdtContent>
        <w:p w14:paraId="55097A63" w14:textId="77777777" w:rsidR="00527A1F" w:rsidRPr="00C859E6" w:rsidRDefault="00527A1F" w:rsidP="00527A1F">
          <w:pPr>
            <w:tabs>
              <w:tab w:val="center" w:pos="4419"/>
              <w:tab w:val="right" w:pos="8838"/>
            </w:tabs>
            <w:jc w:val="center"/>
            <w:rPr>
              <w:b/>
              <w:i/>
              <w:sz w:val="16"/>
              <w:szCs w:val="16"/>
              <w:lang w:val="es-UY"/>
            </w:rPr>
          </w:pPr>
          <w:r w:rsidRPr="00C859E6">
            <w:rPr>
              <w:b/>
              <w:i/>
              <w:sz w:val="16"/>
              <w:szCs w:val="16"/>
              <w:lang w:val="es-UY"/>
            </w:rPr>
            <w:t>Secretaría del MERCOSUR</w:t>
          </w:r>
        </w:p>
        <w:p w14:paraId="67A91A3A" w14:textId="77777777" w:rsidR="00527A1F" w:rsidRPr="00C859E6" w:rsidRDefault="00527A1F" w:rsidP="00527A1F">
          <w:pPr>
            <w:tabs>
              <w:tab w:val="center" w:pos="4419"/>
              <w:tab w:val="right" w:pos="8838"/>
            </w:tabs>
            <w:jc w:val="center"/>
            <w:rPr>
              <w:b/>
              <w:sz w:val="16"/>
              <w:szCs w:val="16"/>
              <w:lang w:val="es-UY"/>
            </w:rPr>
          </w:pPr>
          <w:r w:rsidRPr="00C859E6">
            <w:rPr>
              <w:b/>
              <w:sz w:val="16"/>
              <w:szCs w:val="16"/>
              <w:lang w:val="es-UY"/>
            </w:rPr>
            <w:t>Archivo Oficial</w:t>
          </w:r>
        </w:p>
        <w:p w14:paraId="5D602359" w14:textId="77777777" w:rsidR="00527A1F" w:rsidRPr="003E4D22" w:rsidRDefault="00527A1F" w:rsidP="00527A1F">
          <w:pPr>
            <w:pStyle w:val="Rodap"/>
            <w:jc w:val="center"/>
            <w:rPr>
              <w:lang w:val="es-UY" w:eastAsia="es-UY"/>
            </w:rPr>
          </w:pPr>
          <w:r w:rsidRPr="00C859E6">
            <w:rPr>
              <w:sz w:val="16"/>
              <w:szCs w:val="16"/>
              <w:lang w:val="es-UY"/>
            </w:rPr>
            <w:t xml:space="preserve">www.mercosur.int </w:t>
          </w:r>
        </w:p>
      </w:sdtContent>
    </w:sdt>
    <w:p w14:paraId="54AEE80F" w14:textId="77777777" w:rsidR="00527A1F" w:rsidRPr="00527A1F" w:rsidRDefault="00527A1F" w:rsidP="00B5691B">
      <w:pPr>
        <w:spacing w:before="240" w:after="240"/>
        <w:jc w:val="both"/>
        <w:rPr>
          <w:bCs/>
          <w:lang w:val="es-UY"/>
        </w:rPr>
      </w:pPr>
    </w:p>
    <w:p w14:paraId="0A8294FD" w14:textId="2945916B" w:rsidR="008E491F" w:rsidRDefault="004718C0" w:rsidP="00B5691B">
      <w:pPr>
        <w:spacing w:before="240" w:after="240"/>
        <w:jc w:val="both"/>
        <w:rPr>
          <w:bCs/>
        </w:rPr>
      </w:pPr>
      <w:r w:rsidRPr="00B5691B">
        <w:rPr>
          <w:bCs/>
        </w:rPr>
        <w:t xml:space="preserve">Na ocasião, a </w:t>
      </w:r>
      <w:r w:rsidR="00527A1F">
        <w:rPr>
          <w:bCs/>
        </w:rPr>
        <w:t>d</w:t>
      </w:r>
      <w:r w:rsidRPr="00B5691B">
        <w:rPr>
          <w:bCs/>
        </w:rPr>
        <w:t>elegação Brasileira apresentou a proposta de agenda, que foi aprovada e ficou registrada no Anexo II</w:t>
      </w:r>
      <w:r w:rsidR="008E491F">
        <w:rPr>
          <w:bCs/>
        </w:rPr>
        <w:t>.</w:t>
      </w:r>
    </w:p>
    <w:p w14:paraId="26AE1012" w14:textId="2FF53544" w:rsidR="008E491F" w:rsidRDefault="008E491F" w:rsidP="00B5691B">
      <w:pPr>
        <w:spacing w:before="240" w:after="240"/>
        <w:jc w:val="both"/>
        <w:rPr>
          <w:bCs/>
        </w:rPr>
      </w:pPr>
      <w:r>
        <w:rPr>
          <w:bCs/>
        </w:rPr>
        <w:t>A</w:t>
      </w:r>
      <w:r w:rsidR="00E210E4" w:rsidRPr="00B5691B">
        <w:rPr>
          <w:bCs/>
        </w:rPr>
        <w:t xml:space="preserve"> </w:t>
      </w:r>
      <w:r w:rsidR="00527A1F">
        <w:rPr>
          <w:bCs/>
        </w:rPr>
        <w:t>d</w:t>
      </w:r>
      <w:r w:rsidR="00E210E4" w:rsidRPr="00B5691B">
        <w:rPr>
          <w:bCs/>
        </w:rPr>
        <w:t xml:space="preserve">elegação da Argentina, destacou a necessidade de que os trabalhos de saúde digital sejam conduzidos de forma clara e transversal, em conexão com outras comissões do Mercosul. </w:t>
      </w:r>
      <w:r w:rsidR="007E7ACE">
        <w:rPr>
          <w:bCs/>
        </w:rPr>
        <w:t>D</w:t>
      </w:r>
      <w:r w:rsidR="007E7ACE" w:rsidRPr="00B5691B">
        <w:rPr>
          <w:bCs/>
        </w:rPr>
        <w:t xml:space="preserve">estacou </w:t>
      </w:r>
      <w:r w:rsidR="007E7ACE">
        <w:rPr>
          <w:bCs/>
        </w:rPr>
        <w:t xml:space="preserve">ainda, </w:t>
      </w:r>
      <w:r w:rsidR="007E7ACE" w:rsidRPr="00B5691B">
        <w:rPr>
          <w:bCs/>
        </w:rPr>
        <w:t>a diversidade de modalidades de assistência existentes em seu país e a relevância de compartilhar essas experiências no âmbito regional</w:t>
      </w:r>
      <w:r w:rsidR="00FD7919">
        <w:rPr>
          <w:bCs/>
        </w:rPr>
        <w:t>.</w:t>
      </w:r>
    </w:p>
    <w:p w14:paraId="22DE949B" w14:textId="77777777" w:rsidR="008E491F" w:rsidRDefault="008E491F" w:rsidP="00B5691B">
      <w:pPr>
        <w:spacing w:before="240" w:after="240"/>
        <w:jc w:val="both"/>
        <w:rPr>
          <w:bCs/>
        </w:rPr>
      </w:pPr>
      <w:r>
        <w:rPr>
          <w:bCs/>
        </w:rPr>
        <w:t>A delegação do</w:t>
      </w:r>
      <w:r w:rsidR="00E210E4" w:rsidRPr="00B5691B">
        <w:rPr>
          <w:bCs/>
        </w:rPr>
        <w:t xml:space="preserve"> Uruguai, em sua intervenção, chamou a atenção para os desafios que se apresentam no âmbito d</w:t>
      </w:r>
      <w:r>
        <w:rPr>
          <w:bCs/>
        </w:rPr>
        <w:t>o Comitê</w:t>
      </w:r>
      <w:r w:rsidR="00E210E4" w:rsidRPr="00B5691B">
        <w:rPr>
          <w:bCs/>
        </w:rPr>
        <w:t xml:space="preserve"> e reconheceu a relevância do tema para o fortalecimento da integração regional. </w:t>
      </w:r>
    </w:p>
    <w:p w14:paraId="30085776" w14:textId="7568D275" w:rsidR="00E210E4" w:rsidRPr="00B5691B" w:rsidRDefault="00E210E4" w:rsidP="00527A1F">
      <w:pPr>
        <w:jc w:val="both"/>
        <w:rPr>
          <w:bCs/>
        </w:rPr>
      </w:pPr>
      <w:r w:rsidRPr="00B5691B">
        <w:rPr>
          <w:bCs/>
        </w:rPr>
        <w:t xml:space="preserve">O Paraguai, por sua vez, saudou a iniciativa como um momento importante e histórico, afirmando que a tecnologia deve servir melhor às populações e que será um feito notável se o grupo lograr êxito nessa empreitada. Ressaltou, ainda, a importância de somar esforços com o Brasil, a Argentina </w:t>
      </w:r>
      <w:r w:rsidR="008E491F">
        <w:rPr>
          <w:bCs/>
        </w:rPr>
        <w:t>e Uruguai</w:t>
      </w:r>
      <w:r w:rsidRPr="00B5691B">
        <w:rPr>
          <w:bCs/>
        </w:rPr>
        <w:t>, reforçando o compromisso com a agenda e a busca de resultados concretos e tangíveis.</w:t>
      </w:r>
    </w:p>
    <w:p w14:paraId="13A2A838" w14:textId="77777777" w:rsidR="00527A1F" w:rsidRDefault="00527A1F" w:rsidP="00527A1F">
      <w:pPr>
        <w:jc w:val="both"/>
      </w:pPr>
    </w:p>
    <w:p w14:paraId="67D2EA1D" w14:textId="77777777" w:rsidR="007077B6" w:rsidRPr="00B5691B" w:rsidRDefault="007077B6" w:rsidP="00527A1F">
      <w:pPr>
        <w:jc w:val="both"/>
      </w:pPr>
    </w:p>
    <w:p w14:paraId="5AD1DDC3" w14:textId="14173735" w:rsidR="00063FBD" w:rsidRPr="00B5691B" w:rsidRDefault="00B5691B" w:rsidP="00AC0D72">
      <w:pPr>
        <w:ind w:left="284" w:hanging="284"/>
        <w:jc w:val="both"/>
        <w:rPr>
          <w:bCs/>
        </w:rPr>
      </w:pPr>
      <w:r>
        <w:rPr>
          <w:b/>
        </w:rPr>
        <w:t xml:space="preserve">2.  </w:t>
      </w:r>
      <w:r w:rsidR="00030D3C" w:rsidRPr="00B5691B">
        <w:rPr>
          <w:b/>
        </w:rPr>
        <w:t>APRESENTAÇÕES DOS PAÍSES ACERCA DOS PANORAMAS NACIONAIS DE SAÚDE DIGITAL E TECNOLOGIAS ASSOCIADAS À SAÚDE</w:t>
      </w:r>
      <w:r w:rsidR="005C1822" w:rsidRPr="00B5691B">
        <w:rPr>
          <w:b/>
        </w:rPr>
        <w:t xml:space="preserve"> </w:t>
      </w:r>
    </w:p>
    <w:p w14:paraId="453583BB" w14:textId="09EAFBE1" w:rsidR="000A109B" w:rsidRPr="00B5691B" w:rsidRDefault="006C7F7A" w:rsidP="00B5691B">
      <w:pPr>
        <w:spacing w:before="240" w:after="240"/>
        <w:jc w:val="both"/>
        <w:rPr>
          <w:b/>
        </w:rPr>
      </w:pPr>
      <w:r>
        <w:rPr>
          <w:b/>
        </w:rPr>
        <w:t>2.1.</w:t>
      </w:r>
      <w:r w:rsidR="0065092E">
        <w:rPr>
          <w:b/>
        </w:rPr>
        <w:t xml:space="preserve"> </w:t>
      </w:r>
      <w:r w:rsidR="00527A1F">
        <w:rPr>
          <w:b/>
        </w:rPr>
        <w:t>D</w:t>
      </w:r>
      <w:r w:rsidR="00D20C5C">
        <w:rPr>
          <w:b/>
        </w:rPr>
        <w:t>elegação</w:t>
      </w:r>
      <w:r w:rsidR="000A109B" w:rsidRPr="00B5691B">
        <w:rPr>
          <w:b/>
        </w:rPr>
        <w:t xml:space="preserve"> </w:t>
      </w:r>
      <w:r w:rsidR="00853E1D" w:rsidRPr="00B5691B">
        <w:rPr>
          <w:b/>
        </w:rPr>
        <w:t>Argentina</w:t>
      </w:r>
    </w:p>
    <w:p w14:paraId="1938D4CD" w14:textId="77777777" w:rsidR="007E7ACE" w:rsidRDefault="008746B2" w:rsidP="00BC1CC7">
      <w:pPr>
        <w:jc w:val="both"/>
        <w:rPr>
          <w:bCs/>
          <w:lang w:eastAsia="en-US"/>
        </w:rPr>
      </w:pPr>
      <w:r w:rsidRPr="00B5691B">
        <w:rPr>
          <w:bCs/>
          <w:lang w:eastAsia="en-US"/>
        </w:rPr>
        <w:t>A delegação argentina iniciou sua exposição destacando que a estratégia nacional busca alcançar a digitalização integral do sistema de saúde, com a eliminação do uso de papel e a centralidade do paciente como eixo de todas as políticas. Foi enfatizado que a interoperabilidade constitui elemento fundamental, considerando que o país conta atualmente com múltiplos sistemas de informação em saúde, sendo necessário estabelecer regras e padrões unificados. Ressaltou-se, ainda, o papel da inteligência artificial como instrumento de apoio para a melhoria da qualidade da saúde, bem como a importância de que toda a estratégia esteja alicerçada em um enfoque sanitário e de saúde pública, de modo a não se restringir à implementação de plataformas tecnológicas isoladas.</w:t>
      </w:r>
      <w:r w:rsidR="007E7ACE">
        <w:rPr>
          <w:bCs/>
          <w:lang w:eastAsia="en-US"/>
        </w:rPr>
        <w:t xml:space="preserve"> </w:t>
      </w:r>
    </w:p>
    <w:p w14:paraId="5E9630ED" w14:textId="77777777" w:rsidR="007E7ACE" w:rsidRDefault="007E7ACE" w:rsidP="00BC1CC7">
      <w:pPr>
        <w:jc w:val="both"/>
        <w:rPr>
          <w:bCs/>
          <w:lang w:eastAsia="en-US"/>
        </w:rPr>
      </w:pPr>
    </w:p>
    <w:p w14:paraId="594D3801" w14:textId="6B87A049" w:rsidR="00BC1CC7" w:rsidRDefault="00BC1CC7" w:rsidP="00BC1CC7">
      <w:pPr>
        <w:jc w:val="both"/>
        <w:rPr>
          <w:bCs/>
          <w:lang w:eastAsia="en-US"/>
        </w:rPr>
      </w:pPr>
      <w:r w:rsidRPr="00BC1CC7">
        <w:rPr>
          <w:bCs/>
          <w:lang w:eastAsia="en-US"/>
        </w:rPr>
        <w:t xml:space="preserve">A </w:t>
      </w:r>
      <w:r w:rsidR="00527A1F">
        <w:rPr>
          <w:bCs/>
          <w:lang w:eastAsia="en-US"/>
        </w:rPr>
        <w:t>d</w:t>
      </w:r>
      <w:r w:rsidRPr="00BC1CC7">
        <w:rPr>
          <w:bCs/>
          <w:lang w:eastAsia="en-US"/>
        </w:rPr>
        <w:t xml:space="preserve">elegação da Argentina apresentou os eixos prioritários de sua estratégia para 2025, centrados em interoperabilidade, governança, mapa de maturidade digital, informação estratégica em saúde, portal do cidadão </w:t>
      </w:r>
      <w:proofErr w:type="spellStart"/>
      <w:r w:rsidRPr="00BC1CC7">
        <w:rPr>
          <w:bCs/>
          <w:i/>
          <w:iCs/>
          <w:lang w:eastAsia="en-US"/>
        </w:rPr>
        <w:t>MiArgentina</w:t>
      </w:r>
      <w:proofErr w:type="spellEnd"/>
      <w:r w:rsidRPr="00BC1CC7">
        <w:rPr>
          <w:bCs/>
          <w:lang w:eastAsia="en-US"/>
        </w:rPr>
        <w:t xml:space="preserve"> e digitalização das receitas médicas. Destacou-se que a Plataforma Nacional de Interoperabilidade já está em funcionamento, integrando módulos </w:t>
      </w:r>
      <w:r w:rsidR="0008037F">
        <w:rPr>
          <w:bCs/>
          <w:lang w:eastAsia="en-US"/>
        </w:rPr>
        <w:t>como</w:t>
      </w:r>
      <w:r w:rsidRPr="00BC1CC7">
        <w:rPr>
          <w:bCs/>
          <w:lang w:eastAsia="en-US"/>
        </w:rPr>
        <w:t xml:space="preserve"> cadastros de profissionais (REFEPS) e estabelecimentos de saúde (REFES). </w:t>
      </w:r>
      <w:r w:rsidR="007E7ACE">
        <w:rPr>
          <w:bCs/>
          <w:lang w:eastAsia="en-US"/>
        </w:rPr>
        <w:t xml:space="preserve"> Informou que está </w:t>
      </w:r>
      <w:r w:rsidRPr="00BC1CC7">
        <w:rPr>
          <w:bCs/>
          <w:lang w:eastAsia="en-US"/>
        </w:rPr>
        <w:t>em implementação o Resumo da História Clínica (IPS) e a Receita Eletrônica, enquanto seguem em desenvolvimento o cadastro de farmácias (REFAR), a integração plena das coberturas de saúde e o sistema nacional de imunizações e alertas (NOMIVAC).</w:t>
      </w:r>
    </w:p>
    <w:p w14:paraId="4E7F7430" w14:textId="77777777" w:rsidR="007E7ACE" w:rsidRPr="00BC1CC7" w:rsidRDefault="007E7ACE" w:rsidP="00BC1CC7">
      <w:pPr>
        <w:jc w:val="both"/>
        <w:rPr>
          <w:bCs/>
          <w:lang w:eastAsia="en-US"/>
        </w:rPr>
      </w:pPr>
    </w:p>
    <w:p w14:paraId="026A5403" w14:textId="2242881C" w:rsidR="00BC1CC7" w:rsidRDefault="00BC1CC7" w:rsidP="00BC1CC7">
      <w:pPr>
        <w:jc w:val="both"/>
        <w:rPr>
          <w:bCs/>
          <w:lang w:eastAsia="en-US"/>
        </w:rPr>
      </w:pPr>
      <w:r w:rsidRPr="00BC1CC7">
        <w:rPr>
          <w:bCs/>
          <w:lang w:eastAsia="en-US"/>
        </w:rPr>
        <w:t xml:space="preserve">Foram apresentados os indicadores de maturidade da saúde digital e o marco regulatório da prescrição eletrônica, incluindo a Resolução nº 1959/2024, que regulamenta medicamentos legalmente restritos, e a Resolução nº 2214/2025, que estabelece a obrigatoriedade escalonada da prescrição eletrônica a partir de agosto de </w:t>
      </w:r>
      <w:r w:rsidRPr="00BC1CC7">
        <w:rPr>
          <w:bCs/>
          <w:lang w:eastAsia="en-US"/>
        </w:rPr>
        <w:lastRenderedPageBreak/>
        <w:t>2025. Informou-se a evolução da adesão ao sistema</w:t>
      </w:r>
      <w:r w:rsidR="0008037F">
        <w:rPr>
          <w:bCs/>
          <w:lang w:eastAsia="en-US"/>
        </w:rPr>
        <w:t>, com uma importante evolução desde dezembro de 2024 até a atualidade.</w:t>
      </w:r>
    </w:p>
    <w:p w14:paraId="3238E2A5" w14:textId="77777777" w:rsidR="007E7ACE" w:rsidRPr="00BC1CC7" w:rsidRDefault="007E7ACE" w:rsidP="00BC1CC7">
      <w:pPr>
        <w:jc w:val="both"/>
        <w:rPr>
          <w:bCs/>
          <w:lang w:eastAsia="en-US"/>
        </w:rPr>
      </w:pPr>
    </w:p>
    <w:p w14:paraId="44259BCE" w14:textId="77777777" w:rsidR="00BC1CC7" w:rsidRPr="00BC1CC7" w:rsidRDefault="00BC1CC7" w:rsidP="00BC1CC7">
      <w:pPr>
        <w:jc w:val="both"/>
        <w:rPr>
          <w:bCs/>
          <w:lang w:eastAsia="en-US"/>
        </w:rPr>
      </w:pPr>
      <w:r w:rsidRPr="00BC1CC7">
        <w:rPr>
          <w:bCs/>
          <w:lang w:eastAsia="en-US"/>
        </w:rPr>
        <w:t>Foi relatado o Concurso de Boas Práticas na Implementação da Receita Eletrônica, lançado em 2025 pelo Ministério da Saúde em parceria com a OPAS, com quatro categorias: inovação e tecnologia, usabilidade para profissionais de saúde, usabilidade para pacientes e gestão institucional.</w:t>
      </w:r>
    </w:p>
    <w:p w14:paraId="1809B91D" w14:textId="77777777" w:rsidR="007E7ACE" w:rsidRDefault="007E7ACE" w:rsidP="00BC1CC7">
      <w:pPr>
        <w:jc w:val="both"/>
        <w:rPr>
          <w:bCs/>
          <w:lang w:eastAsia="en-US"/>
        </w:rPr>
      </w:pPr>
    </w:p>
    <w:p w14:paraId="71D707D3" w14:textId="4B5BB3B3" w:rsidR="00BC1CC7" w:rsidRDefault="00BC1CC7" w:rsidP="00BC1CC7">
      <w:pPr>
        <w:jc w:val="both"/>
        <w:rPr>
          <w:bCs/>
          <w:lang w:eastAsia="en-US"/>
        </w:rPr>
      </w:pPr>
      <w:r w:rsidRPr="00BC1CC7">
        <w:rPr>
          <w:bCs/>
          <w:lang w:eastAsia="en-US"/>
        </w:rPr>
        <w:t xml:space="preserve">Em relação ao </w:t>
      </w:r>
      <w:proofErr w:type="spellStart"/>
      <w:r w:rsidRPr="00BC1CC7">
        <w:rPr>
          <w:bCs/>
          <w:i/>
          <w:iCs/>
          <w:lang w:eastAsia="en-US"/>
        </w:rPr>
        <w:t>MiArgentina</w:t>
      </w:r>
      <w:proofErr w:type="spellEnd"/>
      <w:r w:rsidRPr="00BC1CC7">
        <w:rPr>
          <w:bCs/>
          <w:lang w:eastAsia="en-US"/>
        </w:rPr>
        <w:t>, foram apresentados serviços já disponíveis, como consulta de cobertura de saúde, cadastro de doadores, calendário de vacinas, matrícula profissional, prescrição eletrônica e emissão de certificados, bem como serviços projetados, como resumo clínico, certificado único de oncopediatria e alertas automáticos de imunização.</w:t>
      </w:r>
    </w:p>
    <w:p w14:paraId="0F20A087" w14:textId="77777777" w:rsidR="007E7ACE" w:rsidRPr="00BC1CC7" w:rsidRDefault="007E7ACE" w:rsidP="00BC1CC7">
      <w:pPr>
        <w:jc w:val="both"/>
        <w:rPr>
          <w:bCs/>
          <w:lang w:eastAsia="en-US"/>
        </w:rPr>
      </w:pPr>
    </w:p>
    <w:p w14:paraId="61542043" w14:textId="77777777" w:rsidR="00BC1CC7" w:rsidRPr="00BC1CC7" w:rsidRDefault="00BC1CC7" w:rsidP="00BC1CC7">
      <w:pPr>
        <w:jc w:val="both"/>
        <w:rPr>
          <w:bCs/>
          <w:lang w:eastAsia="en-US"/>
        </w:rPr>
      </w:pPr>
      <w:r w:rsidRPr="00BC1CC7">
        <w:rPr>
          <w:bCs/>
          <w:lang w:eastAsia="en-US"/>
        </w:rPr>
        <w:t xml:space="preserve">Adicionalmente, destacou-se a Consulta Nacional de Preços de Medicamentos, a ser implantada em quatro fases, e o Buscador Nacional de Profissionais de Saúde, que promove transparência na relação médico-paciente, prevendo integração futura ao </w:t>
      </w:r>
      <w:proofErr w:type="spellStart"/>
      <w:r w:rsidRPr="00BC1CC7">
        <w:rPr>
          <w:bCs/>
          <w:i/>
          <w:iCs/>
          <w:lang w:eastAsia="en-US"/>
        </w:rPr>
        <w:t>MiArgentina</w:t>
      </w:r>
      <w:proofErr w:type="spellEnd"/>
      <w:r w:rsidRPr="00BC1CC7">
        <w:rPr>
          <w:bCs/>
          <w:lang w:eastAsia="en-US"/>
        </w:rPr>
        <w:t>.</w:t>
      </w:r>
    </w:p>
    <w:p w14:paraId="32595CC5" w14:textId="77777777" w:rsidR="007E7ACE" w:rsidRDefault="007E7ACE" w:rsidP="00BC1CC7">
      <w:pPr>
        <w:jc w:val="both"/>
        <w:rPr>
          <w:bCs/>
          <w:lang w:eastAsia="en-US"/>
        </w:rPr>
      </w:pPr>
    </w:p>
    <w:p w14:paraId="736698DB" w14:textId="75B70454" w:rsidR="00BC1CC7" w:rsidRPr="00BC1CC7" w:rsidRDefault="00BC1CC7" w:rsidP="00BC1CC7">
      <w:pPr>
        <w:jc w:val="both"/>
        <w:rPr>
          <w:bCs/>
          <w:lang w:eastAsia="en-US"/>
        </w:rPr>
      </w:pPr>
      <w:r w:rsidRPr="00BC1CC7">
        <w:rPr>
          <w:bCs/>
          <w:lang w:eastAsia="en-US"/>
        </w:rPr>
        <w:t xml:space="preserve">Por fim, foi apresentado o projeto </w:t>
      </w:r>
      <w:proofErr w:type="spellStart"/>
      <w:r w:rsidRPr="007077B6">
        <w:rPr>
          <w:lang w:eastAsia="en-US"/>
        </w:rPr>
        <w:t>Datatón</w:t>
      </w:r>
      <w:proofErr w:type="spellEnd"/>
      <w:r w:rsidRPr="007077B6">
        <w:rPr>
          <w:lang w:eastAsia="en-US"/>
        </w:rPr>
        <w:t>, volt</w:t>
      </w:r>
      <w:r w:rsidRPr="00BC1CC7">
        <w:rPr>
          <w:bCs/>
          <w:lang w:eastAsia="en-US"/>
        </w:rPr>
        <w:t xml:space="preserve">ado à construção de um sistema estratégico e interoperável de informação em saúde, destinado a </w:t>
      </w:r>
      <w:r w:rsidR="0008037F">
        <w:rPr>
          <w:bCs/>
          <w:lang w:eastAsia="en-US"/>
        </w:rPr>
        <w:t>orientar</w:t>
      </w:r>
      <w:r w:rsidRPr="00BC1CC7">
        <w:rPr>
          <w:bCs/>
          <w:lang w:eastAsia="en-US"/>
        </w:rPr>
        <w:t xml:space="preserve"> políticas públicas e superar a fragmentação atual dos dados no país.</w:t>
      </w:r>
    </w:p>
    <w:p w14:paraId="68EF639B" w14:textId="77777777" w:rsidR="007E7ACE" w:rsidRDefault="007E7ACE" w:rsidP="00C87D4B">
      <w:pPr>
        <w:spacing w:after="120"/>
        <w:jc w:val="both"/>
        <w:rPr>
          <w:bCs/>
          <w:lang w:eastAsia="en-US"/>
        </w:rPr>
      </w:pPr>
    </w:p>
    <w:p w14:paraId="5A7074A3" w14:textId="216C5532" w:rsidR="00947F9E" w:rsidRPr="007077B6" w:rsidRDefault="00C03635" w:rsidP="007077B6">
      <w:pPr>
        <w:spacing w:after="120"/>
        <w:jc w:val="both"/>
        <w:rPr>
          <w:bCs/>
          <w:lang w:eastAsia="en-US"/>
        </w:rPr>
      </w:pPr>
      <w:r w:rsidRPr="00C03635">
        <w:rPr>
          <w:bCs/>
          <w:lang w:eastAsia="en-US"/>
        </w:rPr>
        <w:t>Encerrando a apresentação, os participantes da reunião reconheceram o esforço da Argentina na consolidação de sua Estratégia de Saúde Digital 2025–2030, ressaltando a relevância do processo para a modernização do sistema de saúde e a importância de alinhar as iniciativas nacionais às discussões regionais sobre interoperabilidade e transformação digital em saúde.</w:t>
      </w:r>
    </w:p>
    <w:p w14:paraId="45932E0B" w14:textId="47EDBBF5" w:rsidR="00AD176E" w:rsidRPr="00B5691B" w:rsidRDefault="006C7F7A" w:rsidP="00853E1D">
      <w:pPr>
        <w:spacing w:after="120"/>
        <w:jc w:val="both"/>
        <w:rPr>
          <w:b/>
          <w:bCs/>
        </w:rPr>
      </w:pPr>
      <w:r>
        <w:rPr>
          <w:b/>
          <w:bCs/>
        </w:rPr>
        <w:t xml:space="preserve">2.2. </w:t>
      </w:r>
      <w:r w:rsidR="00D20C5C">
        <w:rPr>
          <w:b/>
          <w:bCs/>
        </w:rPr>
        <w:t>Delegação do</w:t>
      </w:r>
      <w:r w:rsidR="00853E1D" w:rsidRPr="00B5691B">
        <w:rPr>
          <w:b/>
          <w:bCs/>
        </w:rPr>
        <w:t xml:space="preserve"> Paraguai </w:t>
      </w:r>
    </w:p>
    <w:p w14:paraId="062B43F3" w14:textId="313E6C57" w:rsidR="00F57041" w:rsidRDefault="00F57041" w:rsidP="00C87D4B">
      <w:pPr>
        <w:spacing w:before="240" w:after="240"/>
        <w:jc w:val="both"/>
        <w:rPr>
          <w:bCs/>
        </w:rPr>
      </w:pPr>
      <w:r w:rsidRPr="00C87D4B">
        <w:rPr>
          <w:bCs/>
        </w:rPr>
        <w:t>Na sequência, foi realizada a apresentação do Paraguai, que trouxe um panorama sobre a situação atual e os avanços recentes da saúde digital no país. Inicialmente, destacou-se que a transformação digital na saúde pública paraguaia parte de um cenário de grande fragmentação: aproximadamente 1.</w:t>
      </w:r>
      <w:r w:rsidR="0008037F">
        <w:rPr>
          <w:bCs/>
        </w:rPr>
        <w:t>500</w:t>
      </w:r>
      <w:r w:rsidRPr="00C87D4B">
        <w:rPr>
          <w:bCs/>
        </w:rPr>
        <w:t xml:space="preserve"> estabelecimentos de saúde encontravam-se desconectados, operando de maneira manual, sem uniformização de registros e sem informações em tempo real para a gestão clínica e administrativa. Essa realidade consumia tempo valioso dos profissionais e limitava a continuidade do cuidado.</w:t>
      </w:r>
    </w:p>
    <w:p w14:paraId="27B8A193" w14:textId="3559160E" w:rsidR="001B72AA" w:rsidRPr="001B72AA" w:rsidRDefault="001B72AA" w:rsidP="001B72AA">
      <w:pPr>
        <w:spacing w:before="240" w:after="240"/>
        <w:jc w:val="both"/>
        <w:rPr>
          <w:bCs/>
        </w:rPr>
      </w:pPr>
      <w:r w:rsidRPr="001B72AA">
        <w:rPr>
          <w:bCs/>
        </w:rPr>
        <w:t xml:space="preserve">A </w:t>
      </w:r>
      <w:r w:rsidR="007E7ACE">
        <w:rPr>
          <w:bCs/>
        </w:rPr>
        <w:t xml:space="preserve">delegada </w:t>
      </w:r>
      <w:r w:rsidRPr="001B72AA">
        <w:rPr>
          <w:bCs/>
        </w:rPr>
        <w:t>destacou que o governo atual priorizou a transformação digital na saúde, alinhada à Agenda País 2023–2028, à Agenda Digital e às prioridades sanitárias nacionais, com apoio da Presidência, ministérios e cooperação internacional. A estratégia articula investimentos em infraestrutura tecnológica e fortalecimento do sistema público com suporte digital.</w:t>
      </w:r>
    </w:p>
    <w:p w14:paraId="711B4237" w14:textId="525BB2A6" w:rsidR="001B72AA" w:rsidRPr="001B72AA" w:rsidRDefault="001B72AA" w:rsidP="001B72AA">
      <w:pPr>
        <w:spacing w:before="240" w:after="240"/>
        <w:jc w:val="both"/>
        <w:rPr>
          <w:bCs/>
        </w:rPr>
      </w:pPr>
      <w:r w:rsidRPr="001B72AA">
        <w:rPr>
          <w:bCs/>
        </w:rPr>
        <w:t xml:space="preserve">Entre os avanços, foi </w:t>
      </w:r>
      <w:r w:rsidR="00D20C5C" w:rsidRPr="001B72AA">
        <w:rPr>
          <w:bCs/>
        </w:rPr>
        <w:t>ressaltada</w:t>
      </w:r>
      <w:r w:rsidRPr="001B72AA">
        <w:rPr>
          <w:bCs/>
        </w:rPr>
        <w:t xml:space="preserve"> a expansão do sistema de informação em saúde (HIS) e da conectividade, que passou de uma implementação em 2017 para mais de mil estabelecimentos conectados até setembro de 2025, com a instalação de 5 mil pontos de rede</w:t>
      </w:r>
      <w:r w:rsidR="007D1FFE">
        <w:rPr>
          <w:bCs/>
        </w:rPr>
        <w:t xml:space="preserve"> e </w:t>
      </w:r>
      <w:r w:rsidRPr="001B72AA">
        <w:rPr>
          <w:bCs/>
        </w:rPr>
        <w:t xml:space="preserve">entrega de </w:t>
      </w:r>
      <w:r w:rsidR="007D1FFE">
        <w:rPr>
          <w:bCs/>
        </w:rPr>
        <w:t xml:space="preserve">mais de </w:t>
      </w:r>
      <w:r w:rsidRPr="001B72AA">
        <w:rPr>
          <w:bCs/>
        </w:rPr>
        <w:t xml:space="preserve">10 mil equipamentos. Esse processo permite gestão integrada de medicamentos e análises assistenciais em tempo real. Também foram </w:t>
      </w:r>
      <w:r w:rsidRPr="001B72AA">
        <w:rPr>
          <w:bCs/>
        </w:rPr>
        <w:lastRenderedPageBreak/>
        <w:t>apresentados painéis estratégicos dinâmicos para gestão hospitalar, com destaque para leitos de UTI, promovendo decisões baseadas em evidências.</w:t>
      </w:r>
    </w:p>
    <w:p w14:paraId="3DC83290" w14:textId="77777777" w:rsidR="001B72AA" w:rsidRPr="001B72AA" w:rsidRDefault="001B72AA" w:rsidP="001B72AA">
      <w:pPr>
        <w:spacing w:before="240" w:after="240"/>
        <w:jc w:val="both"/>
        <w:rPr>
          <w:bCs/>
        </w:rPr>
      </w:pPr>
      <w:r w:rsidRPr="001B72AA">
        <w:rPr>
          <w:bCs/>
        </w:rPr>
        <w:t xml:space="preserve">No campo da </w:t>
      </w:r>
      <w:proofErr w:type="spellStart"/>
      <w:r w:rsidRPr="001B72AA">
        <w:rPr>
          <w:bCs/>
        </w:rPr>
        <w:t>telesaúde</w:t>
      </w:r>
      <w:proofErr w:type="spellEnd"/>
      <w:r w:rsidRPr="001B72AA">
        <w:rPr>
          <w:bCs/>
        </w:rPr>
        <w:t xml:space="preserve">, o Paraguai estruturou serviços de telemedicina clínica, atendimento de doenças crônicas, telediagnóstico, </w:t>
      </w:r>
      <w:proofErr w:type="spellStart"/>
      <w:r w:rsidRPr="001B72AA">
        <w:rPr>
          <w:bCs/>
        </w:rPr>
        <w:t>teleeducação</w:t>
      </w:r>
      <w:proofErr w:type="spellEnd"/>
      <w:r w:rsidRPr="001B72AA">
        <w:rPr>
          <w:bCs/>
        </w:rPr>
        <w:t xml:space="preserve">, </w:t>
      </w:r>
      <w:proofErr w:type="spellStart"/>
      <w:r w:rsidRPr="001B72AA">
        <w:rPr>
          <w:bCs/>
        </w:rPr>
        <w:t>teleorientação</w:t>
      </w:r>
      <w:proofErr w:type="spellEnd"/>
      <w:r w:rsidRPr="001B72AA">
        <w:rPr>
          <w:bCs/>
        </w:rPr>
        <w:t xml:space="preserve"> e </w:t>
      </w:r>
      <w:proofErr w:type="spellStart"/>
      <w:r w:rsidRPr="001B72AA">
        <w:rPr>
          <w:bCs/>
        </w:rPr>
        <w:t>teleprevenção</w:t>
      </w:r>
      <w:proofErr w:type="spellEnd"/>
      <w:r w:rsidRPr="001B72AA">
        <w:rPr>
          <w:bCs/>
        </w:rPr>
        <w:t>, experiência fortalecida durante a pandemia. Foram mencionadas cooperações internacionais, como a parceria com Taiwan, voltadas à expansão tecnológica e capacitação de recursos humanos.</w:t>
      </w:r>
    </w:p>
    <w:p w14:paraId="44489E72" w14:textId="77777777" w:rsidR="001B72AA" w:rsidRPr="001B72AA" w:rsidRDefault="001B72AA" w:rsidP="001B72AA">
      <w:pPr>
        <w:spacing w:before="240" w:after="240"/>
        <w:jc w:val="both"/>
        <w:rPr>
          <w:bCs/>
        </w:rPr>
      </w:pPr>
      <w:r w:rsidRPr="001B72AA">
        <w:rPr>
          <w:bCs/>
        </w:rPr>
        <w:t xml:space="preserve">Quanto aos próximos passos, foram apontadas a expansão da rede de conectividade, a implementação plena do HIS, o fortalecimento da interoperabilidade, a aprovação da Agenda Digital em Saúde, a realização do primeiro </w:t>
      </w:r>
      <w:proofErr w:type="spellStart"/>
      <w:r w:rsidRPr="001B72AA">
        <w:rPr>
          <w:bCs/>
        </w:rPr>
        <w:t>Conectathon</w:t>
      </w:r>
      <w:proofErr w:type="spellEnd"/>
      <w:r w:rsidRPr="001B72AA">
        <w:rPr>
          <w:bCs/>
        </w:rPr>
        <w:t xml:space="preserve"> nacional em novembro de 2025 e o estímulo à cultura digital por meio da capacitação contínua de profissionais e gestão baseada em evidências.</w:t>
      </w:r>
    </w:p>
    <w:p w14:paraId="30F356FA" w14:textId="77777777" w:rsidR="001B72AA" w:rsidRPr="001B72AA" w:rsidRDefault="001B72AA" w:rsidP="001B72AA">
      <w:pPr>
        <w:spacing w:before="240" w:after="240"/>
        <w:jc w:val="both"/>
        <w:rPr>
          <w:bCs/>
        </w:rPr>
      </w:pPr>
      <w:r w:rsidRPr="001B72AA">
        <w:rPr>
          <w:bCs/>
        </w:rPr>
        <w:t>Por fim, elencaram-se os desafios: superar as brechas de conectividade, avançar na interoperabilidade, capacitar recursos humanos em competências digitais, garantir sustentabilidade financeira e consolidar um marco normativo em proteção de dados.</w:t>
      </w:r>
    </w:p>
    <w:p w14:paraId="018196C8" w14:textId="5808FACB" w:rsidR="00A1511E" w:rsidRDefault="006C7F7A" w:rsidP="00B5691B">
      <w:pPr>
        <w:spacing w:before="240" w:after="240"/>
        <w:jc w:val="both"/>
        <w:rPr>
          <w:b/>
        </w:rPr>
      </w:pPr>
      <w:r>
        <w:rPr>
          <w:b/>
        </w:rPr>
        <w:t xml:space="preserve">2.3. </w:t>
      </w:r>
      <w:r w:rsidR="00D20C5C">
        <w:rPr>
          <w:b/>
        </w:rPr>
        <w:t>Delegação do</w:t>
      </w:r>
      <w:r w:rsidR="00853E1D" w:rsidRPr="00B5691B">
        <w:rPr>
          <w:b/>
        </w:rPr>
        <w:t xml:space="preserve"> Uruguai</w:t>
      </w:r>
    </w:p>
    <w:p w14:paraId="6C9E5E1E" w14:textId="09F106A7" w:rsidR="001B72AA" w:rsidRPr="001B72AA" w:rsidRDefault="001B72AA" w:rsidP="001B72AA">
      <w:pPr>
        <w:spacing w:before="240" w:after="240"/>
        <w:jc w:val="both"/>
        <w:rPr>
          <w:bCs/>
        </w:rPr>
      </w:pPr>
      <w:r w:rsidRPr="001B72AA">
        <w:rPr>
          <w:bCs/>
        </w:rPr>
        <w:t>O Uruguai apresentou sua trajetória em saúde digital e tecnologias associadas</w:t>
      </w:r>
      <w:r w:rsidR="007D1FFE">
        <w:rPr>
          <w:bCs/>
        </w:rPr>
        <w:t xml:space="preserve"> à saúde</w:t>
      </w:r>
      <w:r w:rsidRPr="001B72AA">
        <w:rPr>
          <w:bCs/>
        </w:rPr>
        <w:t>, conduzida pela Agência de Governo Eletrônico e Sociedade da Informação e do Conhecimento (</w:t>
      </w:r>
      <w:proofErr w:type="spellStart"/>
      <w:r w:rsidRPr="001B72AA">
        <w:rPr>
          <w:bCs/>
        </w:rPr>
        <w:t>Agesic</w:t>
      </w:r>
      <w:proofErr w:type="spellEnd"/>
      <w:r w:rsidRPr="001B72AA">
        <w:rPr>
          <w:bCs/>
        </w:rPr>
        <w:t xml:space="preserve">), criada em 2005 para modernizar serviços públicos e promover inclusão digital. No campo da saúde, a transformação digital ganhou impulso em 2012 com o programa Salud.uy, articulado pela Presidência da República, Ministério da Saúde Pública, Ministério da Economia e Finanças e a própria </w:t>
      </w:r>
      <w:proofErr w:type="spellStart"/>
      <w:r w:rsidRPr="001B72AA">
        <w:rPr>
          <w:bCs/>
        </w:rPr>
        <w:t>Agesic</w:t>
      </w:r>
      <w:proofErr w:type="spellEnd"/>
      <w:r w:rsidRPr="001B72AA">
        <w:rPr>
          <w:bCs/>
        </w:rPr>
        <w:t>. Essa iniciativa estruturou a História Clínica Eletrônica Nacional (HCEN), definindo marcos regulatórios, padrões e diretrizes, culminando em normativa de 2017 que estabeleceu a adoção obrigatória e progressiva do sistema pelos prestadores do Sistema Nacional Integrado de Saúde, com plano de implementação iniciado em 2018.</w:t>
      </w:r>
    </w:p>
    <w:p w14:paraId="128D9059" w14:textId="77777777" w:rsidR="001B72AA" w:rsidRPr="001B72AA" w:rsidRDefault="001B72AA" w:rsidP="001B72AA">
      <w:pPr>
        <w:spacing w:before="240" w:after="240"/>
        <w:jc w:val="both"/>
        <w:rPr>
          <w:bCs/>
        </w:rPr>
      </w:pPr>
      <w:r w:rsidRPr="001B72AA">
        <w:rPr>
          <w:bCs/>
        </w:rPr>
        <w:t>A HCEN foi destacada como instrumento central para garantir a continuidade do cuidado em todo o território, permitindo unificação e disponibilização segura das informações clínicas, independentemente do prestador ou localização. Essa solução fortalece a qualidade assistencial, a segurança do paciente e a confidencialidade dos dados, apoiando diretamente diagnósticos, tratamentos e consultas. Entre as iniciativas complementares, ressaltou-se a História Clínica Eletrônica Oncológica (HCEO), que integra o cuidado a pacientes adultos em oncologia médica e radioterápica, contemplando prescrição, administração e controle de tratamentos em conformidade com protocolos institucionais e acadêmicos, além de gerar informações relevantes para gestão e pesquisa.</w:t>
      </w:r>
    </w:p>
    <w:p w14:paraId="5BE76C17" w14:textId="77777777" w:rsidR="001B72AA" w:rsidRPr="001B72AA" w:rsidRDefault="001B72AA" w:rsidP="001B72AA">
      <w:pPr>
        <w:spacing w:before="240" w:after="240"/>
        <w:jc w:val="both"/>
        <w:rPr>
          <w:bCs/>
        </w:rPr>
      </w:pPr>
      <w:r w:rsidRPr="001B72AA">
        <w:rPr>
          <w:bCs/>
        </w:rPr>
        <w:t xml:space="preserve">O país também consolidou uma política robusta de terminologia clínica e padronização de dados, sendo membro do SNOMED CT desde 2012, com extensão nacional atualizada semestralmente e mais de 70 contribuições já incorporadas à edição internacional. Complementarmente, implementa o Conjunto de Dados Mínimos (CMD), considerado fundamental para a continuidade do cuidado e gestão em saúde pública. Os Serviços Terminológicos da </w:t>
      </w:r>
      <w:proofErr w:type="spellStart"/>
      <w:r w:rsidRPr="001B72AA">
        <w:rPr>
          <w:bCs/>
        </w:rPr>
        <w:t>Agesic</w:t>
      </w:r>
      <w:proofErr w:type="spellEnd"/>
      <w:r w:rsidRPr="001B72AA">
        <w:rPr>
          <w:bCs/>
        </w:rPr>
        <w:t xml:space="preserve">, de uso gratuito, asseguram interoperabilidade ao padronizar a linguagem clínica, enquanto o Dicionário Nacional de Medicamentos e Afins (DNMA) permite identificação única de medicamentos em toda a rede. Outro marco relevante é a Rede Integrada de Diagnóstico por Imagem (RIDI), que possibilita </w:t>
      </w:r>
      <w:r w:rsidRPr="001B72AA">
        <w:rPr>
          <w:bCs/>
        </w:rPr>
        <w:lastRenderedPageBreak/>
        <w:t>o registro e compartilhamento de exames entre instituições distintas, assegurando acesso rápido e seguro às informações do paciente.</w:t>
      </w:r>
    </w:p>
    <w:p w14:paraId="582A8C50" w14:textId="77777777" w:rsidR="001B72AA" w:rsidRPr="001B72AA" w:rsidRDefault="001B72AA" w:rsidP="001B72AA">
      <w:pPr>
        <w:spacing w:before="240" w:after="240"/>
        <w:jc w:val="both"/>
        <w:rPr>
          <w:bCs/>
        </w:rPr>
      </w:pPr>
      <w:r w:rsidRPr="001B72AA">
        <w:rPr>
          <w:bCs/>
        </w:rPr>
        <w:t>A estratégia nacional de saúde digital do Uruguai apoia-se em dois eixos principais: o fortalecimento das soluções internas de cada prestador, respeitando a heterogeneidade tecnológica do sistema, e a criação de uma plataforma central que orquestra e audita o intercâmbio seguro de informações clínicas. Em paralelo, o país desenvolveu sua Estratégia Nacional de Inteligência Artificial, construída de forma participativa com mais de 300 representantes de diferentes setores, orientada ao uso ético, responsável e inovador da IA para benefício social e econômico.</w:t>
      </w:r>
    </w:p>
    <w:p w14:paraId="7355D0B8" w14:textId="77777777" w:rsidR="001B72AA" w:rsidRPr="001B72AA" w:rsidRDefault="001B72AA" w:rsidP="001B72AA">
      <w:pPr>
        <w:spacing w:before="240" w:after="240"/>
        <w:jc w:val="both"/>
        <w:rPr>
          <w:bCs/>
        </w:rPr>
      </w:pPr>
      <w:r w:rsidRPr="001B72AA">
        <w:rPr>
          <w:bCs/>
        </w:rPr>
        <w:t>Foram ainda mencionados avanços na informatização de documentos clínicos essenciais, como folhas de consulta de urgência e emergência, consultas ambulatoriais e folhas de egresso hospitalar, reforçando a integração sistêmica das informações. Em síntese, a experiência uruguaia demonstra um percurso consolidado, sustentado por liderança política, marcos regulatórios claros, incorporação de padrões internacionais de interoperabilidade, políticas inovadoras de padronização de dados e investimentos contínuos em plataformas digitais que qualificam a assistência, asseguram a continuidade do cuidado e ampliam o potencial de pesquisa em saúde.</w:t>
      </w:r>
    </w:p>
    <w:p w14:paraId="2370E8F5" w14:textId="02CA911E" w:rsidR="00AC1D8C" w:rsidRDefault="006C7F7A" w:rsidP="00B5691B">
      <w:pPr>
        <w:spacing w:before="240" w:after="240"/>
        <w:jc w:val="both"/>
        <w:rPr>
          <w:b/>
        </w:rPr>
      </w:pPr>
      <w:r>
        <w:rPr>
          <w:b/>
        </w:rPr>
        <w:t xml:space="preserve">2.4. </w:t>
      </w:r>
      <w:r w:rsidR="00D20C5C">
        <w:rPr>
          <w:b/>
        </w:rPr>
        <w:t>Delegação do</w:t>
      </w:r>
      <w:r w:rsidR="00853E1D" w:rsidRPr="00B5691B">
        <w:rPr>
          <w:b/>
        </w:rPr>
        <w:t xml:space="preserve"> Brasil</w:t>
      </w:r>
      <w:r w:rsidR="00853E1D">
        <w:rPr>
          <w:b/>
        </w:rPr>
        <w:t xml:space="preserve"> </w:t>
      </w:r>
    </w:p>
    <w:p w14:paraId="4F514566" w14:textId="6600D471" w:rsidR="001B72AA" w:rsidRPr="001B72AA" w:rsidRDefault="0034319B" w:rsidP="001B72AA">
      <w:pPr>
        <w:spacing w:before="240" w:after="240"/>
        <w:jc w:val="both"/>
        <w:rPr>
          <w:bCs/>
        </w:rPr>
      </w:pPr>
      <w:r>
        <w:rPr>
          <w:bCs/>
        </w:rPr>
        <w:t>A delegação</w:t>
      </w:r>
      <w:r w:rsidR="001B72AA" w:rsidRPr="001B72AA">
        <w:rPr>
          <w:bCs/>
        </w:rPr>
        <w:t xml:space="preserve"> </w:t>
      </w:r>
      <w:r>
        <w:rPr>
          <w:bCs/>
        </w:rPr>
        <w:t>brasileira</w:t>
      </w:r>
      <w:r w:rsidR="001B72AA" w:rsidRPr="001B72AA">
        <w:rPr>
          <w:bCs/>
        </w:rPr>
        <w:t xml:space="preserve"> contextuali</w:t>
      </w:r>
      <w:r>
        <w:rPr>
          <w:bCs/>
        </w:rPr>
        <w:t>zou</w:t>
      </w:r>
      <w:r w:rsidR="001B72AA" w:rsidRPr="001B72AA">
        <w:rPr>
          <w:bCs/>
        </w:rPr>
        <w:t xml:space="preserve"> o Sistema Único de Saúde (SUS), ressaltando sua dimensão e abrangência, único no mundo em ofertar serviços gratuitos com tal amplitude. Anualmente, o SUS realiza</w:t>
      </w:r>
      <w:r w:rsidR="00766778">
        <w:rPr>
          <w:bCs/>
        </w:rPr>
        <w:t xml:space="preserve"> um grande volume</w:t>
      </w:r>
      <w:r w:rsidR="001B72AA" w:rsidRPr="001B72AA">
        <w:rPr>
          <w:bCs/>
        </w:rPr>
        <w:t xml:space="preserve"> de atendimentos, sendo que 70% da população depende exclusivamente dele, além de atender também cidadãos estrangeiros. O sistema cobre todos os níveis de atenção – primária, média e alta complexidade – com prioridade para populações mais vulneráveis, incluindo povos indígenas e população LGBTQIA+.</w:t>
      </w:r>
    </w:p>
    <w:p w14:paraId="7BE03277" w14:textId="6E8459D4" w:rsidR="001B72AA" w:rsidRPr="001B72AA" w:rsidRDefault="001B72AA" w:rsidP="001B72AA">
      <w:pPr>
        <w:spacing w:before="240" w:after="240"/>
        <w:jc w:val="both"/>
        <w:rPr>
          <w:bCs/>
        </w:rPr>
      </w:pPr>
      <w:r w:rsidRPr="001B72AA">
        <w:rPr>
          <w:bCs/>
        </w:rPr>
        <w:t xml:space="preserve">Apresentou-se, em seguida, a estrutura do Ministério da Saúde, composto por oito secretarias, destacando-se a Secretaria de Informação e Saúde Digital (SEIDIGI), criada em 2023 a partir do diagnóstico da necessidade de uma estratégia específica para a área. Foi mencionado o Decreto nº 11.358/2024, que instituiu o marco regulatório para criação de órgãos como DESD, DATASUS e DEMAS. O principal projeto da secretaria é o Programa SUS Digital, que </w:t>
      </w:r>
      <w:r w:rsidR="00766778">
        <w:rPr>
          <w:bCs/>
        </w:rPr>
        <w:t>coordena</w:t>
      </w:r>
      <w:r w:rsidRPr="001B72AA">
        <w:rPr>
          <w:bCs/>
        </w:rPr>
        <w:t xml:space="preserve"> a transformação digital no SUS, com foco em continuidade do cuidado, equidade e qualidade. </w:t>
      </w:r>
      <w:r w:rsidR="00766778">
        <w:rPr>
          <w:bCs/>
        </w:rPr>
        <w:t>Em seu primeiro ciclo, f</w:t>
      </w:r>
      <w:r w:rsidRPr="001B72AA">
        <w:rPr>
          <w:bCs/>
        </w:rPr>
        <w:t xml:space="preserve">oram destinados </w:t>
      </w:r>
      <w:r w:rsidR="00766778">
        <w:rPr>
          <w:bCs/>
        </w:rPr>
        <w:t>cerca de</w:t>
      </w:r>
      <w:r w:rsidRPr="001B72AA">
        <w:rPr>
          <w:bCs/>
        </w:rPr>
        <w:t xml:space="preserve"> 90 milhões de dólares à iniciativa, que abrange todas as macrorregiões, estados e municípios, alcançando 100% de adesão, incluindo participação da sociedade civil.</w:t>
      </w:r>
    </w:p>
    <w:p w14:paraId="62FD0C52" w14:textId="01EAEB75" w:rsidR="001B72AA" w:rsidRPr="001B72AA" w:rsidRDefault="001B72AA" w:rsidP="001B72AA">
      <w:pPr>
        <w:spacing w:before="240" w:after="240"/>
        <w:jc w:val="both"/>
        <w:rPr>
          <w:bCs/>
        </w:rPr>
      </w:pPr>
      <w:r w:rsidRPr="001B72AA">
        <w:rPr>
          <w:bCs/>
        </w:rPr>
        <w:t>Entre os instrumentos utilizados, destacaram-se o diagnóstico situacional da rede de atenção e o Índice Nacional de Maturidade em Saúde Digital, aplicado nacionalmente, com ampla participação de estados e municípios. A Rede Nacional de Dados em Saúde (RNDS) foi enfatizada como plataforma de interoperabilidade do SUS, criada para superar a fragmentação histórica de sistemas, estabelecendo padrões de informação capazes de integrar registros. Atualmente, a RNDS concentra cerca de 2,</w:t>
      </w:r>
      <w:r w:rsidR="00766778">
        <w:rPr>
          <w:bCs/>
        </w:rPr>
        <w:t>9</w:t>
      </w:r>
      <w:r w:rsidRPr="001B72AA">
        <w:rPr>
          <w:bCs/>
        </w:rPr>
        <w:t xml:space="preserve"> bilhões de dados clínicos, vacinais e de regulação, com o </w:t>
      </w:r>
      <w:proofErr w:type="spellStart"/>
      <w:r w:rsidRPr="00BA7665">
        <w:rPr>
          <w:bCs/>
          <w:i/>
          <w:iCs/>
        </w:rPr>
        <w:t>International</w:t>
      </w:r>
      <w:proofErr w:type="spellEnd"/>
      <w:r w:rsidRPr="00BA7665">
        <w:rPr>
          <w:bCs/>
          <w:i/>
          <w:iCs/>
        </w:rPr>
        <w:t xml:space="preserve"> </w:t>
      </w:r>
      <w:proofErr w:type="spellStart"/>
      <w:r w:rsidRPr="00BA7665">
        <w:rPr>
          <w:bCs/>
          <w:i/>
          <w:iCs/>
        </w:rPr>
        <w:t>Patient</w:t>
      </w:r>
      <w:proofErr w:type="spellEnd"/>
      <w:r w:rsidRPr="00BA7665">
        <w:rPr>
          <w:bCs/>
          <w:i/>
          <w:iCs/>
        </w:rPr>
        <w:t xml:space="preserve"> </w:t>
      </w:r>
      <w:proofErr w:type="spellStart"/>
      <w:r w:rsidRPr="00BA7665">
        <w:rPr>
          <w:bCs/>
          <w:i/>
          <w:iCs/>
        </w:rPr>
        <w:t>Summary</w:t>
      </w:r>
      <w:proofErr w:type="spellEnd"/>
      <w:r w:rsidRPr="00BA7665">
        <w:rPr>
          <w:bCs/>
          <w:i/>
          <w:iCs/>
        </w:rPr>
        <w:t xml:space="preserve"> (IPS)</w:t>
      </w:r>
      <w:r w:rsidRPr="001B72AA">
        <w:rPr>
          <w:bCs/>
        </w:rPr>
        <w:t xml:space="preserve"> em fase final de desenvolvimento.</w:t>
      </w:r>
    </w:p>
    <w:p w14:paraId="20CE80D4" w14:textId="168DB85D" w:rsidR="001B72AA" w:rsidRPr="001B72AA" w:rsidRDefault="001B72AA" w:rsidP="001B72AA">
      <w:pPr>
        <w:spacing w:before="240" w:after="240"/>
        <w:jc w:val="both"/>
        <w:rPr>
          <w:bCs/>
        </w:rPr>
      </w:pPr>
      <w:r w:rsidRPr="001B72AA">
        <w:rPr>
          <w:bCs/>
        </w:rPr>
        <w:t>Foram apresentadas</w:t>
      </w:r>
      <w:r w:rsidR="00766778">
        <w:rPr>
          <w:bCs/>
        </w:rPr>
        <w:t>,</w:t>
      </w:r>
      <w:r w:rsidRPr="001B72AA">
        <w:rPr>
          <w:bCs/>
        </w:rPr>
        <w:t xml:space="preserve"> ainda</w:t>
      </w:r>
      <w:r w:rsidR="00766778">
        <w:rPr>
          <w:bCs/>
        </w:rPr>
        <w:t>,</w:t>
      </w:r>
      <w:r w:rsidRPr="001B72AA">
        <w:rPr>
          <w:bCs/>
        </w:rPr>
        <w:t xml:space="preserve"> as três principais plataformas de disseminação</w:t>
      </w:r>
      <w:r w:rsidR="008C7766">
        <w:rPr>
          <w:bCs/>
        </w:rPr>
        <w:t xml:space="preserve"> dos dados da RNDS</w:t>
      </w:r>
      <w:r w:rsidRPr="001B72AA">
        <w:rPr>
          <w:bCs/>
        </w:rPr>
        <w:t>: o aplicativo</w:t>
      </w:r>
      <w:r w:rsidR="007077B6">
        <w:rPr>
          <w:bCs/>
        </w:rPr>
        <w:t xml:space="preserve"> </w:t>
      </w:r>
      <w:r w:rsidRPr="001B72AA">
        <w:rPr>
          <w:bCs/>
          <w:i/>
          <w:iCs/>
        </w:rPr>
        <w:t>Meu SUS Digital</w:t>
      </w:r>
      <w:r w:rsidRPr="001B72AA">
        <w:rPr>
          <w:bCs/>
        </w:rPr>
        <w:t xml:space="preserve">, </w:t>
      </w:r>
      <w:r w:rsidR="00BA7665">
        <w:rPr>
          <w:bCs/>
        </w:rPr>
        <w:t>atualmente</w:t>
      </w:r>
      <w:r w:rsidRPr="001B72AA">
        <w:rPr>
          <w:bCs/>
        </w:rPr>
        <w:t xml:space="preserve"> com mais de 58 milhões de </w:t>
      </w:r>
      <w:r w:rsidRPr="00BA7665">
        <w:rPr>
          <w:bCs/>
          <w:i/>
          <w:iCs/>
        </w:rPr>
        <w:lastRenderedPageBreak/>
        <w:t>downloads</w:t>
      </w:r>
      <w:r w:rsidRPr="001B72AA">
        <w:rPr>
          <w:bCs/>
        </w:rPr>
        <w:t>, concebido como um “</w:t>
      </w:r>
      <w:r w:rsidR="00BA7665">
        <w:rPr>
          <w:bCs/>
        </w:rPr>
        <w:t>S</w:t>
      </w:r>
      <w:r w:rsidRPr="001B72AA">
        <w:rPr>
          <w:bCs/>
        </w:rPr>
        <w:t xml:space="preserve">uper </w:t>
      </w:r>
      <w:r w:rsidR="00BA7665">
        <w:rPr>
          <w:bCs/>
        </w:rPr>
        <w:t>A</w:t>
      </w:r>
      <w:r w:rsidRPr="001B72AA">
        <w:rPr>
          <w:bCs/>
        </w:rPr>
        <w:t>pp” voltado ao cidadão, inclusive com funcionalidades como declaração voluntária de raça, cor e nome social; o SUS Digital Profissional, voltado a profissionais de saúde; e o SUS Digital Gestor, direcionado a gestores, reunindo informações sobre regulação e tempo de espera. Também foram destacadas inovações como a Caderneta Única da Criança, que integra dados de vacinação e crescimento, além das versões para adolescentes e idosos. Ressaltou-se ainda o programa Mais Especialistas, prioridade do Ministério da Saúde para enfrentamento d</w:t>
      </w:r>
      <w:r w:rsidR="00BA7665">
        <w:rPr>
          <w:bCs/>
        </w:rPr>
        <w:t>o tempo</w:t>
      </w:r>
      <w:r w:rsidRPr="001B72AA">
        <w:rPr>
          <w:bCs/>
        </w:rPr>
        <w:t xml:space="preserve"> de espera</w:t>
      </w:r>
      <w:r w:rsidR="00BA7665">
        <w:rPr>
          <w:bCs/>
        </w:rPr>
        <w:t xml:space="preserve"> para acesso a serviços especializados</w:t>
      </w:r>
      <w:r w:rsidRPr="001B72AA">
        <w:rPr>
          <w:bCs/>
        </w:rPr>
        <w:t>, com mecanismos de regulação e ressarcimento.</w:t>
      </w:r>
    </w:p>
    <w:p w14:paraId="2D311318" w14:textId="57BC551F" w:rsidR="001B72AA" w:rsidRPr="001B72AA" w:rsidRDefault="001B72AA" w:rsidP="001B72AA">
      <w:pPr>
        <w:spacing w:before="240" w:after="240"/>
        <w:jc w:val="both"/>
        <w:rPr>
          <w:bCs/>
        </w:rPr>
      </w:pPr>
      <w:r w:rsidRPr="001B72AA">
        <w:rPr>
          <w:bCs/>
        </w:rPr>
        <w:t>Na segunda parte da apresentação,</w:t>
      </w:r>
      <w:r w:rsidR="00BA7665">
        <w:rPr>
          <w:bCs/>
        </w:rPr>
        <w:t xml:space="preserve"> </w:t>
      </w:r>
      <w:r w:rsidRPr="001B72AA">
        <w:rPr>
          <w:bCs/>
        </w:rPr>
        <w:t>tratou</w:t>
      </w:r>
      <w:r w:rsidR="00BA7665">
        <w:rPr>
          <w:bCs/>
        </w:rPr>
        <w:t>-se</w:t>
      </w:r>
      <w:r w:rsidRPr="001B72AA">
        <w:rPr>
          <w:bCs/>
        </w:rPr>
        <w:t xml:space="preserve"> da governança e gestão de</w:t>
      </w:r>
      <w:r w:rsidR="00BA7665">
        <w:rPr>
          <w:bCs/>
        </w:rPr>
        <w:t xml:space="preserve"> indicadores e informações estratégicas em saúde</w:t>
      </w:r>
      <w:r w:rsidRPr="001B72AA">
        <w:rPr>
          <w:bCs/>
        </w:rPr>
        <w:t>, ressaltando a importância da informação qualificada para formulação</w:t>
      </w:r>
      <w:r w:rsidR="00BA7665">
        <w:rPr>
          <w:bCs/>
        </w:rPr>
        <w:t xml:space="preserve">, monitoramento e avaliação </w:t>
      </w:r>
      <w:r w:rsidRPr="001B72AA">
        <w:rPr>
          <w:bCs/>
        </w:rPr>
        <w:t>de políticas públicas. Explicou</w:t>
      </w:r>
      <w:r w:rsidR="00BA7665">
        <w:rPr>
          <w:bCs/>
        </w:rPr>
        <w:t>-se</w:t>
      </w:r>
      <w:r w:rsidRPr="001B72AA">
        <w:rPr>
          <w:bCs/>
        </w:rPr>
        <w:t xml:space="preserve"> que os dados que ingressam na RNDS passam por processo de</w:t>
      </w:r>
      <w:r w:rsidR="00BA7665">
        <w:rPr>
          <w:bCs/>
        </w:rPr>
        <w:t xml:space="preserve"> validação</w:t>
      </w:r>
      <w:r w:rsidRPr="001B72AA">
        <w:rPr>
          <w:bCs/>
        </w:rPr>
        <w:t xml:space="preserve">, </w:t>
      </w:r>
      <w:r w:rsidR="00BA7665">
        <w:rPr>
          <w:bCs/>
        </w:rPr>
        <w:t>também sendo</w:t>
      </w:r>
      <w:r w:rsidRPr="001B72AA">
        <w:rPr>
          <w:bCs/>
        </w:rPr>
        <w:t xml:space="preserve"> enriquecidos e vinculados à base nacional, </w:t>
      </w:r>
      <w:r w:rsidR="00BA7665">
        <w:rPr>
          <w:bCs/>
        </w:rPr>
        <w:t xml:space="preserve">o que lhes confere </w:t>
      </w:r>
      <w:r w:rsidRPr="001B72AA">
        <w:rPr>
          <w:bCs/>
        </w:rPr>
        <w:t xml:space="preserve">maior qualidade. </w:t>
      </w:r>
      <w:r w:rsidR="004E1164">
        <w:rPr>
          <w:bCs/>
        </w:rPr>
        <w:t>Foi descrito</w:t>
      </w:r>
      <w:r w:rsidR="00BA7665">
        <w:rPr>
          <w:bCs/>
        </w:rPr>
        <w:t xml:space="preserve"> o</w:t>
      </w:r>
      <w:r w:rsidR="004E1164">
        <w:rPr>
          <w:bCs/>
        </w:rPr>
        <w:t xml:space="preserve"> processo de</w:t>
      </w:r>
      <w:r w:rsidR="00BA7665">
        <w:rPr>
          <w:bCs/>
        </w:rPr>
        <w:t xml:space="preserve"> mapeamento de</w:t>
      </w:r>
      <w:r w:rsidR="004E1164">
        <w:rPr>
          <w:bCs/>
        </w:rPr>
        <w:t xml:space="preserve"> </w:t>
      </w:r>
      <w:r w:rsidRPr="001B72AA">
        <w:rPr>
          <w:bCs/>
        </w:rPr>
        <w:t xml:space="preserve">políticas públicas </w:t>
      </w:r>
      <w:r w:rsidR="004E1164">
        <w:rPr>
          <w:bCs/>
        </w:rPr>
        <w:t>nacionais de saúde</w:t>
      </w:r>
      <w:r w:rsidRPr="001B72AA">
        <w:rPr>
          <w:bCs/>
        </w:rPr>
        <w:t xml:space="preserve">, </w:t>
      </w:r>
      <w:r w:rsidR="004E1164">
        <w:rPr>
          <w:bCs/>
        </w:rPr>
        <w:t xml:space="preserve">e seus </w:t>
      </w:r>
      <w:r w:rsidRPr="001B72AA">
        <w:rPr>
          <w:bCs/>
        </w:rPr>
        <w:t>indicadores</w:t>
      </w:r>
      <w:r w:rsidR="004E1164">
        <w:rPr>
          <w:bCs/>
        </w:rPr>
        <w:t xml:space="preserve"> correlatos. Destacou-se a retomada da Rede Interagencial de Dados em Saúde (</w:t>
      </w:r>
      <w:r w:rsidRPr="001B72AA">
        <w:rPr>
          <w:bCs/>
        </w:rPr>
        <w:t>RIPSA</w:t>
      </w:r>
      <w:r w:rsidR="004E1164">
        <w:rPr>
          <w:bCs/>
        </w:rPr>
        <w:t>) na elaboração e qualificação de indicadores de saúde</w:t>
      </w:r>
      <w:r w:rsidRPr="001B72AA">
        <w:rPr>
          <w:bCs/>
        </w:rPr>
        <w:t>,</w:t>
      </w:r>
      <w:r w:rsidR="004E1164">
        <w:rPr>
          <w:bCs/>
        </w:rPr>
        <w:t xml:space="preserve"> esta que é formada por</w:t>
      </w:r>
      <w:r w:rsidRPr="001B72AA">
        <w:rPr>
          <w:bCs/>
        </w:rPr>
        <w:t xml:space="preserve"> 42 </w:t>
      </w:r>
      <w:r w:rsidR="004E1164">
        <w:rPr>
          <w:bCs/>
        </w:rPr>
        <w:t>instituições de referência em temas da saúde.</w:t>
      </w:r>
    </w:p>
    <w:p w14:paraId="4EB63D89" w14:textId="178AD013" w:rsidR="001B72AA" w:rsidRPr="001B72AA" w:rsidRDefault="001B72AA" w:rsidP="001B72AA">
      <w:pPr>
        <w:spacing w:before="240" w:after="240"/>
        <w:jc w:val="both"/>
        <w:rPr>
          <w:bCs/>
        </w:rPr>
      </w:pPr>
      <w:r w:rsidRPr="001B72AA">
        <w:rPr>
          <w:bCs/>
        </w:rPr>
        <w:t xml:space="preserve">Também foram mencionados esforços de proteção de dados pessoais diante do grande volume em circulação, bem como o papel do Comitê </w:t>
      </w:r>
      <w:r w:rsidR="004E1164">
        <w:rPr>
          <w:bCs/>
        </w:rPr>
        <w:t>Consultivo</w:t>
      </w:r>
      <w:r w:rsidRPr="001B72AA">
        <w:rPr>
          <w:bCs/>
        </w:rPr>
        <w:t xml:space="preserve"> de Monitoramento e Avaliação </w:t>
      </w:r>
      <w:r w:rsidR="004E1164">
        <w:rPr>
          <w:bCs/>
        </w:rPr>
        <w:t xml:space="preserve">(CCMA-SUS) </w:t>
      </w:r>
      <w:r w:rsidRPr="001B72AA">
        <w:rPr>
          <w:bCs/>
        </w:rPr>
        <w:t xml:space="preserve">na priorização de indicadores </w:t>
      </w:r>
      <w:r w:rsidR="00E16865">
        <w:rPr>
          <w:bCs/>
        </w:rPr>
        <w:t>adoção de</w:t>
      </w:r>
      <w:r w:rsidRPr="001B72AA">
        <w:rPr>
          <w:bCs/>
        </w:rPr>
        <w:t xml:space="preserve"> boas práticas</w:t>
      </w:r>
      <w:r w:rsidR="00E16865">
        <w:rPr>
          <w:bCs/>
        </w:rPr>
        <w:t xml:space="preserve"> em todas as áreas do Ministério da Saúde</w:t>
      </w:r>
      <w:r w:rsidRPr="001B72AA">
        <w:rPr>
          <w:bCs/>
        </w:rPr>
        <w:t xml:space="preserve">. Nesse contexto, está em desenvolvimento um caderno de políticas públicas que </w:t>
      </w:r>
      <w:r w:rsidRPr="00E16865">
        <w:rPr>
          <w:bCs/>
        </w:rPr>
        <w:t>permitirá melhor integração e cruzamento de informações</w:t>
      </w:r>
      <w:r w:rsidR="00E16865" w:rsidRPr="00E16865">
        <w:rPr>
          <w:bCs/>
        </w:rPr>
        <w:t xml:space="preserve"> estratégicas</w:t>
      </w:r>
      <w:r w:rsidRPr="00E16865">
        <w:rPr>
          <w:bCs/>
        </w:rPr>
        <w:t xml:space="preserve">. Entre as ferramentas de apoio, foram apresentadas </w:t>
      </w:r>
      <w:r w:rsidR="00C92689" w:rsidRPr="00E16865">
        <w:rPr>
          <w:bCs/>
        </w:rPr>
        <w:t>plataformas de catalogação de dados: o Módulo Gestor de Dados e Indicadores (MGDI)</w:t>
      </w:r>
      <w:r w:rsidR="00E16865" w:rsidRPr="00E16865">
        <w:rPr>
          <w:bCs/>
        </w:rPr>
        <w:t>, que cataloga os metadados</w:t>
      </w:r>
      <w:r w:rsidR="00E16865">
        <w:rPr>
          <w:bCs/>
        </w:rPr>
        <w:t xml:space="preserve"> de indicadores</w:t>
      </w:r>
      <w:r w:rsidR="00C92689">
        <w:rPr>
          <w:bCs/>
        </w:rPr>
        <w:t xml:space="preserve">; </w:t>
      </w:r>
      <w:r w:rsidRPr="001B72AA">
        <w:rPr>
          <w:bCs/>
        </w:rPr>
        <w:t>a plataforma</w:t>
      </w:r>
      <w:r w:rsidR="004E1164">
        <w:rPr>
          <w:bCs/>
        </w:rPr>
        <w:t xml:space="preserve"> de Dados Abertos</w:t>
      </w:r>
      <w:r w:rsidR="00E16865">
        <w:rPr>
          <w:bCs/>
        </w:rPr>
        <w:t xml:space="preserve"> do SUS</w:t>
      </w:r>
      <w:r w:rsidRPr="001B72AA">
        <w:rPr>
          <w:bCs/>
        </w:rPr>
        <w:t xml:space="preserve">, </w:t>
      </w:r>
      <w:r w:rsidR="004E1164">
        <w:rPr>
          <w:bCs/>
        </w:rPr>
        <w:t>que</w:t>
      </w:r>
      <w:r w:rsidR="00E16865">
        <w:rPr>
          <w:bCs/>
        </w:rPr>
        <w:t xml:space="preserve"> reúne e dissemina conjuntos de dados em diversos formatos,</w:t>
      </w:r>
      <w:r w:rsidR="004E1164">
        <w:rPr>
          <w:bCs/>
        </w:rPr>
        <w:t xml:space="preserve"> viabiliza</w:t>
      </w:r>
      <w:r w:rsidR="00E16865">
        <w:rPr>
          <w:bCs/>
        </w:rPr>
        <w:t>ndo</w:t>
      </w:r>
      <w:r w:rsidR="004E1164">
        <w:rPr>
          <w:bCs/>
        </w:rPr>
        <w:t xml:space="preserve"> compromissos assumidos no </w:t>
      </w:r>
      <w:r w:rsidRPr="001B72AA">
        <w:rPr>
          <w:bCs/>
        </w:rPr>
        <w:t>Plano de Dados Abertos</w:t>
      </w:r>
      <w:r w:rsidR="004E1164">
        <w:rPr>
          <w:bCs/>
        </w:rPr>
        <w:t xml:space="preserve"> (2024-2026)</w:t>
      </w:r>
      <w:r w:rsidRPr="001B72AA">
        <w:rPr>
          <w:bCs/>
        </w:rPr>
        <w:t xml:space="preserve">; </w:t>
      </w:r>
      <w:r w:rsidR="00C92689">
        <w:rPr>
          <w:bCs/>
        </w:rPr>
        <w:t xml:space="preserve">e </w:t>
      </w:r>
      <w:r w:rsidRPr="001B72AA">
        <w:rPr>
          <w:bCs/>
        </w:rPr>
        <w:t xml:space="preserve">a </w:t>
      </w:r>
      <w:r w:rsidR="004E1164">
        <w:rPr>
          <w:bCs/>
        </w:rPr>
        <w:t>I</w:t>
      </w:r>
      <w:r w:rsidRPr="001B72AA">
        <w:rPr>
          <w:bCs/>
        </w:rPr>
        <w:t xml:space="preserve">nfraestrutura de </w:t>
      </w:r>
      <w:r w:rsidR="004E1164">
        <w:rPr>
          <w:bCs/>
        </w:rPr>
        <w:t>D</w:t>
      </w:r>
      <w:r w:rsidRPr="001B72AA">
        <w:rPr>
          <w:bCs/>
        </w:rPr>
        <w:t xml:space="preserve">ados </w:t>
      </w:r>
      <w:r w:rsidR="004E1164">
        <w:rPr>
          <w:bCs/>
        </w:rPr>
        <w:t>G</w:t>
      </w:r>
      <w:r w:rsidRPr="001B72AA">
        <w:rPr>
          <w:bCs/>
        </w:rPr>
        <w:t>eoespaciais (IDE),</w:t>
      </w:r>
      <w:r w:rsidR="004E1164">
        <w:rPr>
          <w:bCs/>
        </w:rPr>
        <w:t xml:space="preserve"> útil para a identificação de riscos e o apoio à gestão de </w:t>
      </w:r>
      <w:r w:rsidRPr="001B72AA">
        <w:rPr>
          <w:bCs/>
        </w:rPr>
        <w:t>emergências climáticas</w:t>
      </w:r>
      <w:r w:rsidR="00C92689">
        <w:rPr>
          <w:bCs/>
        </w:rPr>
        <w:t>.</w:t>
      </w:r>
    </w:p>
    <w:p w14:paraId="406384FD" w14:textId="2B77FE2A" w:rsidR="001B72AA" w:rsidRPr="001B72AA" w:rsidRDefault="001B72AA" w:rsidP="001B72AA">
      <w:pPr>
        <w:spacing w:before="240" w:after="240"/>
        <w:jc w:val="both"/>
        <w:rPr>
          <w:bCs/>
        </w:rPr>
      </w:pPr>
      <w:r w:rsidRPr="001B72AA">
        <w:rPr>
          <w:bCs/>
        </w:rPr>
        <w:t>Adicionalmente, foram citadas a Sala de Apoio à Gestão Estratégica (SAGE), que</w:t>
      </w:r>
      <w:r w:rsidR="00E16865">
        <w:rPr>
          <w:bCs/>
        </w:rPr>
        <w:t xml:space="preserve"> apoia o processo de gestão estratégica do SUS</w:t>
      </w:r>
      <w:r w:rsidRPr="001B72AA">
        <w:rPr>
          <w:bCs/>
        </w:rPr>
        <w:t xml:space="preserve"> do Ministério</w:t>
      </w:r>
      <w:r w:rsidR="00E16865">
        <w:rPr>
          <w:bCs/>
        </w:rPr>
        <w:t xml:space="preserve"> </w:t>
      </w:r>
      <w:r w:rsidRPr="001B72AA">
        <w:rPr>
          <w:bCs/>
        </w:rPr>
        <w:t xml:space="preserve">e o </w:t>
      </w:r>
      <w:proofErr w:type="spellStart"/>
      <w:r w:rsidRPr="001B72AA">
        <w:rPr>
          <w:bCs/>
        </w:rPr>
        <w:t>TabNet</w:t>
      </w:r>
      <w:proofErr w:type="spellEnd"/>
      <w:r w:rsidRPr="001B72AA">
        <w:rPr>
          <w:bCs/>
        </w:rPr>
        <w:t xml:space="preserve">, que </w:t>
      </w:r>
      <w:r w:rsidR="00E16865">
        <w:rPr>
          <w:bCs/>
        </w:rPr>
        <w:t>viabiliza análises por meio</w:t>
      </w:r>
      <w:r w:rsidRPr="001B72AA">
        <w:rPr>
          <w:bCs/>
        </w:rPr>
        <w:t xml:space="preserve"> d</w:t>
      </w:r>
      <w:r w:rsidR="00E16865">
        <w:rPr>
          <w:bCs/>
        </w:rPr>
        <w:t>a</w:t>
      </w:r>
      <w:r w:rsidRPr="001B72AA">
        <w:rPr>
          <w:bCs/>
        </w:rPr>
        <w:t xml:space="preserve"> tabulação</w:t>
      </w:r>
      <w:r w:rsidR="00E16865">
        <w:rPr>
          <w:bCs/>
        </w:rPr>
        <w:t xml:space="preserve"> de dados</w:t>
      </w:r>
      <w:r w:rsidRPr="001B72AA">
        <w:rPr>
          <w:bCs/>
        </w:rPr>
        <w:t>. Ressaltou-se, por fim, a evolução da Plataforma ID</w:t>
      </w:r>
      <w:r w:rsidR="00E16865">
        <w:rPr>
          <w:bCs/>
        </w:rPr>
        <w:t>E</w:t>
      </w:r>
      <w:r w:rsidRPr="001B72AA">
        <w:rPr>
          <w:bCs/>
        </w:rPr>
        <w:t xml:space="preserve">, </w:t>
      </w:r>
      <w:r w:rsidR="00E16865">
        <w:rPr>
          <w:bCs/>
        </w:rPr>
        <w:t>que viabiliza</w:t>
      </w:r>
      <w:r w:rsidRPr="001B72AA">
        <w:rPr>
          <w:bCs/>
        </w:rPr>
        <w:t xml:space="preserve"> análises multicamadas</w:t>
      </w:r>
      <w:r w:rsidR="00E16865">
        <w:rPr>
          <w:bCs/>
        </w:rPr>
        <w:t xml:space="preserve"> georreferenciadas</w:t>
      </w:r>
      <w:r w:rsidRPr="001B72AA">
        <w:rPr>
          <w:bCs/>
        </w:rPr>
        <w:t>. A apresentação concluiu enfatizando o compromisso do Brasil com a continuidade do cuidado, a integração dos dados clínicos</w:t>
      </w:r>
      <w:r w:rsidR="00E16865">
        <w:rPr>
          <w:bCs/>
        </w:rPr>
        <w:t xml:space="preserve"> e de políticas públicas, além da </w:t>
      </w:r>
      <w:r w:rsidRPr="001B72AA">
        <w:rPr>
          <w:bCs/>
        </w:rPr>
        <w:t>participação ativa em colaborações internacionais relevantes, como BRICS, G20, GDHP e RACSEL.</w:t>
      </w:r>
    </w:p>
    <w:p w14:paraId="1667C912" w14:textId="3C88F1FF" w:rsidR="004B2B37" w:rsidRPr="004B2B37" w:rsidRDefault="00D20C5C" w:rsidP="004B2B37">
      <w:pPr>
        <w:spacing w:before="240" w:after="240"/>
        <w:jc w:val="both"/>
        <w:rPr>
          <w:bCs/>
        </w:rPr>
      </w:pPr>
      <w:r>
        <w:rPr>
          <w:bCs/>
        </w:rPr>
        <w:t>A delegação brasileira apresentou</w:t>
      </w:r>
      <w:r w:rsidR="004B2B37" w:rsidRPr="004B2B37">
        <w:rPr>
          <w:bCs/>
        </w:rPr>
        <w:t xml:space="preserve"> o panorama nacional da telessaúde no âmbito do Programa SUS Digital, ressaltando que o referido programa busca promover a transformação organizada da saúde digital, fundamentada nos princípios da equidade, qualidade e continuidade do cuidado.</w:t>
      </w:r>
    </w:p>
    <w:p w14:paraId="2699779B" w14:textId="77777777" w:rsidR="004B2B37" w:rsidRPr="004B2B37" w:rsidRDefault="004B2B37" w:rsidP="004B2B37">
      <w:pPr>
        <w:spacing w:before="240" w:after="240"/>
        <w:jc w:val="both"/>
        <w:rPr>
          <w:bCs/>
        </w:rPr>
      </w:pPr>
      <w:r w:rsidRPr="004B2B37">
        <w:rPr>
          <w:bCs/>
        </w:rPr>
        <w:t xml:space="preserve">Destacou que a telessaúde já possui regulamentação no Brasil desde 2006 e, atualmente, encontra-se disciplinada pela Portaria Ministerial nº 3.691/2024, que estabeleceu a nova estratégia de telessaúde com o objetivo de apoiar a consolidação das redes de atenção à saúde. Explicou que, com essa estratégia, foram incorporadas novas modalidades de serviços, incluindo teleconsultoria, teletriagem, teleconsulta, </w:t>
      </w:r>
      <w:r w:rsidRPr="004B2B37">
        <w:rPr>
          <w:bCs/>
        </w:rPr>
        <w:lastRenderedPageBreak/>
        <w:t xml:space="preserve">telediagnóstico, telemonitoramento, </w:t>
      </w:r>
      <w:proofErr w:type="spellStart"/>
      <w:r w:rsidRPr="004B2B37">
        <w:rPr>
          <w:bCs/>
        </w:rPr>
        <w:t>teleorientação</w:t>
      </w:r>
      <w:proofErr w:type="spellEnd"/>
      <w:r w:rsidRPr="004B2B37">
        <w:rPr>
          <w:bCs/>
        </w:rPr>
        <w:t xml:space="preserve">, teleinterconsulta, teleducação, </w:t>
      </w:r>
      <w:proofErr w:type="spellStart"/>
      <w:r w:rsidRPr="004B2B37">
        <w:rPr>
          <w:bCs/>
        </w:rPr>
        <w:t>teleregulação</w:t>
      </w:r>
      <w:proofErr w:type="spellEnd"/>
      <w:r w:rsidRPr="004B2B37">
        <w:rPr>
          <w:bCs/>
        </w:rPr>
        <w:t xml:space="preserve"> e a segunda opinião formativa.</w:t>
      </w:r>
    </w:p>
    <w:p w14:paraId="688E3465" w14:textId="7D40F85F" w:rsidR="004B2B37" w:rsidRPr="004B2B37" w:rsidRDefault="004B2B37" w:rsidP="004B2B37">
      <w:pPr>
        <w:spacing w:before="240" w:after="240"/>
        <w:jc w:val="both"/>
        <w:rPr>
          <w:bCs/>
        </w:rPr>
      </w:pPr>
      <w:r w:rsidRPr="004B2B37">
        <w:rPr>
          <w:bCs/>
        </w:rPr>
        <w:t>No tocante às modalidades, esclareceu que os serviços assistenciais podem se organizar em duas formas principais de estabelecimentos: os núcleos de telessaúde e a teleinterconsulta. Ressaltou que o telediagnóstico é voltado à emissão de laudos, diagnósticos e registros de dados clínicos primários, enquanto a interoperabilidade dos dados ainda se apresenta como um desafio relevante. Quanto ao registro das consultas, informou que este depende da capacidade de armazenamento em nível municipal, uma vez que não há determinação legal uniforme que obrigue os municípios a manterem ou não os registros, ficando a critério da realidade de cada ente federativo.</w:t>
      </w:r>
    </w:p>
    <w:p w14:paraId="327D04A6" w14:textId="77777777" w:rsidR="004B2B37" w:rsidRPr="004B2B37" w:rsidRDefault="004B2B37" w:rsidP="004B2B37">
      <w:pPr>
        <w:spacing w:before="240" w:after="240"/>
        <w:jc w:val="both"/>
        <w:rPr>
          <w:bCs/>
        </w:rPr>
      </w:pPr>
      <w:r w:rsidRPr="004B2B37">
        <w:rPr>
          <w:bCs/>
        </w:rPr>
        <w:t xml:space="preserve">Em relação à teleducação, apontou que ela se destina à qualificação dos profissionais de saúde, por meio de cursos, palestras e temáticas específicas, enquanto o telemonitoramento pode se dar por contato telefônico, videochamadas ou equipamentos de </w:t>
      </w:r>
      <w:proofErr w:type="spellStart"/>
      <w:r w:rsidRPr="004B2B37">
        <w:rPr>
          <w:bCs/>
        </w:rPr>
        <w:t>telepropedêutica</w:t>
      </w:r>
      <w:proofErr w:type="spellEnd"/>
      <w:r w:rsidRPr="004B2B37">
        <w:rPr>
          <w:bCs/>
        </w:rPr>
        <w:t xml:space="preserve">. A teletriagem, por sua vez, busca determinar o grau de prioridade e o tipo de demanda, enquanto a </w:t>
      </w:r>
      <w:proofErr w:type="spellStart"/>
      <w:r w:rsidRPr="004B2B37">
        <w:rPr>
          <w:bCs/>
        </w:rPr>
        <w:t>teleregulação</w:t>
      </w:r>
      <w:proofErr w:type="spellEnd"/>
      <w:r w:rsidRPr="004B2B37">
        <w:rPr>
          <w:bCs/>
        </w:rPr>
        <w:t xml:space="preserve"> atua como uma espécie de teleconsultoria aplicada às listas de regulação, auxiliando na gestão de encaminhamentos e higienização das filas. A segunda opinião formativa, elaborada pelos núcleos de telessaúde, consiste em documentos em formato de perguntas e respostas voltados a estudantes, profissionais e usuários, de modo a ampliar o acesso a informações especializadas.</w:t>
      </w:r>
    </w:p>
    <w:p w14:paraId="012814BF" w14:textId="0A9FA139" w:rsidR="004B2B37" w:rsidRPr="004B2B37" w:rsidRDefault="0034319B" w:rsidP="004B2B37">
      <w:pPr>
        <w:spacing w:before="240" w:after="240"/>
        <w:jc w:val="both"/>
        <w:rPr>
          <w:bCs/>
        </w:rPr>
      </w:pPr>
      <w:r>
        <w:rPr>
          <w:bCs/>
        </w:rPr>
        <w:t>Foi</w:t>
      </w:r>
      <w:r w:rsidR="004B2B37" w:rsidRPr="004B2B37">
        <w:rPr>
          <w:bCs/>
        </w:rPr>
        <w:t xml:space="preserve"> apresent</w:t>
      </w:r>
      <w:r>
        <w:rPr>
          <w:bCs/>
        </w:rPr>
        <w:t>ado</w:t>
      </w:r>
      <w:r w:rsidR="004B2B37" w:rsidRPr="004B2B37">
        <w:rPr>
          <w:bCs/>
        </w:rPr>
        <w:t xml:space="preserve"> ainda o cenário nacional dos núcleos de telessaúde, observando que a maioria está vinculada a parcerias com instituições de ensino superior, cada qual com um escopo de especialidades definido de acordo com recortes regionais. Mencionou também outros projetos correlatos, embora não configurados estritamente como telessaúde, mas que desempenham papel de fomento ao setor, a exemplo das ofertas nacionais de telediagnóstico realizadas pela Universidade Federal de Santa Catarina (UFSC), no campo da dermatologia, e pela Universidade Federal de Minas Gerais (UFMG), com laudos de </w:t>
      </w:r>
      <w:proofErr w:type="spellStart"/>
      <w:r w:rsidR="004B2B37" w:rsidRPr="004B2B37">
        <w:rPr>
          <w:bCs/>
        </w:rPr>
        <w:t>retinografia</w:t>
      </w:r>
      <w:proofErr w:type="spellEnd"/>
      <w:r w:rsidR="004B2B37" w:rsidRPr="004B2B37">
        <w:rPr>
          <w:bCs/>
        </w:rPr>
        <w:t>, além de iniciativas de capacitação presencial.</w:t>
      </w:r>
    </w:p>
    <w:p w14:paraId="79B09EF4" w14:textId="26DF019A" w:rsidR="004B2B37" w:rsidRDefault="004B2B37" w:rsidP="007077B6">
      <w:pPr>
        <w:jc w:val="both"/>
        <w:rPr>
          <w:bCs/>
        </w:rPr>
      </w:pPr>
      <w:r w:rsidRPr="004B2B37">
        <w:rPr>
          <w:bCs/>
        </w:rPr>
        <w:t>Foram ainda destacados o Cadastro Nacional de Estabelecimentos de Saúde (CNES), regido pela Secretaria de Atenção Especializada à Saúde (SAES/MS), e o cadastro específico dos núcleos de telessaúde.</w:t>
      </w:r>
      <w:r w:rsidR="00D20C5C">
        <w:rPr>
          <w:bCs/>
        </w:rPr>
        <w:t xml:space="preserve"> P</w:t>
      </w:r>
      <w:r w:rsidRPr="004B2B37">
        <w:rPr>
          <w:bCs/>
        </w:rPr>
        <w:t>or fim, o programa "Agora Tem Especialista" e apresentou as estratégias de ampliação da telessaúde, informando sobre a existência de dois editais em aberto destinados à expansão dessas ações.</w:t>
      </w:r>
    </w:p>
    <w:p w14:paraId="05EE2CB2" w14:textId="77777777" w:rsidR="007077B6" w:rsidRDefault="007077B6" w:rsidP="007077B6">
      <w:pPr>
        <w:jc w:val="both"/>
        <w:rPr>
          <w:bCs/>
        </w:rPr>
      </w:pPr>
    </w:p>
    <w:p w14:paraId="2552E946" w14:textId="77777777" w:rsidR="007077B6" w:rsidRPr="004B2B37" w:rsidRDefault="007077B6" w:rsidP="007077B6">
      <w:pPr>
        <w:jc w:val="both"/>
        <w:rPr>
          <w:bCs/>
        </w:rPr>
      </w:pPr>
    </w:p>
    <w:p w14:paraId="6AEEEABE" w14:textId="6AB071A2" w:rsidR="007077B6" w:rsidRPr="00B5691B" w:rsidRDefault="00B5691B" w:rsidP="00AC0D72">
      <w:pPr>
        <w:ind w:left="426" w:hanging="426"/>
        <w:jc w:val="both"/>
        <w:rPr>
          <w:b/>
        </w:rPr>
      </w:pPr>
      <w:r>
        <w:rPr>
          <w:b/>
        </w:rPr>
        <w:t xml:space="preserve">3. </w:t>
      </w:r>
      <w:r w:rsidR="00030D3C" w:rsidRPr="00B5691B">
        <w:rPr>
          <w:b/>
        </w:rPr>
        <w:t>APRESENTAÇÃO E DISCUSSÃO DE PROPOSTA DE PROGRAMA DE TRABALHO</w:t>
      </w:r>
      <w:r w:rsidR="00E23C6C">
        <w:rPr>
          <w:b/>
        </w:rPr>
        <w:t xml:space="preserve"> 2025-2026</w:t>
      </w:r>
      <w:r w:rsidR="00030D3C" w:rsidRPr="00B5691B">
        <w:rPr>
          <w:b/>
        </w:rPr>
        <w:t xml:space="preserve"> </w:t>
      </w:r>
    </w:p>
    <w:p w14:paraId="47AEDA56" w14:textId="337828CF" w:rsidR="008E2295" w:rsidRPr="008E2295" w:rsidRDefault="008E2295" w:rsidP="008E2295">
      <w:pPr>
        <w:spacing w:before="240" w:after="240"/>
        <w:jc w:val="both"/>
      </w:pPr>
      <w:r w:rsidRPr="008E2295">
        <w:t xml:space="preserve">Iniciou-se a reunião com a análise </w:t>
      </w:r>
      <w:r w:rsidRPr="007077B6">
        <w:t xml:space="preserve">do </w:t>
      </w:r>
      <w:r w:rsidR="007077B6">
        <w:t>Programa</w:t>
      </w:r>
      <w:r w:rsidRPr="007077B6">
        <w:t xml:space="preserve"> de Trabalho 2025–2026,</w:t>
      </w:r>
      <w:r w:rsidRPr="008E2295">
        <w:t xml:space="preserve"> passando-se pela avaliação dos objetivos gerais e específicos, bem como das tarefas e atividades previstas. Registrou-se que o documento contempla a definição do tipo, origem, prioridade e conclusão estimada de cada ação, sendo que, para atividades específicas, haverá prazo definido para execução, enquanto atividades permanentes permanecerão vigentes durante os trabalhos da Comissão. Foram realizadas alterações e inclusões pontuais, detalhando tarefas e atividades e definindo prioridades classificadas como baixa, normal ou alta.</w:t>
      </w:r>
    </w:p>
    <w:p w14:paraId="19FAE44B" w14:textId="77777777" w:rsidR="008E2295" w:rsidRPr="008E2295" w:rsidRDefault="008E2295" w:rsidP="008E2295">
      <w:pPr>
        <w:spacing w:before="240" w:after="240"/>
        <w:jc w:val="both"/>
      </w:pPr>
      <w:r w:rsidRPr="008E2295">
        <w:lastRenderedPageBreak/>
        <w:t xml:space="preserve">No âmbito dos temas sociais, incluindo aspectos jurídicos, educacionais, laborais, científicos, tecnológicos, culturais, de saúde, segurança pública e direitos humanos, estabeleceu-se como objetivo específico a promoção da saúde digital e da interoperabilidade, visando à integração regional de sistemas de saúde. Nesse contexto, foram planejadas atividades como o compartilhamento de estratégias e políticas de saúde digital, o conhecimento da arquitetura, modelos e padrões de interoperabilidade, o alinhamento de padrões mínimos e terminologias para processos regionais, como o </w:t>
      </w:r>
      <w:proofErr w:type="spellStart"/>
      <w:r w:rsidRPr="008E2295">
        <w:t>International</w:t>
      </w:r>
      <w:proofErr w:type="spellEnd"/>
      <w:r w:rsidRPr="008E2295">
        <w:t xml:space="preserve"> </w:t>
      </w:r>
      <w:proofErr w:type="spellStart"/>
      <w:r w:rsidRPr="008E2295">
        <w:t>Patient</w:t>
      </w:r>
      <w:proofErr w:type="spellEnd"/>
      <w:r w:rsidRPr="008E2295">
        <w:t xml:space="preserve"> </w:t>
      </w:r>
      <w:proofErr w:type="spellStart"/>
      <w:r w:rsidRPr="008E2295">
        <w:t>Summary</w:t>
      </w:r>
      <w:proofErr w:type="spellEnd"/>
      <w:r w:rsidRPr="008E2295">
        <w:t xml:space="preserve"> (IPS), bem como a socialização de boas práticas em segurança e proteção de dados pessoais, governança e gestão de indicadores e dados em contextos federais e descentralizados.</w:t>
      </w:r>
    </w:p>
    <w:p w14:paraId="4914DCEC" w14:textId="77777777" w:rsidR="008E2295" w:rsidRPr="008E2295" w:rsidRDefault="008E2295" w:rsidP="008E2295">
      <w:pPr>
        <w:spacing w:before="240" w:after="240"/>
        <w:jc w:val="both"/>
      </w:pPr>
      <w:r w:rsidRPr="008E2295">
        <w:t>Registrou-se também o fortalecimento da agenda de Inteligência Artificial (IA) em saúde, incluindo a promoção da troca de conhecimento sobre a aplicação de IA em sistemas de gestão e o compartilhamento de regulamentações e marcos regulatórios nacionais em saúde digital.</w:t>
      </w:r>
    </w:p>
    <w:p w14:paraId="406C351B" w14:textId="24ED54DF" w:rsidR="008E2295" w:rsidRPr="008E2295" w:rsidRDefault="008E2295" w:rsidP="008E2295">
      <w:pPr>
        <w:spacing w:before="240" w:after="240"/>
        <w:jc w:val="both"/>
      </w:pPr>
      <w:r w:rsidRPr="008E2295">
        <w:t xml:space="preserve">No </w:t>
      </w:r>
      <w:r w:rsidR="004F79C7">
        <w:t xml:space="preserve">objetivo específico </w:t>
      </w:r>
      <w:r w:rsidRPr="008E2295">
        <w:t>de tecnologias aplicadas ao cuidado em saúde, destacou-se a priorização da telessaúde no Mercosul, com atividades voltadas à promoção da troca de conhecimento sobre serviços, procedimentos, redes e normativas, à avaliação da implementação da Segunda Opinião Formativa nos países do bloco e ao mapeamento das necessidades de teleducação em articulação com outras Comissões do Mercosul. Registrou-se ainda a importância do levantamento das tecnologias diagnósticas disponíveis nos países, integradas às necessidades das autoridades sanitárias, bem como o mapeamento das capacidades de saúde transfronteiriças, de forma georreferenciada, inicialmente voltadas à atenção de emergências em fronteiras.</w:t>
      </w:r>
    </w:p>
    <w:p w14:paraId="123E31D1" w14:textId="77777777" w:rsidR="008E2295" w:rsidRPr="008E2295" w:rsidRDefault="008E2295" w:rsidP="008E2295">
      <w:pPr>
        <w:spacing w:before="240" w:after="240"/>
        <w:jc w:val="both"/>
      </w:pPr>
      <w:r w:rsidRPr="008E2295">
        <w:t>No âmbito das tecnologias aplicadas ao ensino e à pesquisa, destacou-se a necessidade de estimular a capacitação conjunta em tecnologias aplicadas ao ensino e à pesquisa, propiciando espaços virtuais no site da Secretaria do Mercosul para alojamento de capacitações e intervenções educativas voltadas a diferentes audiências, incluindo comunidade, profissionais de saúde, referências comunitárias e docentes. Ressaltou-se ainda a promoção da colaboração com outras instâncias do Mercosul Saúde para a produção conjunta de novas tecnologias associadas à saúde, criando espaços de diálogo para inovação e desenvolvimento regional.</w:t>
      </w:r>
    </w:p>
    <w:p w14:paraId="7C9AB1EE" w14:textId="54730D47" w:rsidR="00BE0EE5" w:rsidRPr="007077B6" w:rsidRDefault="008E2295" w:rsidP="00B05C2A">
      <w:pPr>
        <w:spacing w:before="240" w:after="240"/>
        <w:jc w:val="both"/>
      </w:pPr>
      <w:r w:rsidRPr="008E2295">
        <w:t xml:space="preserve">Concluiu-se que todas as atividades planejadas visam fortalecer a integração regional em saúde digital, promover a troca de experiências e boas práticas entre os Estados Partes e apoiar a implementação de políticas públicas e estratégicas na área de saúde </w:t>
      </w:r>
      <w:r w:rsidRPr="007077B6">
        <w:t xml:space="preserve">digital e tecnologias associadas à saúde no </w:t>
      </w:r>
      <w:r w:rsidR="007077B6" w:rsidRPr="007077B6">
        <w:t>MERCOSUL</w:t>
      </w:r>
      <w:r w:rsidRPr="007077B6">
        <w:t>.</w:t>
      </w:r>
    </w:p>
    <w:p w14:paraId="1A427720" w14:textId="6776B986" w:rsidR="007077B6" w:rsidRDefault="007077B6" w:rsidP="00AC0D72">
      <w:pPr>
        <w:jc w:val="both"/>
      </w:pPr>
      <w:r w:rsidRPr="00B5691B">
        <w:t>As delegações acordaram</w:t>
      </w:r>
      <w:r>
        <w:t xml:space="preserve"> com o Programa de Trabalho 2025</w:t>
      </w:r>
      <w:r w:rsidR="00AC0D72">
        <w:t xml:space="preserve"> - </w:t>
      </w:r>
      <w:r>
        <w:t xml:space="preserve">2026 e levam à consideração do RMS-CC </w:t>
      </w:r>
      <w:r w:rsidRPr="007077B6">
        <w:rPr>
          <w:b/>
          <w:bCs/>
        </w:rPr>
        <w:t>(Anexo III)</w:t>
      </w:r>
      <w:r w:rsidRPr="00B5691B">
        <w:t>.</w:t>
      </w:r>
    </w:p>
    <w:p w14:paraId="23AFBFB8" w14:textId="77777777" w:rsidR="007077B6" w:rsidRDefault="007077B6" w:rsidP="00AC0D72">
      <w:pPr>
        <w:jc w:val="both"/>
      </w:pPr>
    </w:p>
    <w:p w14:paraId="2C963BC6" w14:textId="77777777" w:rsidR="005B4374" w:rsidRDefault="005B4374" w:rsidP="00AC0D72">
      <w:pPr>
        <w:jc w:val="both"/>
        <w:rPr>
          <w:b/>
        </w:rPr>
      </w:pPr>
      <w:r>
        <w:rPr>
          <w:b/>
        </w:rPr>
        <w:t xml:space="preserve">3.1 Nome do Comitê </w:t>
      </w:r>
      <w:r w:rsidRPr="00AC0D72">
        <w:rPr>
          <w:b/>
          <w:i/>
          <w:iCs/>
        </w:rPr>
        <w:t>Ad Hoc</w:t>
      </w:r>
    </w:p>
    <w:p w14:paraId="541945E4" w14:textId="28E02FF5" w:rsidR="0034319B" w:rsidRPr="007077B6" w:rsidRDefault="0034319B" w:rsidP="0034319B">
      <w:pPr>
        <w:spacing w:before="240" w:after="240"/>
        <w:jc w:val="both"/>
        <w:rPr>
          <w:bCs/>
        </w:rPr>
      </w:pPr>
      <w:r w:rsidRPr="0034319B">
        <w:rPr>
          <w:bCs/>
        </w:rPr>
        <w:t xml:space="preserve">As delegações presentes procederam à troca de opiniões acerca da denominação do Comitê Ad Hoc, anteriormente aprovado </w:t>
      </w:r>
      <w:r w:rsidRPr="007077B6">
        <w:rPr>
          <w:bCs/>
        </w:rPr>
        <w:t>como “Comitê Ad Hoc de Tecnologias Associadas à Saúde</w:t>
      </w:r>
      <w:r w:rsidR="007077B6" w:rsidRPr="007077B6">
        <w:rPr>
          <w:bCs/>
        </w:rPr>
        <w:t xml:space="preserve"> (CAHTAS)</w:t>
      </w:r>
      <w:r w:rsidRPr="007077B6">
        <w:rPr>
          <w:bCs/>
        </w:rPr>
        <w:t>”.</w:t>
      </w:r>
    </w:p>
    <w:p w14:paraId="689B0E9F" w14:textId="7E1662E3" w:rsidR="0034319B" w:rsidRPr="0034319B" w:rsidRDefault="0034319B" w:rsidP="0034319B">
      <w:pPr>
        <w:spacing w:before="240" w:after="240"/>
        <w:jc w:val="both"/>
        <w:rPr>
          <w:bCs/>
        </w:rPr>
      </w:pPr>
      <w:r w:rsidRPr="0034319B">
        <w:rPr>
          <w:bCs/>
        </w:rPr>
        <w:t xml:space="preserve">Considerando a relevância de incluir de forma expressa o tema </w:t>
      </w:r>
      <w:r w:rsidRPr="007077B6">
        <w:rPr>
          <w:bCs/>
        </w:rPr>
        <w:t>da Saúde Digital</w:t>
      </w:r>
      <w:r w:rsidRPr="0034319B">
        <w:rPr>
          <w:bCs/>
        </w:rPr>
        <w:t xml:space="preserve"> no âmbito do </w:t>
      </w:r>
      <w:r w:rsidR="007077B6" w:rsidRPr="0034319B">
        <w:rPr>
          <w:bCs/>
        </w:rPr>
        <w:t xml:space="preserve">MERCOSUL </w:t>
      </w:r>
      <w:r w:rsidRPr="0034319B">
        <w:rPr>
          <w:bCs/>
        </w:rPr>
        <w:t>Saúde, as delegações acordaram em propor a alteração da denominação do referido Comitê.</w:t>
      </w:r>
    </w:p>
    <w:p w14:paraId="1F8CDEF4" w14:textId="103BEF17" w:rsidR="0034319B" w:rsidRPr="0034319B" w:rsidRDefault="0034319B" w:rsidP="0034319B">
      <w:pPr>
        <w:spacing w:before="240" w:after="240"/>
        <w:jc w:val="both"/>
        <w:rPr>
          <w:bCs/>
        </w:rPr>
      </w:pPr>
      <w:r w:rsidRPr="0034319B">
        <w:rPr>
          <w:bCs/>
        </w:rPr>
        <w:lastRenderedPageBreak/>
        <w:t xml:space="preserve">Dessa forma, foi decidido submeter ao </w:t>
      </w:r>
      <w:r w:rsidRPr="007077B6">
        <w:t xml:space="preserve">Comitê Coordenador da Reunião de Ministros de Saúde do </w:t>
      </w:r>
      <w:r w:rsidR="007077B6" w:rsidRPr="007077B6">
        <w:t xml:space="preserve">MERCOSUL </w:t>
      </w:r>
      <w:r w:rsidRPr="007077B6">
        <w:t>a aprovação</w:t>
      </w:r>
      <w:r w:rsidRPr="0034319B">
        <w:rPr>
          <w:bCs/>
        </w:rPr>
        <w:t xml:space="preserve"> da nova denominação, a saber:</w:t>
      </w:r>
    </w:p>
    <w:p w14:paraId="7A51ED69" w14:textId="1B6D6A1F" w:rsidR="0034319B" w:rsidRPr="0034319B" w:rsidRDefault="0034319B" w:rsidP="00AC0D72">
      <w:pPr>
        <w:jc w:val="both"/>
        <w:rPr>
          <w:bCs/>
        </w:rPr>
      </w:pPr>
      <w:r w:rsidRPr="0034319B">
        <w:rPr>
          <w:b/>
          <w:bCs/>
        </w:rPr>
        <w:t xml:space="preserve">“Comitê </w:t>
      </w:r>
      <w:r w:rsidRPr="007077B6">
        <w:rPr>
          <w:b/>
          <w:bCs/>
          <w:i/>
          <w:iCs/>
        </w:rPr>
        <w:t>Ad Hoc</w:t>
      </w:r>
      <w:r w:rsidRPr="0034319B">
        <w:rPr>
          <w:b/>
          <w:bCs/>
        </w:rPr>
        <w:t xml:space="preserve"> de Saúde Digital e Tecnologias Associadas à Saúde (CAHTA</w:t>
      </w:r>
      <w:r w:rsidR="00AC0D72">
        <w:rPr>
          <w:b/>
          <w:bCs/>
        </w:rPr>
        <w:t>S</w:t>
      </w:r>
      <w:r w:rsidRPr="0034319B">
        <w:rPr>
          <w:b/>
          <w:bCs/>
        </w:rPr>
        <w:t>)”</w:t>
      </w:r>
      <w:r w:rsidRPr="0034319B">
        <w:rPr>
          <w:bCs/>
        </w:rPr>
        <w:t>.</w:t>
      </w:r>
    </w:p>
    <w:p w14:paraId="28B02206" w14:textId="77777777" w:rsidR="007077B6" w:rsidRDefault="007077B6" w:rsidP="00AC0D72">
      <w:pPr>
        <w:jc w:val="both"/>
      </w:pPr>
    </w:p>
    <w:p w14:paraId="52054E18" w14:textId="77777777" w:rsidR="007077B6" w:rsidRPr="00B5691B" w:rsidRDefault="007077B6" w:rsidP="00AC0D72">
      <w:pPr>
        <w:jc w:val="both"/>
      </w:pPr>
    </w:p>
    <w:p w14:paraId="5732A9F1" w14:textId="7DF9B157" w:rsidR="00030D3C" w:rsidRPr="00B5691B" w:rsidRDefault="00B5691B" w:rsidP="00AC0D72">
      <w:pPr>
        <w:ind w:left="426" w:hanging="426"/>
        <w:jc w:val="both"/>
        <w:rPr>
          <w:b/>
          <w:bCs/>
        </w:rPr>
      </w:pPr>
      <w:r>
        <w:rPr>
          <w:b/>
          <w:bCs/>
        </w:rPr>
        <w:t xml:space="preserve">4. </w:t>
      </w:r>
      <w:r w:rsidR="00030D3C" w:rsidRPr="00B5691B">
        <w:rPr>
          <w:b/>
          <w:bCs/>
        </w:rPr>
        <w:t xml:space="preserve">VISITA </w:t>
      </w:r>
      <w:r w:rsidR="00030D3C" w:rsidRPr="004A028D">
        <w:rPr>
          <w:b/>
          <w:bCs/>
          <w:i/>
          <w:iCs/>
        </w:rPr>
        <w:t>IN LOCO</w:t>
      </w:r>
      <w:r w:rsidR="00030D3C" w:rsidRPr="00B5691B">
        <w:rPr>
          <w:b/>
          <w:bCs/>
        </w:rPr>
        <w:t xml:space="preserve"> A ESTABELECIMENTO DE SAÚDE COM FOCO EM SAÚDE DIGITAL</w:t>
      </w:r>
    </w:p>
    <w:p w14:paraId="5DAF076A" w14:textId="2B0801EC" w:rsidR="001B72AA" w:rsidRPr="001B72AA" w:rsidRDefault="001B72AA" w:rsidP="001B72AA">
      <w:pPr>
        <w:spacing w:before="240" w:after="240"/>
        <w:jc w:val="both"/>
      </w:pPr>
      <w:r w:rsidRPr="001B72AA">
        <w:t>Foi realizada visita</w:t>
      </w:r>
      <w:r w:rsidR="0034319B">
        <w:t xml:space="preserve"> técnica</w:t>
      </w:r>
      <w:r w:rsidRPr="001B72AA">
        <w:t xml:space="preserve"> ao Hospital Universitário de Brasília (HUB), ocasião em que houve uma ampla apresentação da instituição, de sua equipe e das principais iniciativas em andamento, incluindo centros de pesquisa, salas de aula realísticas e instalações voltadas à saúde digital. O HUB, com 53 anos de existência, integra a rede de 45 hospitais universitários federais, organizada em quatro níveis de atenção e fortemente conectada à saúde primária. Trata-se de um hospital de ensino, que desempenha papel estratégico tanto na assistência quanto na formação profissional. Atualmente, mais de seis mil usuários da rede utilizam os sistemas do hospital.</w:t>
      </w:r>
    </w:p>
    <w:p w14:paraId="1EBC4E8B" w14:textId="77777777" w:rsidR="001B72AA" w:rsidRPr="00AC0D72" w:rsidRDefault="001B72AA" w:rsidP="001B72AA">
      <w:pPr>
        <w:spacing w:before="240" w:after="240"/>
        <w:jc w:val="both"/>
      </w:pPr>
      <w:r w:rsidRPr="001B72AA">
        <w:t xml:space="preserve">Entre os destaques, foi apresentada a principal ferramenta tecnológica da rede, o </w:t>
      </w:r>
      <w:proofErr w:type="spellStart"/>
      <w:r w:rsidRPr="00AC0D72">
        <w:t>AGHUx</w:t>
      </w:r>
      <w:proofErr w:type="spellEnd"/>
      <w:r w:rsidRPr="00AC0D72">
        <w:t>,</w:t>
      </w:r>
      <w:r w:rsidRPr="001B72AA">
        <w:t xml:space="preserve"> software público e de código aberto utilizado pelos 45 hospitais universitários, que já reúne cerca de 28 milhões de prontuários eletrônicos. O sistema encontra-se integrado à </w:t>
      </w:r>
      <w:r w:rsidRPr="00AC0D72">
        <w:t>Rede Nacional de Dados em Saúde (RNDS), por meio da iniciativa HU Digital, que viabiliza a interoperabilidade entre os hospitais universitários federais. Também foi ressaltada a infraestrutura tecnológica robusta do HUB, composta por datacenter em contêiner, internet de alta velocidade e parque tecnológico em expansão. O hospital tem investido no desenvolvimento de soluções próprias, como o sistema INTEGRA, além de projetos institucionais de saúde digital, entre os quais se destacam o hospital sem papel, o hospital inteligente (HUB 4.0), o laboratório de inovação em saúde, e o AGHU-STT, voltado à telemedicina e à telessaúde.</w:t>
      </w:r>
    </w:p>
    <w:p w14:paraId="391DE697" w14:textId="77777777" w:rsidR="001B72AA" w:rsidRPr="00AC0D72" w:rsidRDefault="001B72AA" w:rsidP="001B72AA">
      <w:pPr>
        <w:spacing w:before="240" w:after="240"/>
        <w:jc w:val="both"/>
      </w:pPr>
      <w:r w:rsidRPr="00AC0D72">
        <w:t>No campo da telessaúde, a instituição vem estruturando diferentes frentes, priorizando especialidades com grandes filas de espera no Distrito Federal. Está prevista a abertura de 15 pontos de atendimento, em articulação com o Programa de Educação pelo Trabalho para a Saúde (PET-Saúde). Destacou-se que o marco para a telessaúde no HUB foi a pandemia de COVID-19, em 2020, quando entrou em vigor a Lei nº 13.989, que regulamentou a telemedicina no Brasil. Desde então, foram instituídas portarias internas e fluxos de trabalho para assegurar a qualidade e a segurança dos serviços.</w:t>
      </w:r>
    </w:p>
    <w:p w14:paraId="4B23FC42" w14:textId="77777777" w:rsidR="001B72AA" w:rsidRPr="00AC0D72" w:rsidRDefault="001B72AA" w:rsidP="001B72AA">
      <w:pPr>
        <w:spacing w:before="240" w:after="240"/>
        <w:jc w:val="both"/>
      </w:pPr>
      <w:r w:rsidRPr="00AC0D72">
        <w:t xml:space="preserve">O PET-Saúde foi apresentado como programa estratégico, atualmente mobilizando 16 grupos de trabalho que envolvem sete faculdades. Entre os principais </w:t>
      </w:r>
      <w:proofErr w:type="spellStart"/>
      <w:r w:rsidRPr="00AC0D72">
        <w:t>GTs</w:t>
      </w:r>
      <w:proofErr w:type="spellEnd"/>
      <w:r w:rsidRPr="00AC0D72">
        <w:t xml:space="preserve"> em andamento, destacam-se: o GT 4, dedicado à </w:t>
      </w:r>
      <w:proofErr w:type="spellStart"/>
      <w:r w:rsidRPr="00AC0D72">
        <w:t>teleeducação</w:t>
      </w:r>
      <w:proofErr w:type="spellEnd"/>
      <w:r w:rsidRPr="00AC0D72">
        <w:t xml:space="preserve"> e à educação permanente; o GT 8, voltado ao ambulatório de saúde integral; o GT 9, que trata da conectividade na assistência; e o GT 11, direcionado à </w:t>
      </w:r>
      <w:proofErr w:type="spellStart"/>
      <w:r w:rsidRPr="00AC0D72">
        <w:t>teleregulação</w:t>
      </w:r>
      <w:proofErr w:type="spellEnd"/>
      <w:r w:rsidRPr="00AC0D72">
        <w:t xml:space="preserve"> no SUS, com foco na qualificação de filas e protocolos. Foi ainda sublinhada a relevância do letramento digital em saúde, tanto para pacientes quanto para profissionais, como forma de reduzir barreiras no uso de sistemas digitais.</w:t>
      </w:r>
    </w:p>
    <w:p w14:paraId="3E913BCE" w14:textId="77777777" w:rsidR="001B72AA" w:rsidRPr="001B72AA" w:rsidRDefault="001B72AA" w:rsidP="001B72AA">
      <w:pPr>
        <w:spacing w:before="240" w:after="240"/>
        <w:jc w:val="both"/>
      </w:pPr>
      <w:r w:rsidRPr="00AC0D72">
        <w:t xml:space="preserve">Outro ponto de grande relevância foi a inauguração, pela Universidade de Brasília em parceria com a Intel, do Supercomputador LMI </w:t>
      </w:r>
      <w:proofErr w:type="spellStart"/>
      <w:r w:rsidRPr="00AC0D72">
        <w:t>Sup</w:t>
      </w:r>
      <w:proofErr w:type="spellEnd"/>
      <w:r w:rsidRPr="00AC0D72">
        <w:t xml:space="preserve">, com capacidade de processar um quatrilhão de </w:t>
      </w:r>
      <w:proofErr w:type="spellStart"/>
      <w:r w:rsidRPr="00AC0D72">
        <w:t>teraflops</w:t>
      </w:r>
      <w:proofErr w:type="spellEnd"/>
      <w:r w:rsidRPr="00AC0D72">
        <w:t xml:space="preserve"> por segundo. Na ocasião, foi também lançado o primeiro edital para utilização do equipamento por pesquisadores. Essa conquista foi ressaltada como fundamental para a soberania nacional, ao reduzir a dependência de grandes</w:t>
      </w:r>
      <w:r w:rsidRPr="001B72AA">
        <w:t xml:space="preserve"> </w:t>
      </w:r>
      <w:r w:rsidRPr="001B72AA">
        <w:lastRenderedPageBreak/>
        <w:t>corporações tecnológicas e garantir que dados estratégicos permaneçam em território brasileiro.</w:t>
      </w:r>
    </w:p>
    <w:p w14:paraId="64B020C8" w14:textId="04F55880" w:rsidR="001B72AA" w:rsidRDefault="001B72AA" w:rsidP="00AC0D72">
      <w:pPr>
        <w:jc w:val="both"/>
      </w:pPr>
      <w:r w:rsidRPr="001B72AA">
        <w:t xml:space="preserve">Por fim, registrou-se que o HUB </w:t>
      </w:r>
      <w:r w:rsidR="00AD3079" w:rsidRPr="001B72AA">
        <w:t>se encontra</w:t>
      </w:r>
      <w:r w:rsidRPr="001B72AA">
        <w:t xml:space="preserve"> em processo de estruturação de um núcleo de inteligência artificial em saúde, aliado à implementação de uma sala de situação para monitoramento de indicadores. Todas essas iniciativas convergem para a consolidação do conceito de </w:t>
      </w:r>
      <w:r w:rsidRPr="00AC0D72">
        <w:t>hospital 4.0, fortalecendo</w:t>
      </w:r>
      <w:r w:rsidRPr="001B72AA">
        <w:t xml:space="preserve"> o HUB como centro de referência em inovação, telessaúde e formação em cirurgia robótica no Brasil.</w:t>
      </w:r>
    </w:p>
    <w:p w14:paraId="608E5738" w14:textId="77777777" w:rsidR="00AC0D72" w:rsidRDefault="00AC0D72" w:rsidP="00AC0D72">
      <w:pPr>
        <w:jc w:val="both"/>
      </w:pPr>
    </w:p>
    <w:p w14:paraId="6C4F5FF4" w14:textId="77777777" w:rsidR="00AC0D72" w:rsidRPr="001B72AA" w:rsidRDefault="00AC0D72" w:rsidP="00AC0D72">
      <w:pPr>
        <w:jc w:val="both"/>
      </w:pPr>
    </w:p>
    <w:p w14:paraId="710865B2" w14:textId="25F5311F" w:rsidR="00030D3C" w:rsidRDefault="00B5691B" w:rsidP="00AC0D72">
      <w:pPr>
        <w:ind w:left="426" w:hanging="426"/>
        <w:jc w:val="both"/>
        <w:rPr>
          <w:b/>
          <w:bCs/>
        </w:rPr>
      </w:pPr>
      <w:r w:rsidRPr="00B5691B">
        <w:rPr>
          <w:b/>
          <w:bCs/>
        </w:rPr>
        <w:t>5.</w:t>
      </w:r>
      <w:r w:rsidR="00AC0D72">
        <w:t xml:space="preserve"> </w:t>
      </w:r>
      <w:r w:rsidR="00030D3C" w:rsidRPr="00B5691B">
        <w:rPr>
          <w:b/>
          <w:bCs/>
        </w:rPr>
        <w:t>PROPOSTA DE DECLARAÇÃO PARA SUBMISSÃO AO COMITÊ COORDENADOR E POSTERIOR AVALIAÇÃO E APROVAÇÃO DOS SRS. MINISTROS D</w:t>
      </w:r>
      <w:r w:rsidR="00AC0D72">
        <w:rPr>
          <w:b/>
          <w:bCs/>
        </w:rPr>
        <w:t>A</w:t>
      </w:r>
      <w:r w:rsidR="00030D3C" w:rsidRPr="00B5691B">
        <w:rPr>
          <w:b/>
          <w:bCs/>
        </w:rPr>
        <w:t xml:space="preserve"> SAÚDE</w:t>
      </w:r>
    </w:p>
    <w:p w14:paraId="1857699D" w14:textId="77777777" w:rsidR="00AC0D72" w:rsidRPr="00B5691B" w:rsidRDefault="00AC0D72" w:rsidP="00AC0D72">
      <w:pPr>
        <w:ind w:left="426" w:hanging="426"/>
        <w:jc w:val="both"/>
      </w:pPr>
    </w:p>
    <w:p w14:paraId="261244F9" w14:textId="60B3CF57" w:rsidR="00947F9E" w:rsidRDefault="00030D3C" w:rsidP="00AC0D72">
      <w:pPr>
        <w:jc w:val="both"/>
      </w:pPr>
      <w:r w:rsidRPr="00B5691B">
        <w:t>As delegações acordaram</w:t>
      </w:r>
      <w:r w:rsidR="00557583">
        <w:t xml:space="preserve"> com </w:t>
      </w:r>
      <w:r w:rsidR="00AC0D72">
        <w:t>o projeto de</w:t>
      </w:r>
      <w:r w:rsidR="00557583">
        <w:t xml:space="preserve"> Declaração</w:t>
      </w:r>
      <w:r w:rsidR="00AC0D72">
        <w:t xml:space="preserve"> sobre Saúde Digital no MERCOSUL e levam à consideração do RMS-CC </w:t>
      </w:r>
      <w:r w:rsidR="00AC0D72" w:rsidRPr="007077B6">
        <w:rPr>
          <w:b/>
          <w:bCs/>
        </w:rPr>
        <w:t>(Anexo I</w:t>
      </w:r>
      <w:r w:rsidR="00AC0D72">
        <w:rPr>
          <w:b/>
          <w:bCs/>
        </w:rPr>
        <w:t>V</w:t>
      </w:r>
      <w:r w:rsidR="00AC0D72" w:rsidRPr="007077B6">
        <w:rPr>
          <w:b/>
          <w:bCs/>
        </w:rPr>
        <w:t>)</w:t>
      </w:r>
      <w:r w:rsidR="00AC0D72" w:rsidRPr="00B5691B">
        <w:t>.</w:t>
      </w:r>
    </w:p>
    <w:p w14:paraId="5819A793" w14:textId="77777777" w:rsidR="00AC0D72" w:rsidRDefault="00AC0D72" w:rsidP="00AC0D72">
      <w:pPr>
        <w:jc w:val="both"/>
      </w:pPr>
    </w:p>
    <w:p w14:paraId="5ACD6A3A" w14:textId="77777777" w:rsidR="00AC0D72" w:rsidRPr="00B5691B" w:rsidRDefault="00AC0D72" w:rsidP="00AC0D72">
      <w:pPr>
        <w:jc w:val="both"/>
      </w:pPr>
    </w:p>
    <w:p w14:paraId="25ECBA68" w14:textId="21E110FC" w:rsidR="00947F9E" w:rsidRDefault="005C1822" w:rsidP="00AC0D72">
      <w:pPr>
        <w:jc w:val="both"/>
        <w:rPr>
          <w:b/>
        </w:rPr>
      </w:pPr>
      <w:r w:rsidRPr="00B5691B">
        <w:rPr>
          <w:b/>
        </w:rPr>
        <w:t>LISTA DE ANEXOS</w:t>
      </w:r>
    </w:p>
    <w:p w14:paraId="2F47FE74" w14:textId="77777777" w:rsidR="00AC0D72" w:rsidRPr="00B5691B" w:rsidRDefault="00AC0D72" w:rsidP="00AC0D72">
      <w:pPr>
        <w:jc w:val="both"/>
        <w:rPr>
          <w:b/>
        </w:rPr>
      </w:pPr>
    </w:p>
    <w:p w14:paraId="05B7F93B" w14:textId="77777777" w:rsidR="00947F9E" w:rsidRDefault="005C1822" w:rsidP="00AC0D72">
      <w:pPr>
        <w:jc w:val="both"/>
      </w:pPr>
      <w:r w:rsidRPr="00B5691B">
        <w:t>Os Anexos que formam parte da presente Ata são os seguintes:</w:t>
      </w:r>
    </w:p>
    <w:p w14:paraId="37222CB4" w14:textId="77777777" w:rsidR="00AC0D72" w:rsidRPr="00B5691B" w:rsidRDefault="00AC0D72" w:rsidP="00AC0D72">
      <w:pPr>
        <w:jc w:val="both"/>
        <w:rPr>
          <w:b/>
        </w:rPr>
      </w:pPr>
    </w:p>
    <w:tbl>
      <w:tblPr>
        <w:tblStyle w:val="a"/>
        <w:tblW w:w="90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12"/>
        <w:gridCol w:w="7593"/>
      </w:tblGrid>
      <w:tr w:rsidR="00947F9E" w:rsidRPr="00B5691B" w14:paraId="0CB36513" w14:textId="77777777" w:rsidTr="00AC0D72">
        <w:trPr>
          <w:trHeight w:val="285"/>
        </w:trPr>
        <w:tc>
          <w:tcPr>
            <w:tcW w:w="141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DE110EA" w14:textId="77777777" w:rsidR="00947F9E" w:rsidRPr="00B5691B" w:rsidRDefault="005C1822" w:rsidP="00527A1F">
            <w:pPr>
              <w:jc w:val="both"/>
              <w:rPr>
                <w:b/>
              </w:rPr>
            </w:pPr>
            <w:r w:rsidRPr="00B5691B">
              <w:rPr>
                <w:b/>
              </w:rPr>
              <w:t>Anexo I</w:t>
            </w:r>
          </w:p>
        </w:tc>
        <w:tc>
          <w:tcPr>
            <w:tcW w:w="7593"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E52E1F6" w14:textId="77777777" w:rsidR="00947F9E" w:rsidRPr="00B5691B" w:rsidRDefault="005C1822" w:rsidP="00527A1F">
            <w:pPr>
              <w:jc w:val="both"/>
            </w:pPr>
            <w:r w:rsidRPr="00B5691B">
              <w:t>Lista de Participantes</w:t>
            </w:r>
          </w:p>
        </w:tc>
      </w:tr>
      <w:tr w:rsidR="00947F9E" w:rsidRPr="00B5691B" w14:paraId="71EF9FAC" w14:textId="77777777" w:rsidTr="00AC0D72">
        <w:trPr>
          <w:trHeight w:val="362"/>
        </w:trPr>
        <w:tc>
          <w:tcPr>
            <w:tcW w:w="1412"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939410C" w14:textId="77777777" w:rsidR="00947F9E" w:rsidRPr="00B5691B" w:rsidRDefault="005C1822" w:rsidP="00527A1F">
            <w:pPr>
              <w:jc w:val="both"/>
              <w:rPr>
                <w:b/>
              </w:rPr>
            </w:pPr>
            <w:r w:rsidRPr="00B5691B">
              <w:rPr>
                <w:b/>
              </w:rPr>
              <w:t>Anexo II</w:t>
            </w:r>
          </w:p>
        </w:tc>
        <w:tc>
          <w:tcPr>
            <w:tcW w:w="7593" w:type="dxa"/>
            <w:tcBorders>
              <w:top w:val="nil"/>
              <w:left w:val="nil"/>
              <w:bottom w:val="single" w:sz="5" w:space="0" w:color="000000"/>
              <w:right w:val="single" w:sz="5" w:space="0" w:color="000000"/>
            </w:tcBorders>
            <w:tcMar>
              <w:top w:w="0" w:type="dxa"/>
              <w:left w:w="100" w:type="dxa"/>
              <w:bottom w:w="0" w:type="dxa"/>
              <w:right w:w="100" w:type="dxa"/>
            </w:tcMar>
          </w:tcPr>
          <w:p w14:paraId="04815D94" w14:textId="77777777" w:rsidR="00947F9E" w:rsidRPr="00B5691B" w:rsidRDefault="005C1822" w:rsidP="00527A1F">
            <w:pPr>
              <w:jc w:val="both"/>
            </w:pPr>
            <w:r w:rsidRPr="00B5691B">
              <w:t>Agenda</w:t>
            </w:r>
          </w:p>
        </w:tc>
      </w:tr>
      <w:tr w:rsidR="00947F9E" w:rsidRPr="00B5691B" w14:paraId="34F0B218" w14:textId="77777777" w:rsidTr="00AC0D72">
        <w:trPr>
          <w:trHeight w:val="285"/>
        </w:trPr>
        <w:tc>
          <w:tcPr>
            <w:tcW w:w="1412"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0CD906F" w14:textId="77777777" w:rsidR="00947F9E" w:rsidRPr="00B5691B" w:rsidRDefault="005C1822" w:rsidP="00527A1F">
            <w:pPr>
              <w:jc w:val="both"/>
              <w:rPr>
                <w:b/>
              </w:rPr>
            </w:pPr>
            <w:r w:rsidRPr="00B5691B">
              <w:rPr>
                <w:b/>
              </w:rPr>
              <w:t>Anexo III</w:t>
            </w:r>
          </w:p>
        </w:tc>
        <w:tc>
          <w:tcPr>
            <w:tcW w:w="7593" w:type="dxa"/>
            <w:tcBorders>
              <w:top w:val="nil"/>
              <w:left w:val="nil"/>
              <w:bottom w:val="single" w:sz="5" w:space="0" w:color="000000"/>
              <w:right w:val="single" w:sz="5" w:space="0" w:color="000000"/>
            </w:tcBorders>
            <w:tcMar>
              <w:top w:w="0" w:type="dxa"/>
              <w:left w:w="100" w:type="dxa"/>
              <w:bottom w:w="0" w:type="dxa"/>
              <w:right w:w="100" w:type="dxa"/>
            </w:tcMar>
          </w:tcPr>
          <w:p w14:paraId="392AAB0C" w14:textId="629ACDFA" w:rsidR="00947F9E" w:rsidRPr="00B5691B" w:rsidRDefault="00AC0D72" w:rsidP="00527A1F">
            <w:pPr>
              <w:jc w:val="both"/>
            </w:pPr>
            <w:r>
              <w:t>Programa de Trabalho 2025 - 2026</w:t>
            </w:r>
          </w:p>
        </w:tc>
      </w:tr>
      <w:tr w:rsidR="00947F9E" w:rsidRPr="00B5691B" w14:paraId="1CF609E5" w14:textId="77777777" w:rsidTr="00AC0D72">
        <w:trPr>
          <w:trHeight w:val="285"/>
        </w:trPr>
        <w:tc>
          <w:tcPr>
            <w:tcW w:w="1412"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0ED082E" w14:textId="77777777" w:rsidR="00947F9E" w:rsidRPr="00B5691B" w:rsidRDefault="005C1822" w:rsidP="00527A1F">
            <w:pPr>
              <w:jc w:val="both"/>
              <w:rPr>
                <w:b/>
              </w:rPr>
            </w:pPr>
            <w:r w:rsidRPr="00B5691B">
              <w:rPr>
                <w:b/>
              </w:rPr>
              <w:t>Anexo IV</w:t>
            </w:r>
          </w:p>
        </w:tc>
        <w:tc>
          <w:tcPr>
            <w:tcW w:w="7593" w:type="dxa"/>
            <w:tcBorders>
              <w:top w:val="nil"/>
              <w:left w:val="nil"/>
              <w:bottom w:val="single" w:sz="5" w:space="0" w:color="000000"/>
              <w:right w:val="single" w:sz="5" w:space="0" w:color="000000"/>
            </w:tcBorders>
            <w:tcMar>
              <w:top w:w="0" w:type="dxa"/>
              <w:left w:w="100" w:type="dxa"/>
              <w:bottom w:w="0" w:type="dxa"/>
              <w:right w:w="100" w:type="dxa"/>
            </w:tcMar>
          </w:tcPr>
          <w:p w14:paraId="705F8ECC" w14:textId="432E6F76" w:rsidR="00947F9E" w:rsidRPr="00AC0D72" w:rsidRDefault="00AC0D72" w:rsidP="00527A1F">
            <w:pPr>
              <w:jc w:val="both"/>
            </w:pPr>
            <w:r>
              <w:t xml:space="preserve">Projeto de Declaração sobre Saúde Digital no MERCOSUL e levam à consideração do RMS-CC </w:t>
            </w:r>
          </w:p>
        </w:tc>
      </w:tr>
    </w:tbl>
    <w:p w14:paraId="5DACC26B" w14:textId="1F3C2705" w:rsidR="00947F9E" w:rsidRPr="00B5691B" w:rsidRDefault="005C1822" w:rsidP="00B5691B">
      <w:pPr>
        <w:spacing w:before="240"/>
        <w:jc w:val="both"/>
        <w:rPr>
          <w:b/>
        </w:rPr>
      </w:pPr>
      <w:r w:rsidRPr="00B5691B">
        <w:rPr>
          <w:b/>
        </w:rPr>
        <w:t xml:space="preserve"> </w:t>
      </w:r>
    </w:p>
    <w:p w14:paraId="47AB7C42" w14:textId="77777777" w:rsidR="00947F9E" w:rsidRPr="00B5691B" w:rsidRDefault="00947F9E" w:rsidP="00B5691B">
      <w:pPr>
        <w:spacing w:before="240"/>
        <w:jc w:val="both"/>
        <w:rPr>
          <w:b/>
        </w:rPr>
      </w:pPr>
    </w:p>
    <w:p w14:paraId="18CAC459" w14:textId="77777777" w:rsidR="00947F9E" w:rsidRPr="00B5691B" w:rsidRDefault="00947F9E" w:rsidP="00B5691B">
      <w:pPr>
        <w:widowControl w:val="0"/>
        <w:spacing w:line="200" w:lineRule="auto"/>
        <w:jc w:val="both"/>
      </w:pPr>
    </w:p>
    <w:tbl>
      <w:tblPr>
        <w:tblStyle w:val="a0"/>
        <w:tblW w:w="9322" w:type="dxa"/>
        <w:jc w:val="center"/>
        <w:tblInd w:w="0" w:type="dxa"/>
        <w:tblLayout w:type="fixed"/>
        <w:tblLook w:val="0400" w:firstRow="0" w:lastRow="0" w:firstColumn="0" w:lastColumn="0" w:noHBand="0" w:noVBand="1"/>
      </w:tblPr>
      <w:tblGrid>
        <w:gridCol w:w="4786"/>
        <w:gridCol w:w="4536"/>
      </w:tblGrid>
      <w:tr w:rsidR="00947F9E" w:rsidRPr="00B5691B" w14:paraId="2CA02208" w14:textId="77777777" w:rsidTr="00527A1F">
        <w:trPr>
          <w:jc w:val="center"/>
        </w:trPr>
        <w:tc>
          <w:tcPr>
            <w:tcW w:w="4786" w:type="dxa"/>
          </w:tcPr>
          <w:p w14:paraId="35DB520A" w14:textId="6961CA01" w:rsidR="00947F9E" w:rsidRPr="00B5691B" w:rsidRDefault="00947F9E" w:rsidP="00B5691B">
            <w:pPr>
              <w:pBdr>
                <w:bottom w:val="single" w:sz="12" w:space="1" w:color="000000"/>
              </w:pBdr>
              <w:jc w:val="both"/>
            </w:pPr>
          </w:p>
          <w:p w14:paraId="39E71CF4" w14:textId="77777777" w:rsidR="00947F9E" w:rsidRPr="00B5691B" w:rsidRDefault="005C1822" w:rsidP="00527A1F">
            <w:pPr>
              <w:jc w:val="center"/>
              <w:rPr>
                <w:b/>
              </w:rPr>
            </w:pPr>
            <w:r w:rsidRPr="00B5691B">
              <w:rPr>
                <w:b/>
              </w:rPr>
              <w:t>Pela delegação da Argentina</w:t>
            </w:r>
          </w:p>
          <w:p w14:paraId="724E95E1" w14:textId="24128F70" w:rsidR="00947F9E" w:rsidRPr="00B5691B" w:rsidRDefault="00557583" w:rsidP="00527A1F">
            <w:pPr>
              <w:ind w:firstLine="321"/>
              <w:jc w:val="center"/>
            </w:pPr>
            <w:r>
              <w:t xml:space="preserve">Susana </w:t>
            </w:r>
            <w:proofErr w:type="spellStart"/>
            <w:r>
              <w:t>Azurmendi</w:t>
            </w:r>
            <w:proofErr w:type="spellEnd"/>
          </w:p>
          <w:p w14:paraId="4BD8BF64" w14:textId="77777777" w:rsidR="00947F9E" w:rsidRPr="00B5691B" w:rsidRDefault="00947F9E" w:rsidP="00B5691B">
            <w:pPr>
              <w:jc w:val="both"/>
            </w:pPr>
          </w:p>
        </w:tc>
        <w:tc>
          <w:tcPr>
            <w:tcW w:w="4536" w:type="dxa"/>
          </w:tcPr>
          <w:p w14:paraId="55333379" w14:textId="77777777" w:rsidR="00947F9E" w:rsidRPr="00B5691B" w:rsidRDefault="00947F9E" w:rsidP="00B5691B">
            <w:pPr>
              <w:pBdr>
                <w:bottom w:val="single" w:sz="12" w:space="1" w:color="000000"/>
              </w:pBdr>
              <w:jc w:val="both"/>
            </w:pPr>
          </w:p>
          <w:p w14:paraId="284A8220" w14:textId="77777777" w:rsidR="00947F9E" w:rsidRPr="00B5691B" w:rsidRDefault="005C1822" w:rsidP="00527A1F">
            <w:pPr>
              <w:jc w:val="center"/>
              <w:rPr>
                <w:b/>
              </w:rPr>
            </w:pPr>
            <w:r w:rsidRPr="00B5691B">
              <w:rPr>
                <w:b/>
              </w:rPr>
              <w:t>Pela delegação do Brasil</w:t>
            </w:r>
          </w:p>
          <w:p w14:paraId="4D6EBEF2" w14:textId="634B3289" w:rsidR="00947F9E" w:rsidRPr="00B5691B" w:rsidRDefault="00A103C0" w:rsidP="00527A1F">
            <w:pPr>
              <w:jc w:val="center"/>
            </w:pPr>
            <w:r>
              <w:t>Ana Estela Haddad</w:t>
            </w:r>
          </w:p>
        </w:tc>
      </w:tr>
      <w:tr w:rsidR="00947F9E" w:rsidRPr="00B5691B" w14:paraId="2EE7ED0B" w14:textId="77777777" w:rsidTr="00527A1F">
        <w:trPr>
          <w:jc w:val="center"/>
        </w:trPr>
        <w:tc>
          <w:tcPr>
            <w:tcW w:w="4786" w:type="dxa"/>
          </w:tcPr>
          <w:p w14:paraId="164657C3" w14:textId="77777777" w:rsidR="00947F9E" w:rsidRPr="00B5691B" w:rsidRDefault="00947F9E" w:rsidP="00B5691B">
            <w:pPr>
              <w:jc w:val="both"/>
            </w:pPr>
          </w:p>
          <w:p w14:paraId="23A198ED" w14:textId="77777777" w:rsidR="00947F9E" w:rsidRPr="00B5691B" w:rsidRDefault="00947F9E" w:rsidP="00B5691B">
            <w:pPr>
              <w:pBdr>
                <w:bottom w:val="single" w:sz="12" w:space="1" w:color="000000"/>
              </w:pBdr>
              <w:jc w:val="both"/>
            </w:pPr>
          </w:p>
          <w:p w14:paraId="097481B6" w14:textId="1116B7E1" w:rsidR="00947F9E" w:rsidRPr="00B5691B" w:rsidRDefault="005C1822" w:rsidP="00527A1F">
            <w:pPr>
              <w:jc w:val="center"/>
              <w:rPr>
                <w:b/>
              </w:rPr>
            </w:pPr>
            <w:r w:rsidRPr="00B5691B">
              <w:rPr>
                <w:b/>
              </w:rPr>
              <w:t>Pela delegação do Paragua</w:t>
            </w:r>
            <w:r w:rsidR="003F211F">
              <w:rPr>
                <w:b/>
              </w:rPr>
              <w:t>i</w:t>
            </w:r>
          </w:p>
          <w:p w14:paraId="55A0CCC7" w14:textId="250408D4" w:rsidR="00947F9E" w:rsidRPr="00B5691B" w:rsidRDefault="00557583" w:rsidP="00527A1F">
            <w:pPr>
              <w:jc w:val="center"/>
            </w:pPr>
            <w:r>
              <w:t xml:space="preserve">Lourdes </w:t>
            </w:r>
            <w:proofErr w:type="spellStart"/>
            <w:r>
              <w:t>Drews</w:t>
            </w:r>
            <w:proofErr w:type="spellEnd"/>
          </w:p>
          <w:p w14:paraId="14DCC7D6" w14:textId="77777777" w:rsidR="00947F9E" w:rsidRPr="00B5691B" w:rsidRDefault="00947F9E" w:rsidP="00B5691B">
            <w:pPr>
              <w:jc w:val="both"/>
            </w:pPr>
          </w:p>
          <w:p w14:paraId="74EB128A" w14:textId="77777777" w:rsidR="00947F9E" w:rsidRPr="00B5691B" w:rsidRDefault="00947F9E" w:rsidP="00B5691B">
            <w:pPr>
              <w:jc w:val="both"/>
            </w:pPr>
          </w:p>
        </w:tc>
        <w:tc>
          <w:tcPr>
            <w:tcW w:w="4536" w:type="dxa"/>
          </w:tcPr>
          <w:p w14:paraId="79332201" w14:textId="77777777" w:rsidR="00947F9E" w:rsidRPr="00B5691B" w:rsidRDefault="00947F9E" w:rsidP="00B5691B">
            <w:pPr>
              <w:pBdr>
                <w:bottom w:val="single" w:sz="12" w:space="1" w:color="000000"/>
              </w:pBdr>
              <w:jc w:val="both"/>
            </w:pPr>
          </w:p>
          <w:p w14:paraId="39AC7387" w14:textId="77777777" w:rsidR="00947F9E" w:rsidRPr="00B5691B" w:rsidRDefault="00947F9E" w:rsidP="00B5691B">
            <w:pPr>
              <w:pBdr>
                <w:bottom w:val="single" w:sz="12" w:space="1" w:color="000000"/>
              </w:pBdr>
              <w:jc w:val="both"/>
            </w:pPr>
          </w:p>
          <w:p w14:paraId="27D8E2ED" w14:textId="1B25D6BA" w:rsidR="00947F9E" w:rsidRPr="00B5691B" w:rsidRDefault="005C1822" w:rsidP="00527A1F">
            <w:pPr>
              <w:jc w:val="center"/>
              <w:rPr>
                <w:b/>
              </w:rPr>
            </w:pPr>
            <w:r w:rsidRPr="00B5691B">
              <w:rPr>
                <w:b/>
              </w:rPr>
              <w:t>Pela delegação do Urugua</w:t>
            </w:r>
            <w:r w:rsidR="003F211F">
              <w:rPr>
                <w:b/>
              </w:rPr>
              <w:t>i</w:t>
            </w:r>
          </w:p>
          <w:p w14:paraId="4686729E" w14:textId="15AB6A26" w:rsidR="00947F9E" w:rsidRPr="00B5691B" w:rsidRDefault="005C1822" w:rsidP="00527A1F">
            <w:pPr>
              <w:jc w:val="center"/>
            </w:pPr>
            <w:r w:rsidRPr="00B5691B">
              <w:t>C</w:t>
            </w:r>
            <w:r w:rsidR="00557583">
              <w:t xml:space="preserve">atherine </w:t>
            </w:r>
            <w:proofErr w:type="spellStart"/>
            <w:r w:rsidR="00557583">
              <w:t>Ausqui</w:t>
            </w:r>
            <w:proofErr w:type="spellEnd"/>
          </w:p>
        </w:tc>
      </w:tr>
      <w:tr w:rsidR="00947F9E" w:rsidRPr="00B5691B" w14:paraId="38A4FE6D" w14:textId="77777777" w:rsidTr="00527A1F">
        <w:trPr>
          <w:trHeight w:val="151"/>
          <w:jc w:val="center"/>
        </w:trPr>
        <w:tc>
          <w:tcPr>
            <w:tcW w:w="4786" w:type="dxa"/>
          </w:tcPr>
          <w:p w14:paraId="6DC20E6F" w14:textId="53AD170E" w:rsidR="00947F9E" w:rsidRPr="00B5691B" w:rsidRDefault="00947F9E" w:rsidP="00B5691B">
            <w:pPr>
              <w:ind w:firstLine="321"/>
              <w:jc w:val="both"/>
              <w:rPr>
                <w:b/>
              </w:rPr>
            </w:pPr>
          </w:p>
          <w:p w14:paraId="48B0AFD6" w14:textId="77777777" w:rsidR="00947F9E" w:rsidRPr="00B5691B" w:rsidRDefault="00947F9E" w:rsidP="00B5691B">
            <w:pPr>
              <w:tabs>
                <w:tab w:val="left" w:pos="1316"/>
              </w:tabs>
              <w:jc w:val="both"/>
              <w:rPr>
                <w:highlight w:val="yellow"/>
              </w:rPr>
            </w:pPr>
          </w:p>
        </w:tc>
        <w:tc>
          <w:tcPr>
            <w:tcW w:w="4536" w:type="dxa"/>
          </w:tcPr>
          <w:p w14:paraId="3D5673CB" w14:textId="77777777" w:rsidR="00947F9E" w:rsidRPr="00B5691B" w:rsidRDefault="00947F9E" w:rsidP="00B5691B">
            <w:pPr>
              <w:ind w:firstLine="321"/>
              <w:jc w:val="both"/>
              <w:rPr>
                <w:highlight w:val="white"/>
              </w:rPr>
            </w:pPr>
          </w:p>
        </w:tc>
      </w:tr>
    </w:tbl>
    <w:p w14:paraId="2CC1609C" w14:textId="77777777" w:rsidR="00947F9E" w:rsidRPr="00B5691B" w:rsidRDefault="00947F9E" w:rsidP="00B5691B">
      <w:pPr>
        <w:widowControl w:val="0"/>
        <w:spacing w:before="3" w:line="110" w:lineRule="auto"/>
        <w:jc w:val="both"/>
      </w:pPr>
    </w:p>
    <w:p w14:paraId="11A3FF51" w14:textId="77777777" w:rsidR="00947F9E" w:rsidRPr="00B5691B" w:rsidRDefault="00947F9E" w:rsidP="00B5691B">
      <w:pPr>
        <w:spacing w:before="240"/>
        <w:jc w:val="both"/>
        <w:rPr>
          <w:b/>
        </w:rPr>
      </w:pPr>
    </w:p>
    <w:p w14:paraId="54C9D53E" w14:textId="77777777" w:rsidR="00947F9E" w:rsidRPr="00B5691B" w:rsidRDefault="00947F9E" w:rsidP="00B5691B">
      <w:pPr>
        <w:spacing w:before="240"/>
        <w:jc w:val="both"/>
        <w:rPr>
          <w:b/>
        </w:rPr>
      </w:pPr>
    </w:p>
    <w:p w14:paraId="5E0696F9" w14:textId="77777777" w:rsidR="00947F9E" w:rsidRPr="00B5691B" w:rsidRDefault="00947F9E" w:rsidP="00B5691B">
      <w:pPr>
        <w:spacing w:before="240"/>
        <w:jc w:val="both"/>
        <w:rPr>
          <w:b/>
        </w:rPr>
      </w:pPr>
    </w:p>
    <w:p w14:paraId="3DDAAB12" w14:textId="77777777" w:rsidR="00947F9E" w:rsidRPr="00B5691B" w:rsidRDefault="005C1822" w:rsidP="00B5691B">
      <w:pPr>
        <w:jc w:val="both"/>
      </w:pPr>
      <w:r w:rsidRPr="00B5691B">
        <w:t xml:space="preserve"> </w:t>
      </w:r>
    </w:p>
    <w:sectPr w:rsidR="00947F9E" w:rsidRPr="00B5691B" w:rsidSect="00C87D4B">
      <w:headerReference w:type="default" r:id="rId11"/>
      <w:footerReference w:type="default" r:id="rId12"/>
      <w:headerReference w:type="first" r:id="rId13"/>
      <w:pgSz w:w="11900" w:h="16840"/>
      <w:pgMar w:top="1580" w:right="1127" w:bottom="280" w:left="1580" w:header="0" w:footer="4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B90EE" w14:textId="77777777" w:rsidR="00BE0263" w:rsidRDefault="00BE0263">
      <w:r>
        <w:separator/>
      </w:r>
    </w:p>
  </w:endnote>
  <w:endnote w:type="continuationSeparator" w:id="0">
    <w:p w14:paraId="6B0697A0" w14:textId="77777777" w:rsidR="00BE0263" w:rsidRDefault="00BE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886235"/>
      <w:docPartObj>
        <w:docPartGallery w:val="Page Numbers (Bottom of Page)"/>
        <w:docPartUnique/>
      </w:docPartObj>
    </w:sdtPr>
    <w:sdtEndPr/>
    <w:sdtContent>
      <w:p w14:paraId="2D3B893B" w14:textId="2A0C0918" w:rsidR="00527A1F" w:rsidRDefault="00527A1F">
        <w:pPr>
          <w:pStyle w:val="Rodap"/>
          <w:jc w:val="right"/>
        </w:pPr>
        <w:r>
          <w:fldChar w:fldCharType="begin"/>
        </w:r>
        <w:r>
          <w:instrText>PAGE   \* MERGEFORMAT</w:instrText>
        </w:r>
        <w:r>
          <w:fldChar w:fldCharType="separate"/>
        </w:r>
        <w:r>
          <w:rPr>
            <w:lang w:val="es-ES"/>
          </w:rPr>
          <w:t>2</w:t>
        </w:r>
        <w:r>
          <w:fldChar w:fldCharType="end"/>
        </w:r>
      </w:p>
    </w:sdtContent>
  </w:sdt>
  <w:p w14:paraId="407868BF" w14:textId="13473150" w:rsidR="00947F9E" w:rsidRDefault="00947F9E">
    <w:pPr>
      <w:widowControl w:val="0"/>
      <w:spacing w:line="200" w:lineRule="auto"/>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36873" w14:textId="77777777" w:rsidR="00BE0263" w:rsidRDefault="00BE0263">
      <w:r>
        <w:separator/>
      </w:r>
    </w:p>
  </w:footnote>
  <w:footnote w:type="continuationSeparator" w:id="0">
    <w:p w14:paraId="1A2CBBD8" w14:textId="77777777" w:rsidR="00BE0263" w:rsidRDefault="00BE0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4E9E1" w14:textId="34A1F476" w:rsidR="00947F9E" w:rsidRDefault="005C1822">
    <w:pPr>
      <w:widowControl w:val="0"/>
      <w:pBdr>
        <w:top w:val="nil"/>
        <w:left w:val="nil"/>
        <w:bottom w:val="nil"/>
        <w:right w:val="nil"/>
        <w:between w:val="nil"/>
      </w:pBdr>
      <w:tabs>
        <w:tab w:val="center" w:pos="4252"/>
        <w:tab w:val="right" w:pos="8504"/>
      </w:tabs>
      <w:rPr>
        <w:color w:val="000000"/>
      </w:rPr>
    </w:pPr>
    <w:r>
      <w:rPr>
        <w:noProof/>
        <w:color w:val="000000"/>
        <w:sz w:val="11"/>
        <w:szCs w:val="11"/>
        <w:lang w:eastAsia="pt-BR"/>
      </w:rPr>
      <w:drawing>
        <wp:anchor distT="0" distB="0" distL="0" distR="0" simplePos="0" relativeHeight="251658240" behindDoc="1" locked="0" layoutInCell="1" hidden="0" allowOverlap="1" wp14:anchorId="0BA2F5FF" wp14:editId="05C3EF3D">
          <wp:simplePos x="0" y="0"/>
          <wp:positionH relativeFrom="margin">
            <wp:posOffset>-609599</wp:posOffset>
          </wp:positionH>
          <wp:positionV relativeFrom="margin">
            <wp:align>center</wp:align>
          </wp:positionV>
          <wp:extent cx="6498590" cy="3940175"/>
          <wp:effectExtent l="0" t="0" r="0" b="0"/>
          <wp:wrapNone/>
          <wp:docPr id="174667721" name="image4.png" descr="LogoMERCOSUR-Principal_45"/>
          <wp:cNvGraphicFramePr/>
          <a:graphic xmlns:a="http://schemas.openxmlformats.org/drawingml/2006/main">
            <a:graphicData uri="http://schemas.openxmlformats.org/drawingml/2006/picture">
              <pic:pic xmlns:pic="http://schemas.openxmlformats.org/drawingml/2006/picture">
                <pic:nvPicPr>
                  <pic:cNvPr id="0" name="image4.png" descr="LogoMERCOSUR-Principal_45"/>
                  <pic:cNvPicPr preferRelativeResize="0"/>
                </pic:nvPicPr>
                <pic:blipFill>
                  <a:blip r:embed="rId1"/>
                  <a:srcRect/>
                  <a:stretch>
                    <a:fillRect/>
                  </a:stretch>
                </pic:blipFill>
                <pic:spPr>
                  <a:xfrm>
                    <a:off x="0" y="0"/>
                    <a:ext cx="6498590" cy="3940175"/>
                  </a:xfrm>
                  <a:prstGeom prst="rect">
                    <a:avLst/>
                  </a:prstGeom>
                  <a:ln/>
                </pic:spPr>
              </pic:pic>
            </a:graphicData>
          </a:graphic>
        </wp:anchor>
      </w:drawing>
    </w: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08FB" w14:textId="6AC6FD0C" w:rsidR="00947F9E" w:rsidRDefault="00527A1F">
    <w:pPr>
      <w:widowControl w:val="0"/>
      <w:pBdr>
        <w:top w:val="nil"/>
        <w:left w:val="nil"/>
        <w:bottom w:val="nil"/>
        <w:right w:val="nil"/>
        <w:between w:val="nil"/>
      </w:pBdr>
      <w:tabs>
        <w:tab w:val="center" w:pos="4252"/>
        <w:tab w:val="right" w:pos="8504"/>
      </w:tabs>
      <w:rPr>
        <w:color w:val="000000"/>
      </w:rPr>
    </w:pPr>
    <w:r>
      <w:rPr>
        <w:noProof/>
        <w:color w:val="000000"/>
      </w:rPr>
      <w:drawing>
        <wp:anchor distT="0" distB="0" distL="114300" distR="114300" simplePos="0" relativeHeight="251661312" behindDoc="0" locked="0" layoutInCell="0" allowOverlap="1" wp14:anchorId="1C6E908F" wp14:editId="235ABB0F">
          <wp:simplePos x="0" y="0"/>
          <wp:positionH relativeFrom="margin">
            <wp:posOffset>3810</wp:posOffset>
          </wp:positionH>
          <wp:positionV relativeFrom="margin">
            <wp:posOffset>-829945</wp:posOffset>
          </wp:positionV>
          <wp:extent cx="1186180" cy="748030"/>
          <wp:effectExtent l="0" t="0" r="0" b="0"/>
          <wp:wrapSquare wrapText="bothSides"/>
          <wp:docPr id="193353015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180" cy="748030"/>
                  </a:xfrm>
                  <a:prstGeom prst="rect">
                    <a:avLst/>
                  </a:prstGeom>
                  <a:noFill/>
                </pic:spPr>
              </pic:pic>
            </a:graphicData>
          </a:graphic>
          <wp14:sizeRelH relativeFrom="page">
            <wp14:pctWidth>0</wp14:pctWidth>
          </wp14:sizeRelH>
          <wp14:sizeRelV relativeFrom="page">
            <wp14:pctHeight>0</wp14:pctHeight>
          </wp14:sizeRelV>
        </wp:anchor>
      </w:drawing>
    </w:r>
    <w:r w:rsidR="005C1822">
      <w:rPr>
        <w:color w:val="000000"/>
      </w:rPr>
      <w:t xml:space="preserve">                                                                                                                                     </w:t>
    </w:r>
    <w:r>
      <w:rPr>
        <w:noProof/>
        <w:color w:val="000000"/>
      </w:rPr>
      <w:drawing>
        <wp:inline distT="0" distB="0" distL="0" distR="0" wp14:anchorId="58AC788B" wp14:editId="13DCA819">
          <wp:extent cx="1193800" cy="762000"/>
          <wp:effectExtent l="0" t="0" r="6350" b="0"/>
          <wp:docPr id="11597488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38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81DBC"/>
    <w:multiLevelType w:val="hybridMultilevel"/>
    <w:tmpl w:val="7270CE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0D7EE1"/>
    <w:multiLevelType w:val="multilevel"/>
    <w:tmpl w:val="92D0D6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A84AB4"/>
    <w:multiLevelType w:val="multilevel"/>
    <w:tmpl w:val="32BA582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304D453D"/>
    <w:multiLevelType w:val="hybridMultilevel"/>
    <w:tmpl w:val="D13EF80A"/>
    <w:lvl w:ilvl="0" w:tplc="1CB6F37C">
      <w:start w:val="1"/>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4711CE2"/>
    <w:multiLevelType w:val="hybridMultilevel"/>
    <w:tmpl w:val="F4C6EFD0"/>
    <w:lvl w:ilvl="0" w:tplc="1CB6F37C">
      <w:start w:val="1"/>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49335B7"/>
    <w:multiLevelType w:val="multilevel"/>
    <w:tmpl w:val="CE900C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ACB350E"/>
    <w:multiLevelType w:val="hybridMultilevel"/>
    <w:tmpl w:val="1034EB04"/>
    <w:lvl w:ilvl="0" w:tplc="EC8C42D4">
      <w:start w:val="1"/>
      <w:numFmt w:val="bullet"/>
      <w:lvlText w:val=""/>
      <w:lvlJc w:val="left"/>
      <w:pPr>
        <w:ind w:left="720" w:hanging="360"/>
      </w:pPr>
      <w:rPr>
        <w:rFonts w:ascii="Wingdings" w:eastAsia="Arial"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70C38B1"/>
    <w:multiLevelType w:val="hybridMultilevel"/>
    <w:tmpl w:val="C996099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654987094">
    <w:abstractNumId w:val="1"/>
  </w:num>
  <w:num w:numId="2" w16cid:durableId="219946937">
    <w:abstractNumId w:val="2"/>
  </w:num>
  <w:num w:numId="3" w16cid:durableId="1216551214">
    <w:abstractNumId w:val="5"/>
  </w:num>
  <w:num w:numId="4" w16cid:durableId="4130880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529181">
    <w:abstractNumId w:val="7"/>
  </w:num>
  <w:num w:numId="6" w16cid:durableId="1133206437">
    <w:abstractNumId w:val="4"/>
  </w:num>
  <w:num w:numId="7" w16cid:durableId="1135561388">
    <w:abstractNumId w:val="6"/>
  </w:num>
  <w:num w:numId="8" w16cid:durableId="1551845308">
    <w:abstractNumId w:val="3"/>
  </w:num>
  <w:num w:numId="9" w16cid:durableId="1169907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F9E"/>
    <w:rsid w:val="00030D3C"/>
    <w:rsid w:val="0003264C"/>
    <w:rsid w:val="00034297"/>
    <w:rsid w:val="0004427D"/>
    <w:rsid w:val="00063FBD"/>
    <w:rsid w:val="0008037F"/>
    <w:rsid w:val="00087EF7"/>
    <w:rsid w:val="000A109B"/>
    <w:rsid w:val="000B4073"/>
    <w:rsid w:val="000D5E54"/>
    <w:rsid w:val="0015499C"/>
    <w:rsid w:val="00162478"/>
    <w:rsid w:val="0016360B"/>
    <w:rsid w:val="001B72AA"/>
    <w:rsid w:val="00211C06"/>
    <w:rsid w:val="00215307"/>
    <w:rsid w:val="00262012"/>
    <w:rsid w:val="0026703E"/>
    <w:rsid w:val="002738DE"/>
    <w:rsid w:val="002A11F9"/>
    <w:rsid w:val="002A3948"/>
    <w:rsid w:val="002C68A0"/>
    <w:rsid w:val="002D67FD"/>
    <w:rsid w:val="002F7339"/>
    <w:rsid w:val="00306FF9"/>
    <w:rsid w:val="003307AA"/>
    <w:rsid w:val="0034319B"/>
    <w:rsid w:val="00374B09"/>
    <w:rsid w:val="00394B8E"/>
    <w:rsid w:val="003B3F0B"/>
    <w:rsid w:val="003B690E"/>
    <w:rsid w:val="003D1084"/>
    <w:rsid w:val="003E23BB"/>
    <w:rsid w:val="003F211F"/>
    <w:rsid w:val="00425B40"/>
    <w:rsid w:val="00445D7E"/>
    <w:rsid w:val="00461885"/>
    <w:rsid w:val="004718C0"/>
    <w:rsid w:val="00474D5D"/>
    <w:rsid w:val="004966DD"/>
    <w:rsid w:val="004A028D"/>
    <w:rsid w:val="004A2CD2"/>
    <w:rsid w:val="004B2B37"/>
    <w:rsid w:val="004C28B2"/>
    <w:rsid w:val="004D1B8F"/>
    <w:rsid w:val="004D654F"/>
    <w:rsid w:val="004D6BA8"/>
    <w:rsid w:val="004E1164"/>
    <w:rsid w:val="004E156B"/>
    <w:rsid w:val="004F79C7"/>
    <w:rsid w:val="00527A1F"/>
    <w:rsid w:val="005303D5"/>
    <w:rsid w:val="00557583"/>
    <w:rsid w:val="00566FB9"/>
    <w:rsid w:val="00583066"/>
    <w:rsid w:val="005B09C9"/>
    <w:rsid w:val="005B4374"/>
    <w:rsid w:val="005C1822"/>
    <w:rsid w:val="005D62B7"/>
    <w:rsid w:val="005D7CA4"/>
    <w:rsid w:val="00624D51"/>
    <w:rsid w:val="0062536A"/>
    <w:rsid w:val="006274BE"/>
    <w:rsid w:val="0065092E"/>
    <w:rsid w:val="00662617"/>
    <w:rsid w:val="0069512C"/>
    <w:rsid w:val="006A4035"/>
    <w:rsid w:val="006A4D07"/>
    <w:rsid w:val="006C23A7"/>
    <w:rsid w:val="006C7F7A"/>
    <w:rsid w:val="006E495E"/>
    <w:rsid w:val="007077B6"/>
    <w:rsid w:val="00726573"/>
    <w:rsid w:val="007274F6"/>
    <w:rsid w:val="0074492A"/>
    <w:rsid w:val="007518C6"/>
    <w:rsid w:val="00753EB6"/>
    <w:rsid w:val="00762725"/>
    <w:rsid w:val="00766778"/>
    <w:rsid w:val="00776566"/>
    <w:rsid w:val="00776F13"/>
    <w:rsid w:val="00787719"/>
    <w:rsid w:val="00790EEA"/>
    <w:rsid w:val="007D1FFE"/>
    <w:rsid w:val="007E7ACE"/>
    <w:rsid w:val="00834E1C"/>
    <w:rsid w:val="00853E1D"/>
    <w:rsid w:val="0086643D"/>
    <w:rsid w:val="008746B2"/>
    <w:rsid w:val="00885B2F"/>
    <w:rsid w:val="008C7766"/>
    <w:rsid w:val="008E2295"/>
    <w:rsid w:val="008E4543"/>
    <w:rsid w:val="008E491F"/>
    <w:rsid w:val="008E5C8F"/>
    <w:rsid w:val="0090551C"/>
    <w:rsid w:val="00943886"/>
    <w:rsid w:val="00947F9E"/>
    <w:rsid w:val="00965204"/>
    <w:rsid w:val="009916A9"/>
    <w:rsid w:val="009C31DD"/>
    <w:rsid w:val="009C5E49"/>
    <w:rsid w:val="009D2112"/>
    <w:rsid w:val="009D4AD7"/>
    <w:rsid w:val="00A012C4"/>
    <w:rsid w:val="00A103C0"/>
    <w:rsid w:val="00A1511E"/>
    <w:rsid w:val="00A50525"/>
    <w:rsid w:val="00A950A3"/>
    <w:rsid w:val="00A9741B"/>
    <w:rsid w:val="00AC0D72"/>
    <w:rsid w:val="00AC1865"/>
    <w:rsid w:val="00AC1D8C"/>
    <w:rsid w:val="00AC4702"/>
    <w:rsid w:val="00AC7E93"/>
    <w:rsid w:val="00AD05D0"/>
    <w:rsid w:val="00AD176E"/>
    <w:rsid w:val="00AD3079"/>
    <w:rsid w:val="00B04366"/>
    <w:rsid w:val="00B05C2A"/>
    <w:rsid w:val="00B51599"/>
    <w:rsid w:val="00B5691B"/>
    <w:rsid w:val="00BA7665"/>
    <w:rsid w:val="00BB54F9"/>
    <w:rsid w:val="00BC176F"/>
    <w:rsid w:val="00BC1CC7"/>
    <w:rsid w:val="00BE0263"/>
    <w:rsid w:val="00BE0EE5"/>
    <w:rsid w:val="00BF094F"/>
    <w:rsid w:val="00BF2AF6"/>
    <w:rsid w:val="00C03635"/>
    <w:rsid w:val="00C11584"/>
    <w:rsid w:val="00C3502E"/>
    <w:rsid w:val="00C56537"/>
    <w:rsid w:val="00C75EB1"/>
    <w:rsid w:val="00C87D4B"/>
    <w:rsid w:val="00C913F8"/>
    <w:rsid w:val="00C92689"/>
    <w:rsid w:val="00CF2F8E"/>
    <w:rsid w:val="00D03C61"/>
    <w:rsid w:val="00D20C5C"/>
    <w:rsid w:val="00D366A9"/>
    <w:rsid w:val="00D719F3"/>
    <w:rsid w:val="00D7615A"/>
    <w:rsid w:val="00DA10CA"/>
    <w:rsid w:val="00DC54B1"/>
    <w:rsid w:val="00DE20EE"/>
    <w:rsid w:val="00E120EC"/>
    <w:rsid w:val="00E16865"/>
    <w:rsid w:val="00E17024"/>
    <w:rsid w:val="00E210E4"/>
    <w:rsid w:val="00E23C6C"/>
    <w:rsid w:val="00E244BD"/>
    <w:rsid w:val="00E62738"/>
    <w:rsid w:val="00E81CB1"/>
    <w:rsid w:val="00EB0ABF"/>
    <w:rsid w:val="00F36BCF"/>
    <w:rsid w:val="00F36F94"/>
    <w:rsid w:val="00F42FE2"/>
    <w:rsid w:val="00F57041"/>
    <w:rsid w:val="00F6768B"/>
    <w:rsid w:val="00FD79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8B6E6"/>
  <w15:docId w15:val="{F3026531-F56D-4C02-B424-2F234C31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qFormat/>
    <w:pPr>
      <w:keepNext/>
      <w:widowControl w:val="0"/>
      <w:outlineLvl w:val="0"/>
    </w:pPr>
    <w:rPr>
      <w:rFonts w:ascii="Monotype Corsiva" w:hAnsi="Monotype Corsiva"/>
      <w:b/>
      <w:snapToGrid w:val="0"/>
      <w:sz w:val="28"/>
      <w:lang w:val="es-MX"/>
    </w:rPr>
  </w:style>
  <w:style w:type="paragraph" w:styleId="Ttulo2">
    <w:name w:val="heading 2"/>
    <w:basedOn w:val="Normal"/>
    <w:next w:val="Normal"/>
    <w:qFormat/>
    <w:pPr>
      <w:keepNext/>
      <w:ind w:firstLine="567"/>
      <w:outlineLvl w:val="1"/>
    </w:pPr>
    <w:rPr>
      <w:b/>
      <w:lang w:val="es-MX"/>
    </w:rPr>
  </w:style>
  <w:style w:type="paragraph" w:styleId="Ttulo3">
    <w:name w:val="heading 3"/>
    <w:basedOn w:val="Normal"/>
    <w:next w:val="Normal"/>
    <w:qFormat/>
    <w:pPr>
      <w:keepNext/>
      <w:ind w:left="567" w:right="567"/>
      <w:jc w:val="center"/>
      <w:outlineLvl w:val="2"/>
    </w:pPr>
    <w:rPr>
      <w:b/>
      <w:lang w:val="es-UY"/>
    </w:rPr>
  </w:style>
  <w:style w:type="paragraph" w:styleId="Ttulo4">
    <w:name w:val="heading 4"/>
    <w:basedOn w:val="Normal"/>
    <w:next w:val="Normal"/>
    <w:link w:val="Ttulo4Char"/>
    <w:semiHidden/>
    <w:unhideWhenUsed/>
    <w:qFormat/>
    <w:rsid w:val="00E44408"/>
    <w:pPr>
      <w:keepNext/>
      <w:spacing w:before="240" w:after="60"/>
      <w:outlineLvl w:val="3"/>
    </w:pPr>
    <w:rPr>
      <w:rFonts w:ascii="Calibri" w:hAnsi="Calibri"/>
      <w:b/>
      <w:bCs/>
      <w:sz w:val="28"/>
      <w:szCs w:val="28"/>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rsid w:val="009B5FA2"/>
    <w:pPr>
      <w:spacing w:before="240" w:after="60"/>
      <w:jc w:val="center"/>
      <w:outlineLvl w:val="0"/>
    </w:pPr>
    <w:rPr>
      <w:rFonts w:ascii="Cambria" w:hAnsi="Cambria"/>
      <w:b/>
      <w:bCs/>
      <w:kern w:val="28"/>
      <w:sz w:val="32"/>
      <w:szCs w:val="32"/>
    </w:rPr>
  </w:style>
  <w:style w:type="paragraph" w:styleId="Cabealho">
    <w:name w:val="header"/>
    <w:aliases w:val="Encabezado Car1 Car1,Encabezado Car Car1 Car,Header Char1 Car Car1 Car,Encabezado Car Car Car Car,Header Char1 Car Car Car Car,Encabezado Car1 Car Car,Encabezado Car1 Car Car Car Car,Encabezado Car Car1 Car Car Car Car"/>
    <w:basedOn w:val="Normal"/>
    <w:link w:val="CabealhoChar"/>
    <w:uiPriority w:val="99"/>
    <w:qFormat/>
    <w:pPr>
      <w:widowControl w:val="0"/>
      <w:tabs>
        <w:tab w:val="center" w:pos="4252"/>
        <w:tab w:val="right" w:pos="8504"/>
      </w:tabs>
    </w:pPr>
    <w:rPr>
      <w:snapToGrid w:val="0"/>
      <w:lang w:val="es-ES_tradnl"/>
    </w:rPr>
  </w:style>
  <w:style w:type="paragraph" w:styleId="Rodap">
    <w:name w:val="footer"/>
    <w:basedOn w:val="Normal"/>
    <w:link w:val="RodapChar"/>
    <w:uiPriority w:val="99"/>
    <w:pPr>
      <w:tabs>
        <w:tab w:val="center" w:pos="4419"/>
        <w:tab w:val="right" w:pos="8838"/>
      </w:tabs>
    </w:pPr>
  </w:style>
  <w:style w:type="character" w:styleId="Hyperlink">
    <w:name w:val="Hyperlink"/>
    <w:rPr>
      <w:color w:val="0000FF"/>
      <w:u w:val="single"/>
    </w:rPr>
  </w:style>
  <w:style w:type="paragraph" w:styleId="Corpodetexto2">
    <w:name w:val="Body Text 2"/>
    <w:basedOn w:val="Normal"/>
    <w:pPr>
      <w:jc w:val="both"/>
    </w:pPr>
    <w:rPr>
      <w:lang w:val="es-ES_tradnl"/>
    </w:rPr>
  </w:style>
  <w:style w:type="paragraph" w:styleId="Corpodetexto3">
    <w:name w:val="Body Text 3"/>
    <w:basedOn w:val="Normal"/>
    <w:pPr>
      <w:jc w:val="center"/>
    </w:pPr>
    <w:rPr>
      <w:b/>
      <w:caps/>
      <w:sz w:val="36"/>
      <w:u w:val="thick"/>
      <w:lang w:val="es-UY"/>
    </w:rPr>
  </w:style>
  <w:style w:type="paragraph" w:styleId="Recuodecorpodetexto">
    <w:name w:val="Body Text Indent"/>
    <w:basedOn w:val="Normal"/>
    <w:link w:val="RecuodecorpodetextoChar"/>
    <w:rsid w:val="004A06BC"/>
    <w:pPr>
      <w:spacing w:after="120"/>
      <w:ind w:left="283"/>
    </w:pPr>
    <w:rPr>
      <w:rFonts w:ascii="Times New Roman" w:hAnsi="Times New Roman"/>
      <w:lang w:val="es-ES"/>
    </w:rPr>
  </w:style>
  <w:style w:type="character" w:customStyle="1" w:styleId="RecuodecorpodetextoChar">
    <w:name w:val="Recuo de corpo de texto Char"/>
    <w:link w:val="Recuodecorpodetexto"/>
    <w:rsid w:val="004A06BC"/>
    <w:rPr>
      <w:sz w:val="24"/>
      <w:szCs w:val="24"/>
      <w:lang w:val="es-ES" w:eastAsia="es-ES"/>
    </w:rPr>
  </w:style>
  <w:style w:type="paragraph" w:styleId="Corpodetexto">
    <w:name w:val="Body Text"/>
    <w:basedOn w:val="Normal"/>
    <w:link w:val="CorpodetextoChar"/>
    <w:rsid w:val="004A06BC"/>
    <w:pPr>
      <w:spacing w:after="120"/>
    </w:pPr>
    <w:rPr>
      <w:rFonts w:ascii="Times New Roman" w:hAnsi="Times New Roman"/>
      <w:lang w:val="en-US" w:eastAsia="en-US"/>
    </w:rPr>
  </w:style>
  <w:style w:type="character" w:customStyle="1" w:styleId="CorpodetextoChar">
    <w:name w:val="Corpo de texto Char"/>
    <w:link w:val="Corpodetexto"/>
    <w:rsid w:val="004A06BC"/>
    <w:rPr>
      <w:sz w:val="24"/>
      <w:szCs w:val="24"/>
      <w:lang w:val="en-US" w:eastAsia="en-US"/>
    </w:rPr>
  </w:style>
  <w:style w:type="paragraph" w:styleId="PargrafodaLista">
    <w:name w:val="List Paragraph"/>
    <w:aliases w:val="Recommendation,List Paragraph11,L,CV text,Table text,F5 List Paragraph,Dot pt,Medium Grid 1 - Accent 21,Numbered Paragraph,Bullet point,Colorful List - Accent 11,bullet point list,List Paragraph111,List Paragraph2,Fundamentacion,lp1"/>
    <w:basedOn w:val="Normal"/>
    <w:link w:val="PargrafodaListaChar"/>
    <w:uiPriority w:val="34"/>
    <w:qFormat/>
    <w:rsid w:val="004A06BC"/>
    <w:pPr>
      <w:ind w:left="708"/>
    </w:pPr>
    <w:rPr>
      <w:rFonts w:ascii="Times New Roman" w:hAnsi="Times New Roman"/>
      <w:lang w:val="en-US" w:eastAsia="en-US"/>
    </w:rPr>
  </w:style>
  <w:style w:type="character" w:customStyle="1" w:styleId="RodapChar">
    <w:name w:val="Rodapé Char"/>
    <w:link w:val="Rodap"/>
    <w:uiPriority w:val="99"/>
    <w:rsid w:val="004A06BC"/>
    <w:rPr>
      <w:rFonts w:ascii="Arial" w:hAnsi="Arial"/>
      <w:sz w:val="24"/>
      <w:lang w:val="pt-BR" w:eastAsia="es-ES"/>
    </w:rPr>
  </w:style>
  <w:style w:type="paragraph" w:styleId="Textodebalo">
    <w:name w:val="Balloon Text"/>
    <w:basedOn w:val="Normal"/>
    <w:link w:val="TextodebaloChar"/>
    <w:rsid w:val="004A06BC"/>
    <w:rPr>
      <w:rFonts w:ascii="Tahoma" w:hAnsi="Tahoma" w:cs="Tahoma"/>
      <w:sz w:val="16"/>
      <w:szCs w:val="16"/>
    </w:rPr>
  </w:style>
  <w:style w:type="character" w:customStyle="1" w:styleId="TextodebaloChar">
    <w:name w:val="Texto de balão Char"/>
    <w:link w:val="Textodebalo"/>
    <w:rsid w:val="004A06BC"/>
    <w:rPr>
      <w:rFonts w:ascii="Tahoma" w:hAnsi="Tahoma" w:cs="Tahoma"/>
      <w:sz w:val="16"/>
      <w:szCs w:val="16"/>
      <w:lang w:val="pt-BR" w:eastAsia="es-ES"/>
    </w:rPr>
  </w:style>
  <w:style w:type="paragraph" w:customStyle="1" w:styleId="TIT2">
    <w:name w:val="TIT 2"/>
    <w:basedOn w:val="Ttulo"/>
    <w:rsid w:val="009B5FA2"/>
    <w:pPr>
      <w:widowControl w:val="0"/>
      <w:suppressAutoHyphens/>
      <w:autoSpaceDE w:val="0"/>
      <w:spacing w:before="20" w:after="20"/>
      <w:outlineLvl w:val="9"/>
    </w:pPr>
    <w:rPr>
      <w:rFonts w:ascii="Times New Roman" w:hAnsi="Times New Roman"/>
      <w:bCs w:val="0"/>
      <w:kern w:val="1"/>
      <w:sz w:val="24"/>
      <w:szCs w:val="20"/>
      <w:lang w:eastAsia="ar-SA"/>
    </w:rPr>
  </w:style>
  <w:style w:type="paragraph" w:styleId="NormalWeb">
    <w:name w:val="Normal (Web)"/>
    <w:basedOn w:val="Normal"/>
    <w:uiPriority w:val="99"/>
    <w:rsid w:val="009B5FA2"/>
    <w:pPr>
      <w:spacing w:before="280" w:after="280"/>
    </w:pPr>
    <w:rPr>
      <w:rFonts w:ascii="Times New Roman" w:hAnsi="Times New Roman"/>
      <w:sz w:val="20"/>
      <w:lang w:val="en-US" w:eastAsia="en-US"/>
    </w:rPr>
  </w:style>
  <w:style w:type="table" w:styleId="Tabelacomgrade">
    <w:name w:val="Table Grid"/>
    <w:basedOn w:val="Tabelanormal"/>
    <w:uiPriority w:val="59"/>
    <w:rsid w:val="009B5FA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link w:val="Ttulo"/>
    <w:rsid w:val="009B5FA2"/>
    <w:rPr>
      <w:rFonts w:ascii="Cambria" w:eastAsia="Times New Roman" w:hAnsi="Cambria" w:cs="Times New Roman"/>
      <w:b/>
      <w:bCs/>
      <w:kern w:val="28"/>
      <w:sz w:val="32"/>
      <w:szCs w:val="32"/>
      <w:lang w:val="pt-BR" w:eastAsia="es-ES"/>
    </w:rPr>
  </w:style>
  <w:style w:type="character" w:customStyle="1" w:styleId="Ttulo4Char">
    <w:name w:val="Título 4 Char"/>
    <w:link w:val="Ttulo4"/>
    <w:semiHidden/>
    <w:rsid w:val="00E44408"/>
    <w:rPr>
      <w:rFonts w:ascii="Calibri" w:eastAsia="Times New Roman" w:hAnsi="Calibri" w:cs="Times New Roman"/>
      <w:b/>
      <w:bCs/>
      <w:sz w:val="28"/>
      <w:szCs w:val="28"/>
      <w:lang w:val="pt-BR" w:eastAsia="es-ES"/>
    </w:rPr>
  </w:style>
  <w:style w:type="paragraph" w:customStyle="1" w:styleId="Instruccionesenvocorreo">
    <w:name w:val="Instrucciones envío correo"/>
    <w:basedOn w:val="Normal"/>
    <w:rsid w:val="00E44408"/>
    <w:pPr>
      <w:widowControl w:val="0"/>
    </w:pPr>
    <w:rPr>
      <w:lang w:eastAsia="es-UY"/>
    </w:rPr>
  </w:style>
  <w:style w:type="paragraph" w:customStyle="1" w:styleId="paragraph">
    <w:name w:val="paragraph"/>
    <w:basedOn w:val="Normal"/>
    <w:rsid w:val="00B605FB"/>
    <w:pPr>
      <w:spacing w:before="100" w:beforeAutospacing="1" w:after="100" w:afterAutospacing="1"/>
    </w:pPr>
    <w:rPr>
      <w:rFonts w:ascii="Times New Roman" w:hAnsi="Times New Roman"/>
      <w:lang w:val="es-UY" w:eastAsia="es-UY"/>
    </w:rPr>
  </w:style>
  <w:style w:type="character" w:customStyle="1" w:styleId="CabealhoChar">
    <w:name w:val="Cabeçalho Char"/>
    <w:aliases w:val="Encabezado Car1 Car1 Char,Encabezado Car Car1 Car Char,Header Char1 Car Car1 Car Char,Encabezado Car Car Car Car Char,Header Char1 Car Car Car Car Char,Encabezado Car1 Car Car Char,Encabezado Car1 Car Car Car Car Char"/>
    <w:link w:val="Cabealho"/>
    <w:uiPriority w:val="99"/>
    <w:qFormat/>
    <w:rsid w:val="00B605FB"/>
    <w:rPr>
      <w:rFonts w:ascii="Arial" w:hAnsi="Arial"/>
      <w:snapToGrid w:val="0"/>
      <w:sz w:val="24"/>
      <w:lang w:val="es-ES_tradnl" w:eastAsia="es-ES"/>
    </w:rPr>
  </w:style>
  <w:style w:type="paragraph" w:styleId="Textodenotaderodap">
    <w:name w:val="footnote text"/>
    <w:basedOn w:val="Normal"/>
    <w:link w:val="TextodenotaderodapChar"/>
    <w:uiPriority w:val="99"/>
    <w:unhideWhenUsed/>
    <w:rsid w:val="00020439"/>
    <w:pPr>
      <w:widowControl w:val="0"/>
    </w:pPr>
    <w:rPr>
      <w:rFonts w:ascii="Calibri" w:eastAsia="Calibri" w:hAnsi="Calibri" w:cs="Calibri"/>
      <w:sz w:val="20"/>
      <w:lang w:val="es-UY" w:eastAsia="es-UY"/>
    </w:rPr>
  </w:style>
  <w:style w:type="character" w:customStyle="1" w:styleId="TextodenotaderodapChar">
    <w:name w:val="Texto de nota de rodapé Char"/>
    <w:link w:val="Textodenotaderodap"/>
    <w:uiPriority w:val="99"/>
    <w:rsid w:val="00020439"/>
    <w:rPr>
      <w:rFonts w:ascii="Calibri" w:eastAsia="Calibri" w:hAnsi="Calibri" w:cs="Calibri"/>
      <w:lang w:val="es-UY" w:eastAsia="es-UY"/>
    </w:rPr>
  </w:style>
  <w:style w:type="character" w:styleId="Refdenotaderodap">
    <w:name w:val="footnote reference"/>
    <w:uiPriority w:val="99"/>
    <w:unhideWhenUsed/>
    <w:rsid w:val="00020439"/>
    <w:rPr>
      <w:vertAlign w:val="superscript"/>
    </w:rPr>
  </w:style>
  <w:style w:type="paragraph" w:customStyle="1" w:styleId="CorpoA">
    <w:name w:val="Corpo A"/>
    <w:rsid w:val="00B35141"/>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pt-PT" w:eastAsia="ko-KR"/>
    </w:rPr>
  </w:style>
  <w:style w:type="character" w:customStyle="1" w:styleId="PargrafodaListaChar">
    <w:name w:val="Parágrafo da Lista Char"/>
    <w:aliases w:val="Recommendation Char,List Paragraph11 Char,L Char,CV text Char,Table text Char,F5 List Paragraph Char,Dot pt Char,Medium Grid 1 - Accent 21 Char,Numbered Paragraph Char,Bullet point Char,Colorful List - Accent 11 Char,lp1 Char"/>
    <w:link w:val="PargrafodaLista"/>
    <w:uiPriority w:val="34"/>
    <w:qFormat/>
    <w:locked/>
    <w:rsid w:val="00B35141"/>
    <w:rPr>
      <w:sz w:val="24"/>
      <w:szCs w:val="24"/>
      <w:lang w:val="en-US" w:eastAsia="en-US"/>
    </w:rPr>
  </w:style>
  <w:style w:type="character" w:styleId="Refdecomentrio">
    <w:name w:val="annotation reference"/>
    <w:rsid w:val="0036788B"/>
    <w:rPr>
      <w:sz w:val="16"/>
      <w:szCs w:val="16"/>
    </w:rPr>
  </w:style>
  <w:style w:type="paragraph" w:styleId="Textodecomentrio">
    <w:name w:val="annotation text"/>
    <w:basedOn w:val="Normal"/>
    <w:link w:val="TextodecomentrioChar"/>
    <w:rsid w:val="0036788B"/>
    <w:rPr>
      <w:sz w:val="20"/>
    </w:rPr>
  </w:style>
  <w:style w:type="character" w:customStyle="1" w:styleId="TextodecomentrioChar">
    <w:name w:val="Texto de comentário Char"/>
    <w:link w:val="Textodecomentrio"/>
    <w:rsid w:val="0036788B"/>
    <w:rPr>
      <w:rFonts w:ascii="Arial" w:hAnsi="Arial"/>
      <w:lang w:val="pt-BR" w:eastAsia="es-ES"/>
    </w:rPr>
  </w:style>
  <w:style w:type="numbering" w:customStyle="1" w:styleId="WW8Num2">
    <w:name w:val="WW8Num2"/>
    <w:basedOn w:val="Semlista"/>
    <w:rsid w:val="00720D70"/>
  </w:style>
  <w:style w:type="numbering" w:customStyle="1" w:styleId="WWNum3">
    <w:name w:val="WWNum3"/>
    <w:basedOn w:val="Semlista"/>
    <w:rsid w:val="00720D70"/>
  </w:style>
  <w:style w:type="paragraph" w:styleId="Reviso">
    <w:name w:val="Revision"/>
    <w:hidden/>
    <w:uiPriority w:val="99"/>
    <w:semiHidden/>
    <w:rsid w:val="00AF63A4"/>
    <w:rPr>
      <w:lang w:eastAsia="es-ES"/>
    </w:rPr>
  </w:style>
  <w:style w:type="paragraph" w:customStyle="1" w:styleId="BodyText22">
    <w:name w:val="Body Text 22"/>
    <w:basedOn w:val="Normal"/>
    <w:rsid w:val="008854E4"/>
    <w:pPr>
      <w:overflowPunct w:val="0"/>
      <w:autoSpaceDE w:val="0"/>
      <w:autoSpaceDN w:val="0"/>
      <w:adjustRightInd w:val="0"/>
      <w:jc w:val="both"/>
      <w:textAlignment w:val="baseline"/>
    </w:pPr>
    <w:rPr>
      <w:b/>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{"storageType":"DocumentXmlStorage","descriptor":{"transcription":{"transcriptSegments":[],"speakerNames":[]},"audioOneDriveItem":{"driveId":"b!Ivl1zQCSWkm8zbAsOOwS4PubDyed1uNPvCqSY456-bDstVFAwsR1QLM5VAaBFpAu","itemId":"015ETKKCJR4MWRO6CIGJHKBGDMW5T4IJXJ"}}}</storedTranscription>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f8a+Dfcmo2JuvL9JuZvEL0d5MA==">CgMxLjA4AHIhMXhLUE50ZDhLcU5QelozSm05Q3JOREhqRWNOUFZLTEtv</go:docsCustomData>
</go:gDocsCustomXmlDataStorage>
</file>

<file path=customXml/itemProps1.xml><?xml version="1.0" encoding="utf-8"?>
<ds:datastoreItem xmlns:ds="http://schemas.openxmlformats.org/officeDocument/2006/customXml" ds:itemID="{18C6BA96-F7C3-480F-B6DA-14691EF7769A}">
  <ds:schemaRefs>
    <ds:schemaRef ds:uri="http://schemas.microsoft.com/office/transcription/202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4615</Words>
  <Characters>24921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Marcy Hottum</cp:lastModifiedBy>
  <cp:revision>7</cp:revision>
  <dcterms:created xsi:type="dcterms:W3CDTF">2025-09-17T15:22:00Z</dcterms:created>
  <dcterms:modified xsi:type="dcterms:W3CDTF">2025-09-17T16:24:00Z</dcterms:modified>
</cp:coreProperties>
</file>