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43" w:rsidRDefault="00F43B58">
      <w:pPr>
        <w:pStyle w:val="Subttulo"/>
        <w:spacing w:before="0" w:after="0" w:line="240" w:lineRule="auto"/>
        <w:ind w:left="5" w:hanging="5"/>
        <w:rPr>
          <w:sz w:val="24"/>
          <w:szCs w:val="24"/>
          <w:lang w:val="pt-BR"/>
        </w:rPr>
      </w:pPr>
      <w:r>
        <w:rPr>
          <w:position w:val="-1"/>
          <w:lang w:val="pt-BR"/>
        </w:rPr>
        <w:t xml:space="preserve">               </w:t>
      </w:r>
      <w:r>
        <w:rPr>
          <w:sz w:val="24"/>
          <w:szCs w:val="24"/>
          <w:lang w:val="pt-BR"/>
        </w:rPr>
        <w:t xml:space="preserve">                                             </w:t>
      </w:r>
    </w:p>
    <w:p w:rsidR="00385643" w:rsidRDefault="00F43B58">
      <w:pPr>
        <w:spacing w:line="240" w:lineRule="auto"/>
        <w:ind w:left="2" w:hanging="2"/>
        <w:jc w:val="both"/>
        <w:rPr>
          <w:b/>
          <w:lang w:val="pt-BR"/>
        </w:rPr>
      </w:pPr>
      <w:r>
        <w:rPr>
          <w:b/>
          <w:lang w:val="pt-BR"/>
        </w:rPr>
        <w:t>MERCOSUR /SGT Nº 10/OMTM/ACTA Nº 0</w:t>
      </w:r>
      <w:r w:rsidR="00267EEA">
        <w:rPr>
          <w:b/>
          <w:szCs w:val="24"/>
          <w:lang w:val="pt-BR"/>
        </w:rPr>
        <w:t>1</w:t>
      </w:r>
      <w:r w:rsidR="00267EEA">
        <w:rPr>
          <w:b/>
          <w:lang w:val="pt-BR"/>
        </w:rPr>
        <w:t>/25</w:t>
      </w:r>
    </w:p>
    <w:p w:rsidR="00385643" w:rsidRDefault="00385643">
      <w:pPr>
        <w:spacing w:line="240" w:lineRule="auto"/>
        <w:ind w:left="2" w:hanging="2"/>
        <w:jc w:val="both"/>
        <w:rPr>
          <w:lang w:val="pt-BR"/>
        </w:rPr>
      </w:pPr>
    </w:p>
    <w:p w:rsidR="00385643" w:rsidRDefault="00F43B58">
      <w:pPr>
        <w:spacing w:line="240" w:lineRule="auto"/>
        <w:ind w:left="2" w:hanging="2"/>
        <w:jc w:val="center"/>
      </w:pPr>
      <w:r>
        <w:rPr>
          <w:b/>
          <w:color w:val="000000"/>
        </w:rPr>
        <w:t>REUNIÓN DE LA COMISIÓN DEL OBSERVATORIO DEL MERCADO DE TRABAJO DEL MERCOSUR (OMTM)</w:t>
      </w:r>
    </w:p>
    <w:p w:rsidR="00385643" w:rsidRDefault="00385643">
      <w:pPr>
        <w:spacing w:line="240" w:lineRule="auto"/>
        <w:ind w:left="2" w:hanging="2"/>
        <w:jc w:val="center"/>
        <w:rPr>
          <w:color w:val="000000"/>
          <w:highlight w:val="yellow"/>
        </w:rPr>
      </w:pPr>
      <w:bookmarkStart w:id="0" w:name="_heading=h.gjdgxs"/>
      <w:bookmarkEnd w:id="0"/>
    </w:p>
    <w:p w:rsidR="00267EEA" w:rsidRDefault="00F43B58" w:rsidP="00267EEA">
      <w:pPr>
        <w:shd w:val="clear" w:color="auto" w:fill="FFFFFF"/>
        <w:ind w:left="0" w:hanging="2"/>
        <w:jc w:val="both"/>
      </w:pPr>
      <w:r>
        <w:rPr>
          <w:color w:val="000000"/>
        </w:rPr>
        <w:t xml:space="preserve">Se realizó los días </w:t>
      </w:r>
      <w:r w:rsidR="00267EEA">
        <w:rPr>
          <w:color w:val="000000"/>
        </w:rPr>
        <w:t xml:space="preserve">19 </w:t>
      </w:r>
      <w:r w:rsidR="00267EEA">
        <w:t>de Mayo</w:t>
      </w:r>
      <w:r w:rsidR="007301E4">
        <w:t xml:space="preserve"> </w:t>
      </w:r>
      <w:r w:rsidR="00267EEA">
        <w:t>de 2025</w:t>
      </w:r>
      <w:r>
        <w:rPr>
          <w:color w:val="000000"/>
        </w:rPr>
        <w:t>, e</w:t>
      </w:r>
      <w:r>
        <w:t xml:space="preserve">n ejercicio de la Presidencia </w:t>
      </w:r>
      <w:r>
        <w:rPr>
          <w:i/>
        </w:rPr>
        <w:t>Pro Tempore</w:t>
      </w:r>
      <w:r w:rsidR="00267EEA">
        <w:t xml:space="preserve"> de Argentina</w:t>
      </w:r>
      <w:r>
        <w:t xml:space="preserve"> (PPT</w:t>
      </w:r>
      <w:r w:rsidR="00267EEA">
        <w:rPr>
          <w:szCs w:val="24"/>
        </w:rPr>
        <w:t>A</w:t>
      </w:r>
      <w:r>
        <w:t>), la Reunión de la Comisión Observatorio del Mercado de Trabajo del MERCOSUR (OMTM),</w:t>
      </w:r>
      <w:r>
        <w:rPr>
          <w:color w:val="000000"/>
        </w:rPr>
        <w:t xml:space="preserve"> </w:t>
      </w:r>
      <w:r>
        <w:t>por sistema de videoconferencia de conformidad con lo dispuesto en la Resolución GMC N° 19/12, con la presencia de las delegaciones de Argentina, Brasil, Paraguay y Uruguay</w:t>
      </w:r>
      <w:r>
        <w:rPr>
          <w:color w:val="000000"/>
        </w:rPr>
        <w:t xml:space="preserve"> y representantes de</w:t>
      </w:r>
      <w:r w:rsidR="009E2840">
        <w:rPr>
          <w:color w:val="000000"/>
        </w:rPr>
        <w:t>l sector trabajador y empleador.</w:t>
      </w:r>
    </w:p>
    <w:p w:rsidR="00385643" w:rsidRDefault="00385643">
      <w:pPr>
        <w:shd w:val="clear" w:color="auto" w:fill="FFFFFF"/>
        <w:spacing w:line="240" w:lineRule="auto"/>
        <w:ind w:left="2" w:hanging="2"/>
        <w:jc w:val="both"/>
      </w:pP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  <w:rPr>
          <w:lang w:val="pt-BR"/>
        </w:rPr>
      </w:pPr>
      <w:r>
        <w:rPr>
          <w:lang w:val="pt-BR"/>
        </w:rPr>
        <w:t xml:space="preserve">La lista de participantes consta como </w:t>
      </w:r>
      <w:r>
        <w:rPr>
          <w:b/>
          <w:lang w:val="pt-BR"/>
        </w:rPr>
        <w:t>Anexo I.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</w:pPr>
      <w:r>
        <w:t xml:space="preserve">La agenda de la reunión consta como </w:t>
      </w:r>
      <w:r>
        <w:rPr>
          <w:b/>
        </w:rPr>
        <w:t>Anexo II.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</w:pPr>
      <w:r>
        <w:t>La PPT</w:t>
      </w:r>
      <w:r w:rsidR="00267EEA">
        <w:rPr>
          <w:szCs w:val="24"/>
        </w:rPr>
        <w:t>A</w:t>
      </w:r>
      <w:r>
        <w:t xml:space="preserve"> dio la bienvenida a las delegaciones presentes y somet</w:t>
      </w:r>
      <w:r>
        <w:rPr>
          <w:szCs w:val="24"/>
        </w:rPr>
        <w:t>ió</w:t>
      </w:r>
      <w:r>
        <w:t xml:space="preserve"> a consideración la Agenda de la Reunión. La misma fue aprobada y consta en el anexo correspondiente. </w:t>
      </w:r>
    </w:p>
    <w:p w:rsidR="00385643" w:rsidRDefault="00385643">
      <w:pPr>
        <w:spacing w:line="240" w:lineRule="auto"/>
        <w:ind w:left="2" w:hanging="2"/>
        <w:jc w:val="both"/>
      </w:pPr>
    </w:p>
    <w:p w:rsidR="00A303ED" w:rsidRDefault="00A303ED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</w:pPr>
      <w:r>
        <w:t>Fueron tratados los siguientes temas:</w:t>
      </w:r>
    </w:p>
    <w:p w:rsidR="00385643" w:rsidRDefault="00385643">
      <w:pPr>
        <w:spacing w:line="240" w:lineRule="auto"/>
        <w:ind w:left="2" w:hanging="2"/>
        <w:jc w:val="both"/>
        <w:rPr>
          <w:b/>
          <w:color w:val="000000"/>
        </w:rPr>
      </w:pPr>
    </w:p>
    <w:p w:rsidR="00385643" w:rsidRDefault="00385643">
      <w:pPr>
        <w:spacing w:line="240" w:lineRule="auto"/>
        <w:ind w:left="2" w:hanging="2"/>
        <w:jc w:val="both"/>
        <w:rPr>
          <w:b/>
          <w:color w:val="000000"/>
        </w:rPr>
      </w:pPr>
    </w:p>
    <w:p w:rsidR="00385643" w:rsidRDefault="00A07D78">
      <w:pPr>
        <w:numPr>
          <w:ilvl w:val="0"/>
          <w:numId w:val="2"/>
        </w:numPr>
        <w:spacing w:line="240" w:lineRule="auto"/>
        <w:ind w:left="424" w:hanging="424"/>
        <w:jc w:val="both"/>
      </w:pPr>
      <w:r>
        <w:rPr>
          <w:b/>
        </w:rPr>
        <w:t xml:space="preserve">PRESENTACIÓN </w:t>
      </w:r>
      <w:r w:rsidR="00F43B58">
        <w:rPr>
          <w:b/>
        </w:rPr>
        <w:t>DE LOS PRINCIPALES INDICADORES NACIONALES DEL MERCADO LABORAL</w:t>
      </w:r>
      <w:r>
        <w:rPr>
          <w:b/>
        </w:rPr>
        <w:t xml:space="preserve"> POR PAÍS</w:t>
      </w:r>
    </w:p>
    <w:p w:rsidR="00385643" w:rsidRDefault="00385643">
      <w:pPr>
        <w:spacing w:line="240" w:lineRule="auto"/>
        <w:ind w:left="2" w:hanging="2"/>
        <w:jc w:val="both"/>
        <w:rPr>
          <w:b/>
          <w:color w:val="000000"/>
        </w:rPr>
      </w:pPr>
    </w:p>
    <w:p w:rsidR="00385643" w:rsidRDefault="00F43B58">
      <w:pPr>
        <w:spacing w:line="240" w:lineRule="auto"/>
        <w:ind w:left="2" w:hanging="2"/>
        <w:jc w:val="both"/>
        <w:rPr>
          <w:b/>
        </w:rPr>
      </w:pPr>
      <w:r>
        <w:t xml:space="preserve">Las delegaciones gubernamentales presentaron los principales indicadores nacionales del mercado de trabajo correspondiente a las últimas estadísticas de trabajo de cada país. Las presentaciones constan en el </w:t>
      </w:r>
      <w:r>
        <w:rPr>
          <w:b/>
        </w:rPr>
        <w:t>Anexo III.</w:t>
      </w:r>
    </w:p>
    <w:p w:rsidR="00385643" w:rsidRDefault="00F43B58" w:rsidP="00A07D78">
      <w:pPr>
        <w:spacing w:line="240" w:lineRule="auto"/>
        <w:ind w:left="0" w:firstLine="0"/>
        <w:jc w:val="both"/>
      </w:pPr>
      <w:r>
        <w:t xml:space="preserve"> 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numPr>
          <w:ilvl w:val="0"/>
          <w:numId w:val="2"/>
        </w:numPr>
        <w:spacing w:line="240" w:lineRule="auto"/>
        <w:ind w:left="424" w:hanging="424"/>
        <w:jc w:val="both"/>
      </w:pPr>
      <w:r>
        <w:rPr>
          <w:b/>
        </w:rPr>
        <w:t>INFORMES DE COYUNTURA</w:t>
      </w:r>
    </w:p>
    <w:p w:rsidR="00385643" w:rsidRDefault="00385643">
      <w:pPr>
        <w:spacing w:line="240" w:lineRule="auto"/>
        <w:ind w:left="0" w:firstLine="0"/>
        <w:jc w:val="both"/>
        <w:rPr>
          <w:b/>
        </w:rPr>
      </w:pPr>
    </w:p>
    <w:p w:rsidR="00385643" w:rsidRDefault="00F43B58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 coyuntura N° 12:</w:t>
      </w:r>
    </w:p>
    <w:p w:rsidR="00385643" w:rsidRDefault="00F43B58" w:rsidP="00A07D78">
      <w:pPr>
        <w:spacing w:line="240" w:lineRule="auto"/>
        <w:ind w:left="2" w:hanging="2"/>
        <w:jc w:val="both"/>
      </w:pPr>
      <w:r>
        <w:t xml:space="preserve">La delegación gubernamental de </w:t>
      </w:r>
      <w:r w:rsidR="0048359D">
        <w:t>Argentina informó que el Informe de Coyuntura 12</w:t>
      </w:r>
      <w:r w:rsidR="00A07D78">
        <w:t xml:space="preserve"> se encuentra publicado en el sitio web de la Secretaría MERCOSUR. </w:t>
      </w:r>
    </w:p>
    <w:p w:rsidR="00385643" w:rsidRDefault="00385643" w:rsidP="00A07D78">
      <w:pPr>
        <w:spacing w:line="240" w:lineRule="auto"/>
        <w:ind w:left="0" w:firstLine="0"/>
        <w:jc w:val="both"/>
      </w:pP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pStyle w:val="Prrafodelista"/>
        <w:numPr>
          <w:ilvl w:val="1"/>
          <w:numId w:val="3"/>
        </w:numPr>
        <w:spacing w:line="240" w:lineRule="auto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Informe</w:t>
      </w:r>
      <w:r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coyuntura N° 13:</w:t>
      </w:r>
    </w:p>
    <w:p w:rsidR="00385643" w:rsidRDefault="00385643">
      <w:pPr>
        <w:spacing w:line="240" w:lineRule="auto"/>
        <w:ind w:left="2" w:hanging="2"/>
        <w:jc w:val="both"/>
        <w:rPr>
          <w:b/>
        </w:rPr>
      </w:pPr>
    </w:p>
    <w:p w:rsidR="00495300" w:rsidRDefault="00BF6EEA" w:rsidP="00A07D78">
      <w:pPr>
        <w:spacing w:line="240" w:lineRule="auto"/>
        <w:ind w:left="2" w:hanging="2"/>
        <w:jc w:val="both"/>
      </w:pPr>
      <w:r>
        <w:t xml:space="preserve">La PPTA presentó a las delegaciones presentes el </w:t>
      </w:r>
      <w:r w:rsidR="00A07D78">
        <w:t xml:space="preserve">diseño del informe de Coyuntura 13.  </w:t>
      </w:r>
    </w:p>
    <w:p w:rsidR="00385643" w:rsidRPr="00886C95" w:rsidRDefault="0086612A" w:rsidP="00A07D78">
      <w:pPr>
        <w:spacing w:line="240" w:lineRule="auto"/>
        <w:ind w:left="2" w:hanging="2"/>
        <w:jc w:val="both"/>
      </w:pPr>
      <w:r>
        <w:lastRenderedPageBreak/>
        <w:t xml:space="preserve">A </w:t>
      </w:r>
      <w:r w:rsidRPr="00886C95">
        <w:t>fin de completar el informe, l</w:t>
      </w:r>
      <w:r w:rsidR="00495300" w:rsidRPr="00886C95">
        <w:t>a delegación de P</w:t>
      </w:r>
      <w:r w:rsidR="007C2705" w:rsidRPr="00886C95">
        <w:t>araguay se comprometió a enviar la</w:t>
      </w:r>
      <w:r w:rsidR="00495300" w:rsidRPr="00886C95">
        <w:t xml:space="preserve"> </w:t>
      </w:r>
      <w:r w:rsidR="00423EBE" w:rsidRPr="00886C95">
        <w:t xml:space="preserve">redacción </w:t>
      </w:r>
      <w:r w:rsidR="00495300" w:rsidRPr="00886C95">
        <w:t>sobre tasa de actividad y tasa de empleo.</w:t>
      </w:r>
    </w:p>
    <w:p w:rsidR="00385643" w:rsidRDefault="0086612A">
      <w:pPr>
        <w:spacing w:line="240" w:lineRule="auto"/>
        <w:ind w:left="2" w:hanging="2"/>
        <w:jc w:val="both"/>
      </w:pPr>
      <w:r w:rsidRPr="00886C95">
        <w:t>Asimismo, l</w:t>
      </w:r>
      <w:r w:rsidR="00495300" w:rsidRPr="00886C95">
        <w:t>a delegación de Argentina</w:t>
      </w:r>
      <w:r w:rsidR="00495300">
        <w:t xml:space="preserve"> presentó las diferencias entre los cuatro países en cuanto al indicador “tasa de subocupación”</w:t>
      </w:r>
      <w:r>
        <w:t>.</w:t>
      </w:r>
    </w:p>
    <w:p w:rsidR="007C2705" w:rsidRDefault="007C2705">
      <w:pPr>
        <w:spacing w:line="240" w:lineRule="auto"/>
        <w:ind w:left="2" w:hanging="2"/>
        <w:jc w:val="both"/>
      </w:pPr>
      <w:r>
        <w:t xml:space="preserve">Las delegaciones presentes acordaron </w:t>
      </w:r>
      <w:r w:rsidR="00701A86">
        <w:t>cursar consultas a sus respectivos institutos de estadísticas a fin de</w:t>
      </w:r>
      <w:r w:rsidR="00D724A4">
        <w:t xml:space="preserve"> adoptar un criterio armonizado hacia la próxima PPT.</w:t>
      </w:r>
    </w:p>
    <w:p w:rsidR="00A303ED" w:rsidRDefault="00A303ED">
      <w:pPr>
        <w:spacing w:line="240" w:lineRule="auto"/>
        <w:ind w:left="2" w:hanging="2"/>
        <w:jc w:val="both"/>
      </w:pPr>
    </w:p>
    <w:p w:rsidR="00C07228" w:rsidRPr="00C07228" w:rsidRDefault="00C07228" w:rsidP="00C07228">
      <w:pPr>
        <w:pStyle w:val="Prrafodelista"/>
        <w:numPr>
          <w:ilvl w:val="1"/>
          <w:numId w:val="3"/>
        </w:numPr>
        <w:spacing w:line="240" w:lineRule="auto"/>
        <w:jc w:val="both"/>
      </w:pPr>
      <w:r w:rsidRPr="00C07228">
        <w:rPr>
          <w:rFonts w:ascii="Arial" w:hAnsi="Arial" w:cs="Arial"/>
          <w:b/>
          <w:sz w:val="24"/>
          <w:szCs w:val="24"/>
        </w:rPr>
        <w:t>Informe de coyuntura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N° 14 (2024)</w:t>
      </w:r>
    </w:p>
    <w:p w:rsidR="00A2394F" w:rsidRDefault="00C07228" w:rsidP="00C07228">
      <w:pPr>
        <w:spacing w:line="240" w:lineRule="auto"/>
        <w:ind w:left="0" w:firstLine="0"/>
        <w:jc w:val="both"/>
      </w:pPr>
      <w:r>
        <w:t>Las delegaciones acordaron enviar sus planillas excel con datos estadísticos a la delegación de Uruguay antes del</w:t>
      </w:r>
      <w:r w:rsidR="00A2394F">
        <w:t xml:space="preserve"> 30 de julio, bajo la siguiente distribución de tareas</w:t>
      </w:r>
      <w:r w:rsidR="00260056">
        <w:t xml:space="preserve"> para su redacción</w:t>
      </w:r>
      <w:r w:rsidR="00A2394F">
        <w:t>:</w:t>
      </w:r>
    </w:p>
    <w:p w:rsidR="005F4448" w:rsidRDefault="00260056" w:rsidP="005F4448">
      <w:pPr>
        <w:spacing w:line="240" w:lineRule="atLeast"/>
        <w:ind w:left="2" w:hanging="2"/>
        <w:jc w:val="both"/>
        <w:rPr>
          <w:b/>
          <w:bCs/>
          <w:lang w:eastAsia="es-UY"/>
        </w:rPr>
      </w:pPr>
      <w:r>
        <w:t xml:space="preserve">Paraguay analizará los </w:t>
      </w:r>
      <w:r w:rsidR="005F4448">
        <w:t>indicadores de Fuerza de t</w:t>
      </w:r>
      <w:r>
        <w:t>rabajo</w:t>
      </w:r>
      <w:r w:rsidR="005F4448">
        <w:t xml:space="preserve"> </w:t>
      </w:r>
      <w:r w:rsidR="00423EBE">
        <w:t>y empleo</w:t>
      </w:r>
      <w:r>
        <w:t>;</w:t>
      </w:r>
      <w:r w:rsidR="00423EBE">
        <w:t xml:space="preserve"> </w:t>
      </w:r>
      <w:r>
        <w:t>Uruguay evaluará el indicador desocupación</w:t>
      </w:r>
      <w:r w:rsidR="00423EBE">
        <w:t xml:space="preserve">, </w:t>
      </w:r>
      <w:r>
        <w:t xml:space="preserve">Argentina trabajará sobre </w:t>
      </w:r>
      <w:r w:rsidR="00423EBE">
        <w:t>los indicadores de subocupación e informalidad</w:t>
      </w:r>
      <w:r>
        <w:t>;</w:t>
      </w:r>
      <w:r w:rsidR="00423EBE">
        <w:t xml:space="preserve"> </w:t>
      </w:r>
      <w:r>
        <w:t>y Brasil estará a cargo de la categoría ocupación.</w:t>
      </w:r>
    </w:p>
    <w:p w:rsidR="00C07228" w:rsidRDefault="00C07228" w:rsidP="00C07228">
      <w:pPr>
        <w:spacing w:line="240" w:lineRule="auto"/>
        <w:ind w:left="0" w:firstLine="0"/>
        <w:jc w:val="both"/>
      </w:pPr>
    </w:p>
    <w:p w:rsidR="00A303ED" w:rsidRDefault="00A303ED" w:rsidP="00C07228">
      <w:pPr>
        <w:spacing w:line="240" w:lineRule="auto"/>
        <w:ind w:left="0" w:firstLine="0"/>
        <w:jc w:val="both"/>
      </w:pPr>
    </w:p>
    <w:p w:rsidR="00385643" w:rsidRDefault="00385643">
      <w:pPr>
        <w:spacing w:line="240" w:lineRule="auto"/>
        <w:ind w:left="2" w:hanging="2"/>
        <w:jc w:val="both"/>
        <w:rPr>
          <w:b/>
          <w:color w:val="000000"/>
        </w:rPr>
      </w:pPr>
    </w:p>
    <w:p w:rsidR="00385643" w:rsidRDefault="00F43B58">
      <w:pPr>
        <w:numPr>
          <w:ilvl w:val="0"/>
          <w:numId w:val="2"/>
        </w:numPr>
        <w:spacing w:line="240" w:lineRule="auto"/>
        <w:ind w:left="424" w:hanging="424"/>
        <w:jc w:val="both"/>
      </w:pPr>
      <w:r>
        <w:rPr>
          <w:b/>
        </w:rPr>
        <w:t>INDICADORES ESTADÍSTICOS DE LA DECLARACIÓN SOCIOLABORAL DEL MERCOSUR</w:t>
      </w:r>
    </w:p>
    <w:p w:rsidR="00385643" w:rsidRDefault="00385643">
      <w:pPr>
        <w:spacing w:line="240" w:lineRule="auto"/>
        <w:ind w:left="2" w:hanging="2"/>
        <w:jc w:val="both"/>
      </w:pPr>
    </w:p>
    <w:p w:rsidR="00A303ED" w:rsidRDefault="00A303ED">
      <w:pPr>
        <w:spacing w:line="240" w:lineRule="auto"/>
        <w:ind w:left="2" w:hanging="2"/>
        <w:jc w:val="both"/>
      </w:pPr>
    </w:p>
    <w:p w:rsidR="00385643" w:rsidRDefault="00F43B58">
      <w:pPr>
        <w:pStyle w:val="Prrafodelista"/>
        <w:numPr>
          <w:ilvl w:val="1"/>
          <w:numId w:val="4"/>
        </w:numPr>
        <w:tabs>
          <w:tab w:val="left" w:pos="1134"/>
        </w:tabs>
        <w:spacing w:line="240" w:lineRule="auto"/>
        <w:ind w:left="709" w:hanging="29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Artículos del 16 al 20 de la Declaración Sociolaboral (DSL)</w:t>
      </w:r>
    </w:p>
    <w:p w:rsidR="000556D1" w:rsidRDefault="002C34CB" w:rsidP="004D7BC1">
      <w:pPr>
        <w:spacing w:line="240" w:lineRule="auto"/>
        <w:ind w:left="2" w:hanging="2"/>
        <w:jc w:val="both"/>
      </w:pPr>
      <w:r>
        <w:t>La delegación de Paraguay presentó su informe sobre el art. 17</w:t>
      </w:r>
      <w:r w:rsidR="00FA0090">
        <w:t xml:space="preserve"> </w:t>
      </w:r>
      <w:r w:rsidR="002149B3">
        <w:t xml:space="preserve">(negociación colectiva) </w:t>
      </w:r>
      <w:r>
        <w:t xml:space="preserve">de la declaración sociolaboral del </w:t>
      </w:r>
      <w:r w:rsidR="000556D1">
        <w:t>MERCOSUR.</w:t>
      </w:r>
    </w:p>
    <w:p w:rsidR="004D7BC1" w:rsidRDefault="000556D1" w:rsidP="004D7BC1">
      <w:pPr>
        <w:spacing w:line="240" w:lineRule="auto"/>
        <w:ind w:left="2" w:hanging="2"/>
        <w:jc w:val="both"/>
      </w:pPr>
      <w:r>
        <w:t xml:space="preserve">A </w:t>
      </w:r>
      <w:r w:rsidR="002C34CB">
        <w:t xml:space="preserve">fin de </w:t>
      </w:r>
      <w:r w:rsidR="0029363A">
        <w:t>finalizar el compilado</w:t>
      </w:r>
      <w:r w:rsidR="002C34CB">
        <w:t xml:space="preserve"> con la información de todos los pa</w:t>
      </w:r>
      <w:r>
        <w:t>íses</w:t>
      </w:r>
      <w:r w:rsidR="004D7BC1">
        <w:t xml:space="preserve"> </w:t>
      </w:r>
      <w:r w:rsidR="000B5F1F">
        <w:t xml:space="preserve">esta delegación </w:t>
      </w:r>
      <w:r w:rsidR="004D7BC1">
        <w:t xml:space="preserve">se comprometió a elaborar una versión preliminar </w:t>
      </w:r>
      <w:r>
        <w:t>hacia la</w:t>
      </w:r>
      <w:r w:rsidR="004D7BC1">
        <w:t xml:space="preserve"> primera quincena de agosto 2025</w:t>
      </w:r>
      <w:r>
        <w:t>, la cual circulará a las demás delegaciones</w:t>
      </w:r>
      <w:r w:rsidR="004D7BC1">
        <w:t xml:space="preserve">.  </w:t>
      </w:r>
    </w:p>
    <w:p w:rsidR="004D7BC1" w:rsidRDefault="004D7BC1" w:rsidP="004D7BC1">
      <w:pPr>
        <w:spacing w:line="240" w:lineRule="auto"/>
        <w:ind w:left="2" w:hanging="2"/>
        <w:jc w:val="both"/>
      </w:pPr>
      <w:r>
        <w:t>La delegación de A</w:t>
      </w:r>
      <w:r w:rsidR="000B5F1F">
        <w:t>rgentina asumió el compromiso de redactar</w:t>
      </w:r>
      <w:r>
        <w:t xml:space="preserve"> la introducci</w:t>
      </w:r>
      <w:r w:rsidR="000B5F1F">
        <w:t>ón del documento y remitirla</w:t>
      </w:r>
      <w:r w:rsidR="000556D1">
        <w:t xml:space="preserve"> a la delegación de P</w:t>
      </w:r>
      <w:r w:rsidR="000B5F1F">
        <w:t>araguay para su incorporación.</w:t>
      </w:r>
    </w:p>
    <w:p w:rsidR="004D7BC1" w:rsidRDefault="004D7BC1">
      <w:pPr>
        <w:spacing w:line="240" w:lineRule="auto"/>
        <w:ind w:left="2" w:hanging="2"/>
        <w:jc w:val="both"/>
      </w:pPr>
    </w:p>
    <w:p w:rsidR="00385643" w:rsidRDefault="00385643" w:rsidP="00A303ED">
      <w:pPr>
        <w:spacing w:line="240" w:lineRule="auto"/>
        <w:ind w:left="2" w:hanging="2"/>
        <w:jc w:val="both"/>
      </w:pPr>
    </w:p>
    <w:p w:rsidR="00385643" w:rsidRDefault="00F43B58">
      <w:pPr>
        <w:pStyle w:val="Prrafodelista"/>
        <w:numPr>
          <w:ilvl w:val="1"/>
          <w:numId w:val="4"/>
        </w:numPr>
        <w:tabs>
          <w:tab w:val="left" w:pos="1134"/>
        </w:tabs>
        <w:spacing w:line="240" w:lineRule="auto"/>
        <w:ind w:left="709" w:hanging="29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>Artículos del 11 al 15 de la Declaración Sociolaboral (DSL)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2A6ECC">
      <w:pPr>
        <w:spacing w:line="240" w:lineRule="auto"/>
        <w:ind w:left="2" w:hanging="2"/>
        <w:jc w:val="both"/>
      </w:pPr>
      <w:r>
        <w:t>La deleg</w:t>
      </w:r>
      <w:r w:rsidR="00436F27">
        <w:t>ación gubernamental de Brasil present</w:t>
      </w:r>
      <w:r w:rsidR="009730B3">
        <w:t>ó el panel de datos con los indicadores sobre derechos individuales de la Declaración S</w:t>
      </w:r>
      <w:r w:rsidR="00BA2EC4">
        <w:t>ociolaboral hasta el año 2023.</w:t>
      </w:r>
    </w:p>
    <w:p w:rsidR="00BA2EC4" w:rsidRPr="003234F4" w:rsidRDefault="00BA2EC4" w:rsidP="00300890">
      <w:pPr>
        <w:spacing w:line="240" w:lineRule="auto"/>
        <w:ind w:left="0" w:firstLine="0"/>
        <w:jc w:val="both"/>
      </w:pPr>
      <w:r>
        <w:t xml:space="preserve">Las delegaciones </w:t>
      </w:r>
      <w:r w:rsidR="00A348B3">
        <w:t xml:space="preserve">acordaron realizar una reunión de carácter preparatorio </w:t>
      </w:r>
      <w:r w:rsidR="00097BCA">
        <w:t xml:space="preserve">tripartito </w:t>
      </w:r>
      <w:r w:rsidR="00A348B3">
        <w:t>a</w:t>
      </w:r>
      <w:r w:rsidR="009E2840">
        <w:t xml:space="preserve"> fin de revisar </w:t>
      </w:r>
      <w:r w:rsidR="00A348B3">
        <w:t xml:space="preserve">la </w:t>
      </w:r>
      <w:r w:rsidR="00A348B3" w:rsidRPr="00C90620">
        <w:t>categor</w:t>
      </w:r>
      <w:r w:rsidR="00C90620" w:rsidRPr="00C90620">
        <w:t>ía</w:t>
      </w:r>
      <w:r w:rsidR="00C90620">
        <w:rPr>
          <w:b/>
        </w:rPr>
        <w:t xml:space="preserve"> </w:t>
      </w:r>
      <w:r w:rsidR="009E2840" w:rsidRPr="00C90620">
        <w:rPr>
          <w:b/>
        </w:rPr>
        <w:t>“</w:t>
      </w:r>
      <w:r w:rsidR="00A348B3" w:rsidRPr="00C90620">
        <w:rPr>
          <w:b/>
        </w:rPr>
        <w:t>Ocupados por Franjas de Horas Trabajadas</w:t>
      </w:r>
      <w:r w:rsidR="009E2840" w:rsidRPr="00C90620">
        <w:rPr>
          <w:b/>
        </w:rPr>
        <w:t>”</w:t>
      </w:r>
      <w:r w:rsidR="00A348B3">
        <w:t xml:space="preserve"> </w:t>
      </w:r>
      <w:r w:rsidR="00097BCA">
        <w:t>(</w:t>
      </w:r>
      <w:r w:rsidR="00423EBE">
        <w:t xml:space="preserve">evaluar diferentes posibilidades de categorización de esta variable) </w:t>
      </w:r>
      <w:r w:rsidR="003234F4">
        <w:t xml:space="preserve">y </w:t>
      </w:r>
      <w:r w:rsidR="00260056">
        <w:t>también</w:t>
      </w:r>
      <w:r w:rsidR="003234F4">
        <w:t xml:space="preserve"> de la variable</w:t>
      </w:r>
      <w:r w:rsidR="00A348B3" w:rsidRPr="00C90620">
        <w:rPr>
          <w:b/>
        </w:rPr>
        <w:t xml:space="preserve"> </w:t>
      </w:r>
      <w:r w:rsidR="003234F4">
        <w:rPr>
          <w:b/>
        </w:rPr>
        <w:t>“</w:t>
      </w:r>
      <w:r w:rsidR="00A348B3" w:rsidRPr="00C90620">
        <w:rPr>
          <w:b/>
        </w:rPr>
        <w:t>Nivel Educativo</w:t>
      </w:r>
      <w:r w:rsidR="009E2840" w:rsidRPr="003234F4">
        <w:t>”</w:t>
      </w:r>
      <w:r w:rsidR="003234F4" w:rsidRPr="003234F4">
        <w:t>, a fin de que los 4 países puedan presentar estadísticas sobre la misma.</w:t>
      </w:r>
    </w:p>
    <w:p w:rsidR="00A520B6" w:rsidRPr="00A520B6" w:rsidRDefault="00A520B6" w:rsidP="00300890">
      <w:pPr>
        <w:spacing w:line="240" w:lineRule="auto"/>
        <w:ind w:left="0" w:firstLine="0"/>
        <w:jc w:val="both"/>
      </w:pPr>
      <w:r>
        <w:t>La PPTA organizará la reuni</w:t>
      </w:r>
      <w:r w:rsidR="00A201BA">
        <w:t>ón preparatoria hacia</w:t>
      </w:r>
      <w:r>
        <w:t xml:space="preserve"> mediados de junio, fecha a confirmar por la P</w:t>
      </w:r>
      <w:r w:rsidR="00993378">
        <w:t>PT, cursando invitación a representantes de la Comisión Sociolaboral.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385643">
      <w:pPr>
        <w:spacing w:line="240" w:lineRule="auto"/>
        <w:ind w:left="2" w:hanging="2"/>
        <w:jc w:val="both"/>
      </w:pPr>
    </w:p>
    <w:p w:rsidR="00385643" w:rsidRDefault="00385643">
      <w:pPr>
        <w:spacing w:line="240" w:lineRule="auto"/>
        <w:ind w:left="2" w:hanging="2"/>
        <w:jc w:val="both"/>
      </w:pPr>
    </w:p>
    <w:p w:rsidR="00886C95" w:rsidRDefault="00886C95" w:rsidP="00A303ED">
      <w:pPr>
        <w:spacing w:line="240" w:lineRule="auto"/>
        <w:ind w:left="0" w:firstLine="0"/>
        <w:jc w:val="both"/>
      </w:pPr>
    </w:p>
    <w:p w:rsidR="00385643" w:rsidRDefault="003234F4">
      <w:pPr>
        <w:numPr>
          <w:ilvl w:val="0"/>
          <w:numId w:val="2"/>
        </w:numPr>
        <w:tabs>
          <w:tab w:val="left" w:pos="142"/>
        </w:tabs>
        <w:spacing w:line="240" w:lineRule="auto"/>
        <w:ind w:left="424" w:hanging="424"/>
        <w:jc w:val="both"/>
        <w:rPr>
          <w:color w:val="00000A"/>
        </w:rPr>
      </w:pPr>
      <w:r>
        <w:rPr>
          <w:b/>
          <w:color w:val="00000A"/>
        </w:rPr>
        <w:lastRenderedPageBreak/>
        <w:t>Comisión de empleo e ingresos (REES)</w:t>
      </w:r>
    </w:p>
    <w:p w:rsidR="00385643" w:rsidRDefault="00385643">
      <w:pPr>
        <w:spacing w:line="240" w:lineRule="auto"/>
        <w:ind w:left="2" w:hanging="2"/>
        <w:jc w:val="both"/>
      </w:pPr>
    </w:p>
    <w:p w:rsidR="00423EBE" w:rsidRDefault="00E80992" w:rsidP="00423EBE">
      <w:r>
        <w:t xml:space="preserve">La PPTA </w:t>
      </w:r>
      <w:r w:rsidR="006D73C1">
        <w:t>comentó que la Comisión de</w:t>
      </w:r>
      <w:r w:rsidR="003234F4">
        <w:t xml:space="preserve"> Empleo e Ingreso de la REES ha</w:t>
      </w:r>
      <w:r w:rsidR="006D73C1">
        <w:t xml:space="preserve"> avanzado en la actualización de los indicadores armonizados sobre el mercado de trabajo.</w:t>
      </w:r>
      <w:r w:rsidR="00423EBE" w:rsidRPr="00423EBE">
        <w:t xml:space="preserve"> </w:t>
      </w:r>
      <w:r w:rsidR="00423EBE">
        <w:t xml:space="preserve">En 2024 esta comisión se reunió para </w:t>
      </w:r>
      <w:r w:rsidR="003234F4">
        <w:t xml:space="preserve">organizar las actividades para </w:t>
      </w:r>
      <w:r w:rsidR="00423EBE">
        <w:t>publicar próximamente estas estadísticas actualizadas.</w:t>
      </w:r>
    </w:p>
    <w:p w:rsidR="00E80992" w:rsidRDefault="00E80992" w:rsidP="006D73C1">
      <w:pPr>
        <w:spacing w:line="240" w:lineRule="auto"/>
        <w:ind w:left="2" w:hanging="2"/>
        <w:jc w:val="both"/>
      </w:pPr>
    </w:p>
    <w:p w:rsidR="00CA132C" w:rsidRDefault="00E80992" w:rsidP="00E80992">
      <w:pPr>
        <w:spacing w:line="240" w:lineRule="auto"/>
        <w:ind w:left="2" w:hanging="2"/>
        <w:jc w:val="both"/>
      </w:pPr>
      <w:r>
        <w:t>Las delegaciones presentes manifestaron la importancia de continuar con la articulación de este foro y su inclusión en la agenda de la próxima PPT.</w:t>
      </w:r>
      <w:r w:rsidR="00F43B58">
        <w:t xml:space="preserve"> </w:t>
      </w:r>
      <w:bookmarkStart w:id="1" w:name="_heading=h.30j0zll"/>
      <w:bookmarkEnd w:id="1"/>
    </w:p>
    <w:p w:rsidR="00300890" w:rsidRDefault="00300890" w:rsidP="00E80992">
      <w:pPr>
        <w:spacing w:line="240" w:lineRule="auto"/>
        <w:ind w:left="2" w:hanging="2"/>
        <w:jc w:val="both"/>
      </w:pPr>
    </w:p>
    <w:p w:rsidR="00CA132C" w:rsidRDefault="00CA132C" w:rsidP="00CA132C">
      <w:pPr>
        <w:spacing w:line="240" w:lineRule="auto"/>
        <w:ind w:left="2" w:hanging="2"/>
        <w:jc w:val="both"/>
      </w:pPr>
    </w:p>
    <w:p w:rsidR="00A303ED" w:rsidRDefault="00A303ED" w:rsidP="00CA132C">
      <w:pPr>
        <w:spacing w:line="240" w:lineRule="auto"/>
        <w:ind w:left="2" w:hanging="2"/>
        <w:jc w:val="both"/>
      </w:pPr>
    </w:p>
    <w:p w:rsidR="00CA132C" w:rsidRPr="00CA132C" w:rsidRDefault="00CA132C" w:rsidP="00CA132C">
      <w:pPr>
        <w:numPr>
          <w:ilvl w:val="0"/>
          <w:numId w:val="2"/>
        </w:numPr>
        <w:tabs>
          <w:tab w:val="left" w:pos="142"/>
        </w:tabs>
        <w:spacing w:line="240" w:lineRule="auto"/>
        <w:ind w:left="424" w:hanging="424"/>
        <w:jc w:val="both"/>
      </w:pPr>
      <w:r w:rsidRPr="00CA132C">
        <w:rPr>
          <w:b/>
          <w:color w:val="000000"/>
        </w:rPr>
        <w:t xml:space="preserve">INFORME DE CUMPLIMEINTO PROGRAMA </w:t>
      </w:r>
      <w:r w:rsidRPr="00CA132C">
        <w:rPr>
          <w:b/>
          <w:szCs w:val="24"/>
        </w:rPr>
        <w:t>DE</w:t>
      </w:r>
      <w:r w:rsidRPr="00CA132C">
        <w:rPr>
          <w:b/>
          <w:color w:val="000000"/>
        </w:rPr>
        <w:t xml:space="preserve"> TRABAJO 2025 – 2026: </w:t>
      </w:r>
    </w:p>
    <w:p w:rsidR="002042B5" w:rsidRPr="002042B5" w:rsidRDefault="00F43B58" w:rsidP="00CA132C">
      <w:pPr>
        <w:tabs>
          <w:tab w:val="left" w:pos="142"/>
        </w:tabs>
        <w:spacing w:line="240" w:lineRule="auto"/>
        <w:ind w:left="424" w:firstLine="0"/>
        <w:jc w:val="both"/>
      </w:pPr>
      <w:r>
        <w:rPr>
          <w:b/>
          <w:color w:val="000000"/>
        </w:rPr>
        <w:t xml:space="preserve"> </w:t>
      </w:r>
    </w:p>
    <w:p w:rsidR="00CA132C" w:rsidRPr="00EB1279" w:rsidRDefault="00CA132C" w:rsidP="00CA132C">
      <w:pPr>
        <w:ind w:left="2" w:hanging="2"/>
        <w:jc w:val="both"/>
      </w:pPr>
      <w:r w:rsidRPr="00EB1279">
        <w:t>Las delegaciones intercambiaron opiniones y completaron la evaluación semestral del Programa</w:t>
      </w:r>
      <w:r>
        <w:t xml:space="preserve"> de Trabajo 2025-2026 del OMTM</w:t>
      </w:r>
      <w:r w:rsidRPr="00EB1279">
        <w:t>, a través del Sistema SIM de la Secretaría MERCOSUR.</w:t>
      </w:r>
    </w:p>
    <w:p w:rsidR="002042B5" w:rsidRPr="00CA132C" w:rsidRDefault="002042B5" w:rsidP="00CA132C">
      <w:pPr>
        <w:tabs>
          <w:tab w:val="left" w:pos="142"/>
        </w:tabs>
        <w:spacing w:line="240" w:lineRule="auto"/>
        <w:ind w:left="0" w:firstLine="0"/>
        <w:jc w:val="both"/>
      </w:pP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numPr>
          <w:ilvl w:val="0"/>
          <w:numId w:val="2"/>
        </w:numPr>
        <w:tabs>
          <w:tab w:val="left" w:pos="142"/>
        </w:tabs>
        <w:spacing w:line="240" w:lineRule="auto"/>
        <w:ind w:left="424" w:hanging="424"/>
        <w:jc w:val="both"/>
      </w:pPr>
      <w:r>
        <w:rPr>
          <w:b/>
          <w:color w:val="000000"/>
        </w:rPr>
        <w:t>OTROS TEMAS</w:t>
      </w:r>
    </w:p>
    <w:p w:rsidR="00385643" w:rsidRPr="002042B5" w:rsidRDefault="00385643">
      <w:pPr>
        <w:spacing w:line="240" w:lineRule="auto"/>
        <w:ind w:left="2" w:hanging="2"/>
        <w:jc w:val="both"/>
        <w:rPr>
          <w:b/>
        </w:rPr>
      </w:pPr>
    </w:p>
    <w:p w:rsidR="00385643" w:rsidRDefault="002042B5">
      <w:pPr>
        <w:spacing w:line="240" w:lineRule="auto"/>
        <w:ind w:left="2" w:hanging="2"/>
        <w:jc w:val="both"/>
        <w:rPr>
          <w:b/>
        </w:rPr>
      </w:pPr>
      <w:r w:rsidRPr="002042B5">
        <w:rPr>
          <w:b/>
        </w:rPr>
        <w:t xml:space="preserve"> </w:t>
      </w:r>
      <w:r w:rsidR="00F43B58" w:rsidRPr="002042B5">
        <w:rPr>
          <w:b/>
        </w:rPr>
        <w:t>Proyecto de investigación sobre migra</w:t>
      </w:r>
      <w:r w:rsidRPr="002042B5">
        <w:rPr>
          <w:b/>
        </w:rPr>
        <w:t>ciones</w:t>
      </w:r>
      <w:r w:rsidR="00B93645">
        <w:rPr>
          <w:b/>
        </w:rPr>
        <w:t xml:space="preserve"> internacionales</w:t>
      </w:r>
      <w:r w:rsidRPr="002042B5">
        <w:rPr>
          <w:b/>
        </w:rPr>
        <w:t xml:space="preserve"> laborales</w:t>
      </w:r>
      <w:r w:rsidR="00B93645">
        <w:rPr>
          <w:b/>
        </w:rPr>
        <w:t xml:space="preserve"> </w:t>
      </w:r>
      <w:r w:rsidRPr="002042B5">
        <w:rPr>
          <w:b/>
        </w:rPr>
        <w:t xml:space="preserve"> </w:t>
      </w:r>
      <w:r w:rsidR="00B93645">
        <w:rPr>
          <w:b/>
        </w:rPr>
        <w:t xml:space="preserve">en </w:t>
      </w:r>
      <w:r w:rsidRPr="002042B5">
        <w:rPr>
          <w:b/>
        </w:rPr>
        <w:t>el</w:t>
      </w:r>
      <w:r>
        <w:t xml:space="preserve"> </w:t>
      </w:r>
      <w:r w:rsidRPr="002042B5">
        <w:rPr>
          <w:b/>
        </w:rPr>
        <w:t>MERCOSUR</w:t>
      </w:r>
      <w:r w:rsidR="00F43B58" w:rsidRPr="002042B5">
        <w:rPr>
          <w:b/>
        </w:rPr>
        <w:t xml:space="preserve"> </w:t>
      </w:r>
    </w:p>
    <w:p w:rsidR="006A1890" w:rsidRDefault="006A1890" w:rsidP="00A303ED">
      <w:pPr>
        <w:spacing w:line="240" w:lineRule="auto"/>
        <w:ind w:left="2" w:hanging="2"/>
        <w:jc w:val="both"/>
      </w:pPr>
      <w:r>
        <w:t>Las delegaciones acordaron realizar una ronda intercambio de información disponible sobre migraciones</w:t>
      </w:r>
      <w:r w:rsidR="00B93645">
        <w:t xml:space="preserve"> internacionales</w:t>
      </w:r>
      <w:r>
        <w:t xml:space="preserve"> laborales, con los datos de los últimos censos.</w:t>
      </w:r>
      <w:r w:rsidR="00A303ED">
        <w:t xml:space="preserve">  </w:t>
      </w:r>
      <w:r>
        <w:t xml:space="preserve">Se incluirá este tema en la próxima reunión ordinaria. 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</w:pPr>
      <w:r>
        <w:rPr>
          <w:b/>
        </w:rPr>
        <w:t>PRÓXIMA REUNIÓN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</w:pPr>
      <w:r>
        <w:t>La próxima reunión OMTM, será convocada por la siguiente PPT.</w:t>
      </w:r>
    </w:p>
    <w:p w:rsidR="00385643" w:rsidRDefault="00385643">
      <w:pPr>
        <w:spacing w:line="240" w:lineRule="auto"/>
        <w:ind w:left="2" w:hanging="2"/>
        <w:jc w:val="both"/>
        <w:rPr>
          <w:b/>
        </w:rPr>
      </w:pPr>
    </w:p>
    <w:p w:rsidR="00385643" w:rsidRDefault="00385643">
      <w:pPr>
        <w:spacing w:line="240" w:lineRule="auto"/>
        <w:ind w:left="2" w:hanging="2"/>
        <w:jc w:val="both"/>
        <w:rPr>
          <w:b/>
        </w:rPr>
      </w:pPr>
    </w:p>
    <w:p w:rsidR="00A303ED" w:rsidRDefault="00A303ED">
      <w:pPr>
        <w:spacing w:line="240" w:lineRule="auto"/>
        <w:ind w:left="2" w:hanging="2"/>
        <w:jc w:val="both"/>
        <w:rPr>
          <w:b/>
        </w:rPr>
      </w:pPr>
    </w:p>
    <w:p w:rsidR="00385643" w:rsidRDefault="00F43B58">
      <w:pPr>
        <w:spacing w:line="240" w:lineRule="auto"/>
        <w:ind w:left="2" w:hanging="2"/>
        <w:jc w:val="both"/>
      </w:pPr>
      <w:r>
        <w:rPr>
          <w:b/>
        </w:rPr>
        <w:t>ANEXOS</w:t>
      </w:r>
    </w:p>
    <w:p w:rsidR="00385643" w:rsidRDefault="00385643">
      <w:pPr>
        <w:spacing w:line="240" w:lineRule="auto"/>
        <w:ind w:left="2" w:hanging="2"/>
        <w:jc w:val="both"/>
      </w:pPr>
    </w:p>
    <w:p w:rsidR="00385643" w:rsidRDefault="00F43B58">
      <w:pPr>
        <w:spacing w:line="240" w:lineRule="auto"/>
        <w:ind w:left="2" w:hanging="2"/>
        <w:jc w:val="both"/>
      </w:pPr>
      <w:r>
        <w:t xml:space="preserve">Los Anexos que forman parte de la presente Acta son los siguientes: </w:t>
      </w:r>
    </w:p>
    <w:p w:rsidR="00385643" w:rsidRDefault="00385643">
      <w:pPr>
        <w:spacing w:line="240" w:lineRule="auto"/>
        <w:ind w:left="2" w:hanging="2"/>
        <w:jc w:val="both"/>
      </w:pPr>
    </w:p>
    <w:tbl>
      <w:tblPr>
        <w:tblW w:w="8565" w:type="dxa"/>
        <w:tblInd w:w="-108" w:type="dxa"/>
        <w:tblLook w:val="0000" w:firstRow="0" w:lastRow="0" w:firstColumn="0" w:lastColumn="0" w:noHBand="0" w:noVBand="0"/>
      </w:tblPr>
      <w:tblGrid>
        <w:gridCol w:w="1450"/>
        <w:gridCol w:w="7115"/>
      </w:tblGrid>
      <w:tr w:rsidR="00385643" w:rsidTr="002042B5">
        <w:trPr>
          <w:trHeight w:val="403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t>Anexo 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643" w:rsidRDefault="00F43B58">
            <w:pPr>
              <w:spacing w:line="240" w:lineRule="auto"/>
              <w:ind w:left="2" w:hanging="2"/>
            </w:pPr>
            <w:r>
              <w:t>Lista de Participantes</w:t>
            </w:r>
          </w:p>
        </w:tc>
      </w:tr>
      <w:tr w:rsidR="00385643" w:rsidTr="002042B5">
        <w:trPr>
          <w:trHeight w:val="40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t>Anexo II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643" w:rsidRDefault="00F43B58">
            <w:pPr>
              <w:spacing w:line="240" w:lineRule="auto"/>
              <w:ind w:left="2" w:hanging="2"/>
            </w:pPr>
            <w:r>
              <w:t>Agenda</w:t>
            </w:r>
          </w:p>
        </w:tc>
      </w:tr>
      <w:tr w:rsidR="00385643" w:rsidTr="002042B5">
        <w:trPr>
          <w:trHeight w:val="666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t>Anexo III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643" w:rsidRDefault="00F43B58">
            <w:pPr>
              <w:spacing w:line="240" w:lineRule="auto"/>
              <w:ind w:left="2" w:hanging="2"/>
            </w:pPr>
            <w:r>
              <w:t>Presentación de cada Delegación de los Principales Indicadores Nacionales del Mercado Laboral</w:t>
            </w:r>
          </w:p>
        </w:tc>
      </w:tr>
      <w:tr w:rsidR="00385643" w:rsidTr="002042B5">
        <w:trPr>
          <w:trHeight w:val="66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643" w:rsidRDefault="00300890">
            <w:pPr>
              <w:spacing w:line="240" w:lineRule="auto"/>
              <w:ind w:left="2" w:hanging="2"/>
            </w:pPr>
            <w:r>
              <w:rPr>
                <w:b/>
              </w:rPr>
              <w:t>Anexo IV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643" w:rsidRDefault="00300890">
            <w:pPr>
              <w:spacing w:line="240" w:lineRule="auto"/>
              <w:ind w:left="2" w:hanging="2"/>
              <w:jc w:val="both"/>
              <w:rPr>
                <w:bCs/>
              </w:rPr>
            </w:pPr>
            <w:r>
              <w:rPr>
                <w:bCs/>
              </w:rPr>
              <w:t xml:space="preserve">Informe  de Paraguay sobre negociación colectiva </w:t>
            </w:r>
          </w:p>
        </w:tc>
      </w:tr>
    </w:tbl>
    <w:p w:rsidR="00385643" w:rsidRDefault="00385643">
      <w:pPr>
        <w:spacing w:line="240" w:lineRule="auto"/>
        <w:ind w:left="2" w:hanging="2"/>
        <w:jc w:val="both"/>
      </w:pPr>
      <w:bookmarkStart w:id="2" w:name="_GoBack"/>
      <w:bookmarkEnd w:id="2"/>
    </w:p>
    <w:p w:rsidR="00385643" w:rsidRDefault="00385643">
      <w:pPr>
        <w:spacing w:line="240" w:lineRule="auto"/>
        <w:ind w:left="2" w:hanging="2"/>
        <w:rPr>
          <w:highlight w:val="yellow"/>
          <w:u w:val="single"/>
        </w:rPr>
      </w:pPr>
    </w:p>
    <w:p w:rsidR="00385643" w:rsidRDefault="00385643">
      <w:pPr>
        <w:spacing w:line="240" w:lineRule="auto"/>
        <w:ind w:left="2" w:hanging="2"/>
        <w:rPr>
          <w:highlight w:val="yellow"/>
          <w:u w:val="single"/>
        </w:rPr>
      </w:pPr>
    </w:p>
    <w:p w:rsidR="00385643" w:rsidRDefault="00385643">
      <w:pPr>
        <w:spacing w:line="240" w:lineRule="auto"/>
        <w:ind w:left="2" w:hanging="2"/>
        <w:rPr>
          <w:highlight w:val="yellow"/>
          <w:u w:val="single"/>
        </w:rPr>
      </w:pPr>
    </w:p>
    <w:tbl>
      <w:tblPr>
        <w:tblW w:w="8970" w:type="dxa"/>
        <w:tblInd w:w="-108" w:type="dxa"/>
        <w:tblLook w:val="0000" w:firstRow="0" w:lastRow="0" w:firstColumn="0" w:lastColumn="0" w:noHBand="0" w:noVBand="0"/>
      </w:tblPr>
      <w:tblGrid>
        <w:gridCol w:w="4440"/>
        <w:gridCol w:w="4530"/>
      </w:tblGrid>
      <w:tr w:rsidR="00385643">
        <w:tc>
          <w:tcPr>
            <w:tcW w:w="4440" w:type="dxa"/>
            <w:shd w:val="clear" w:color="auto" w:fill="auto"/>
          </w:tcPr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lastRenderedPageBreak/>
              <w:t>_______________________________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Argentina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t>Gladys Baer</w:t>
            </w:r>
          </w:p>
        </w:tc>
        <w:tc>
          <w:tcPr>
            <w:tcW w:w="4529" w:type="dxa"/>
            <w:shd w:val="clear" w:color="auto" w:fill="auto"/>
          </w:tcPr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Brasil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t>Raigner Rezende do Nascimento</w:t>
            </w:r>
          </w:p>
          <w:p w:rsidR="00385643" w:rsidRDefault="00385643">
            <w:pPr>
              <w:spacing w:line="240" w:lineRule="auto"/>
              <w:ind w:left="2" w:hanging="2"/>
              <w:rPr>
                <w:u w:val="single"/>
              </w:rPr>
            </w:pPr>
          </w:p>
        </w:tc>
      </w:tr>
      <w:tr w:rsidR="00385643">
        <w:trPr>
          <w:trHeight w:val="2119"/>
        </w:trPr>
        <w:tc>
          <w:tcPr>
            <w:tcW w:w="4440" w:type="dxa"/>
            <w:shd w:val="clear" w:color="auto" w:fill="auto"/>
          </w:tcPr>
          <w:p w:rsidR="00385643" w:rsidRDefault="00385643">
            <w:pPr>
              <w:spacing w:line="240" w:lineRule="auto"/>
              <w:ind w:left="2" w:hanging="2"/>
              <w:rPr>
                <w:u w:val="single"/>
              </w:rPr>
            </w:pPr>
          </w:p>
          <w:p w:rsidR="00385643" w:rsidRDefault="00385643">
            <w:pPr>
              <w:spacing w:line="240" w:lineRule="auto"/>
              <w:ind w:left="2" w:hanging="2"/>
              <w:rPr>
                <w:u w:val="single"/>
              </w:rPr>
            </w:pPr>
          </w:p>
          <w:p w:rsidR="00385643" w:rsidRDefault="00385643" w:rsidP="00753F5E">
            <w:pPr>
              <w:spacing w:line="240" w:lineRule="auto"/>
              <w:ind w:left="0" w:firstLine="0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9E2840" w:rsidRDefault="009E2840">
            <w:pPr>
              <w:spacing w:line="240" w:lineRule="auto"/>
              <w:ind w:left="2" w:hanging="2"/>
            </w:pPr>
          </w:p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Paraguay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t>Diego Sanabria</w:t>
            </w:r>
          </w:p>
        </w:tc>
        <w:tc>
          <w:tcPr>
            <w:tcW w:w="4529" w:type="dxa"/>
            <w:shd w:val="clear" w:color="auto" w:fill="auto"/>
          </w:tcPr>
          <w:p w:rsidR="00385643" w:rsidRDefault="00385643">
            <w:pPr>
              <w:spacing w:line="240" w:lineRule="auto"/>
              <w:ind w:left="2" w:hanging="2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385643" w:rsidRDefault="00385643">
            <w:pPr>
              <w:spacing w:line="240" w:lineRule="auto"/>
              <w:ind w:left="2" w:hanging="2"/>
            </w:pPr>
          </w:p>
          <w:p w:rsidR="00385643" w:rsidRDefault="00F43B58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385643" w:rsidRDefault="00F43B58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Uruguay</w:t>
            </w:r>
          </w:p>
          <w:p w:rsidR="00385643" w:rsidRDefault="00D55D83">
            <w:pPr>
              <w:spacing w:line="240" w:lineRule="auto"/>
              <w:ind w:left="2" w:hanging="2"/>
              <w:jc w:val="center"/>
            </w:pPr>
            <w:r>
              <w:t>Mariana Ferrer</w:t>
            </w:r>
          </w:p>
        </w:tc>
      </w:tr>
    </w:tbl>
    <w:p w:rsidR="00385643" w:rsidRDefault="00385643">
      <w:pPr>
        <w:keepNext/>
        <w:widowControl w:val="0"/>
        <w:tabs>
          <w:tab w:val="left" w:pos="5040"/>
        </w:tabs>
        <w:spacing w:line="240" w:lineRule="auto"/>
        <w:ind w:left="2" w:hanging="2"/>
        <w:jc w:val="both"/>
        <w:rPr>
          <w:b/>
          <w:color w:val="000000"/>
        </w:rPr>
      </w:pPr>
    </w:p>
    <w:p w:rsidR="00385643" w:rsidRDefault="00385643">
      <w:pPr>
        <w:spacing w:line="240" w:lineRule="auto"/>
        <w:ind w:left="2" w:hanging="2"/>
        <w:jc w:val="both"/>
      </w:pPr>
    </w:p>
    <w:p w:rsidR="002042B5" w:rsidRDefault="002042B5">
      <w:pPr>
        <w:spacing w:line="240" w:lineRule="auto"/>
        <w:ind w:left="2" w:hanging="2"/>
        <w:jc w:val="both"/>
      </w:pPr>
    </w:p>
    <w:p w:rsidR="002042B5" w:rsidRDefault="002042B5">
      <w:pPr>
        <w:spacing w:line="240" w:lineRule="auto"/>
        <w:ind w:left="2" w:hanging="2"/>
        <w:jc w:val="both"/>
      </w:pPr>
    </w:p>
    <w:sectPr w:rsidR="002042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D1" w:rsidRDefault="000072D1">
      <w:pPr>
        <w:spacing w:line="240" w:lineRule="auto"/>
      </w:pPr>
      <w:r>
        <w:separator/>
      </w:r>
    </w:p>
  </w:endnote>
  <w:endnote w:type="continuationSeparator" w:id="0">
    <w:p w:rsidR="000072D1" w:rsidRDefault="00007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43" w:rsidRDefault="00F43B58">
    <w:pPr>
      <w:tabs>
        <w:tab w:val="center" w:pos="4252"/>
        <w:tab w:val="right" w:pos="8504"/>
      </w:tabs>
      <w:spacing w:line="240" w:lineRule="auto"/>
      <w:ind w:left="0" w:hanging="2"/>
      <w:jc w:val="right"/>
    </w:pPr>
    <w:r>
      <w:rPr>
        <w:rFonts w:eastAsia="Arial"/>
        <w:szCs w:val="24"/>
      </w:rPr>
      <w:fldChar w:fldCharType="begin"/>
    </w:r>
    <w:r>
      <w:rPr>
        <w:rFonts w:eastAsia="Arial"/>
        <w:szCs w:val="24"/>
      </w:rPr>
      <w:instrText>PAGE</w:instrText>
    </w:r>
    <w:r>
      <w:rPr>
        <w:rFonts w:eastAsia="Arial"/>
        <w:szCs w:val="24"/>
      </w:rPr>
      <w:fldChar w:fldCharType="separate"/>
    </w:r>
    <w:r w:rsidR="00C25107">
      <w:rPr>
        <w:rFonts w:eastAsia="Arial"/>
        <w:noProof/>
        <w:szCs w:val="24"/>
      </w:rPr>
      <w:t>3</w:t>
    </w:r>
    <w:r>
      <w:rPr>
        <w:rFonts w:eastAsia="Arial"/>
        <w:szCs w:val="24"/>
      </w:rPr>
      <w:fldChar w:fldCharType="end"/>
    </w:r>
  </w:p>
  <w:p w:rsidR="00385643" w:rsidRDefault="00385643">
    <w:pPr>
      <w:tabs>
        <w:tab w:val="center" w:pos="4252"/>
        <w:tab w:val="right" w:pos="8504"/>
      </w:tabs>
      <w:spacing w:line="240" w:lineRule="auto"/>
      <w:ind w:left="0" w:hanging="2"/>
      <w:rPr>
        <w:rFonts w:eastAsia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43" w:rsidRDefault="00F43B58">
    <w:pPr>
      <w:pStyle w:val="Piedepgina"/>
      <w:ind w:left="0" w:hanging="2"/>
      <w:jc w:val="center"/>
      <w:rPr>
        <w:b/>
        <w:i/>
        <w:sz w:val="16"/>
        <w:lang w:val="es-ES"/>
      </w:rPr>
    </w:pPr>
    <w:r>
      <w:rPr>
        <w:b/>
        <w:i/>
        <w:sz w:val="16"/>
        <w:lang w:val="es-ES"/>
      </w:rPr>
      <w:t>Secretaría del MERCOSUR</w:t>
    </w:r>
  </w:p>
  <w:p w:rsidR="00385643" w:rsidRDefault="00F43B58">
    <w:pPr>
      <w:pStyle w:val="Piedepgina"/>
      <w:ind w:left="0" w:hanging="2"/>
      <w:jc w:val="center"/>
      <w:rPr>
        <w:b/>
        <w:sz w:val="16"/>
        <w:lang w:val="es-UY"/>
      </w:rPr>
    </w:pPr>
    <w:r>
      <w:rPr>
        <w:b/>
        <w:sz w:val="16"/>
        <w:lang w:val="es-UY"/>
      </w:rPr>
      <w:t xml:space="preserve">        Archivo Oficial</w:t>
    </w:r>
  </w:p>
  <w:p w:rsidR="00385643" w:rsidRDefault="00F43B58">
    <w:pPr>
      <w:pStyle w:val="Piedepgina"/>
      <w:ind w:left="0" w:hanging="2"/>
      <w:jc w:val="center"/>
      <w:rPr>
        <w:b/>
        <w:i/>
        <w:sz w:val="16"/>
        <w:lang w:val="es-ES"/>
      </w:rPr>
    </w:pPr>
    <w:r>
      <w:rPr>
        <w:sz w:val="16"/>
        <w:lang w:val="es-UY"/>
      </w:rPr>
      <w:t xml:space="preserve">        www.mercosur.int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D1" w:rsidRDefault="000072D1">
      <w:pPr>
        <w:spacing w:line="240" w:lineRule="auto"/>
      </w:pPr>
      <w:r>
        <w:separator/>
      </w:r>
    </w:p>
  </w:footnote>
  <w:footnote w:type="continuationSeparator" w:id="0">
    <w:p w:rsidR="000072D1" w:rsidRDefault="00007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43" w:rsidRDefault="00F43B58">
    <w:pPr>
      <w:pStyle w:val="Encabezado"/>
      <w:ind w:left="0" w:hanging="2"/>
    </w:pP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43" w:rsidRDefault="00F43B58">
    <w:pPr>
      <w:pStyle w:val="Encabezado"/>
      <w:ind w:left="0" w:hanging="2"/>
    </w:pPr>
    <w:r>
      <w:rPr>
        <w:noProof/>
        <w:lang w:val="en-US" w:eastAsia="en-US"/>
      </w:rPr>
      <w:drawing>
        <wp:inline distT="0" distB="0" distL="0" distR="0">
          <wp:extent cx="1230630" cy="913130"/>
          <wp:effectExtent l="0" t="0" r="0" b="0"/>
          <wp:docPr id="1" name="image2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265555" cy="922655"/>
          <wp:effectExtent l="0" t="0" r="0" b="0"/>
          <wp:docPr id="2" name="image1.pn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0A8C"/>
    <w:multiLevelType w:val="multilevel"/>
    <w:tmpl w:val="9F9E1A24"/>
    <w:lvl w:ilvl="0">
      <w:start w:val="1"/>
      <w:numFmt w:val="decimal"/>
      <w:lvlText w:val="%1."/>
      <w:lvlJc w:val="left"/>
      <w:pPr>
        <w:ind w:left="644" w:hanging="358"/>
      </w:pPr>
      <w:rPr>
        <w:rFonts w:eastAsia="Arial" w:cs="Arial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1C4F4115"/>
    <w:multiLevelType w:val="multilevel"/>
    <w:tmpl w:val="1430B42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4" w:hanging="72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68" w:hanging="720"/>
      </w:pPr>
    </w:lvl>
    <w:lvl w:ilvl="3">
      <w:start w:val="1"/>
      <w:numFmt w:val="decimal"/>
      <w:lvlText w:val="%1.%2.%3.%4."/>
      <w:lvlJc w:val="left"/>
      <w:pPr>
        <w:ind w:left="2352" w:hanging="1080"/>
      </w:pPr>
    </w:lvl>
    <w:lvl w:ilvl="4">
      <w:start w:val="1"/>
      <w:numFmt w:val="decimal"/>
      <w:lvlText w:val="%1.%2.%3.%4.%5."/>
      <w:lvlJc w:val="left"/>
      <w:pPr>
        <w:ind w:left="2776" w:hanging="1080"/>
      </w:pPr>
    </w:lvl>
    <w:lvl w:ilvl="5">
      <w:start w:val="1"/>
      <w:numFmt w:val="decimal"/>
      <w:lvlText w:val="%1.%2.%3.%4.%5.%6."/>
      <w:lvlJc w:val="left"/>
      <w:pPr>
        <w:ind w:left="3560" w:hanging="1440"/>
      </w:pPr>
    </w:lvl>
    <w:lvl w:ilvl="6">
      <w:start w:val="1"/>
      <w:numFmt w:val="decimal"/>
      <w:lvlText w:val="%1.%2.%3.%4.%5.%6.%7."/>
      <w:lvlJc w:val="left"/>
      <w:pPr>
        <w:ind w:left="3984" w:hanging="1440"/>
      </w:pPr>
    </w:lvl>
    <w:lvl w:ilvl="7">
      <w:start w:val="1"/>
      <w:numFmt w:val="decimal"/>
      <w:lvlText w:val="%1.%2.%3.%4.%5.%6.%7.%8."/>
      <w:lvlJc w:val="left"/>
      <w:pPr>
        <w:ind w:left="4768" w:hanging="1800"/>
      </w:pPr>
    </w:lvl>
    <w:lvl w:ilvl="8">
      <w:start w:val="1"/>
      <w:numFmt w:val="decimal"/>
      <w:lvlText w:val="%1.%2.%3.%4.%5.%6.%7.%8.%9."/>
      <w:lvlJc w:val="left"/>
      <w:pPr>
        <w:ind w:left="5552" w:hanging="2160"/>
      </w:pPr>
    </w:lvl>
  </w:abstractNum>
  <w:abstractNum w:abstractNumId="2" w15:restartNumberingAfterBreak="0">
    <w:nsid w:val="5D2A711E"/>
    <w:multiLevelType w:val="multilevel"/>
    <w:tmpl w:val="DBB8B4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2144" w:hanging="2160"/>
      </w:pPr>
    </w:lvl>
  </w:abstractNum>
  <w:abstractNum w:abstractNumId="3" w15:restartNumberingAfterBreak="0">
    <w:nsid w:val="6C681499"/>
    <w:multiLevelType w:val="multilevel"/>
    <w:tmpl w:val="D6A0344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CD226A"/>
    <w:multiLevelType w:val="multilevel"/>
    <w:tmpl w:val="DD522A5A"/>
    <w:lvl w:ilvl="0">
      <w:start w:val="1"/>
      <w:numFmt w:val="decimal"/>
      <w:lvlText w:val="%1."/>
      <w:lvlJc w:val="left"/>
      <w:pPr>
        <w:ind w:left="501" w:hanging="359"/>
      </w:pPr>
      <w:rPr>
        <w:rFonts w:eastAsia="Arial" w:cs="Arial"/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43"/>
    <w:rsid w:val="000072D1"/>
    <w:rsid w:val="000556D1"/>
    <w:rsid w:val="00097BCA"/>
    <w:rsid w:val="000A4D1A"/>
    <w:rsid w:val="000B5F1F"/>
    <w:rsid w:val="002042B5"/>
    <w:rsid w:val="002149B3"/>
    <w:rsid w:val="00260056"/>
    <w:rsid w:val="00267EEA"/>
    <w:rsid w:val="0029363A"/>
    <w:rsid w:val="002A6ECC"/>
    <w:rsid w:val="002C34CB"/>
    <w:rsid w:val="00300890"/>
    <w:rsid w:val="003234F4"/>
    <w:rsid w:val="00385643"/>
    <w:rsid w:val="00423EBE"/>
    <w:rsid w:val="00436F27"/>
    <w:rsid w:val="0048359D"/>
    <w:rsid w:val="00495300"/>
    <w:rsid w:val="004D7BC1"/>
    <w:rsid w:val="005F4448"/>
    <w:rsid w:val="00662BB3"/>
    <w:rsid w:val="006A1890"/>
    <w:rsid w:val="006D1297"/>
    <w:rsid w:val="006D73C1"/>
    <w:rsid w:val="00701A86"/>
    <w:rsid w:val="007301E4"/>
    <w:rsid w:val="00753F5E"/>
    <w:rsid w:val="007C2705"/>
    <w:rsid w:val="0082060F"/>
    <w:rsid w:val="0086612A"/>
    <w:rsid w:val="00886C95"/>
    <w:rsid w:val="008B04E3"/>
    <w:rsid w:val="008C0ABB"/>
    <w:rsid w:val="008C1BBD"/>
    <w:rsid w:val="008C77C2"/>
    <w:rsid w:val="009730B3"/>
    <w:rsid w:val="00993378"/>
    <w:rsid w:val="009E2840"/>
    <w:rsid w:val="00A07D78"/>
    <w:rsid w:val="00A201BA"/>
    <w:rsid w:val="00A2394F"/>
    <w:rsid w:val="00A303ED"/>
    <w:rsid w:val="00A348B3"/>
    <w:rsid w:val="00A520B6"/>
    <w:rsid w:val="00B152B5"/>
    <w:rsid w:val="00B23BC2"/>
    <w:rsid w:val="00B32FB0"/>
    <w:rsid w:val="00B93645"/>
    <w:rsid w:val="00BA2EC4"/>
    <w:rsid w:val="00BF6EEA"/>
    <w:rsid w:val="00C07228"/>
    <w:rsid w:val="00C07D36"/>
    <w:rsid w:val="00C25107"/>
    <w:rsid w:val="00C90620"/>
    <w:rsid w:val="00CA132C"/>
    <w:rsid w:val="00D46257"/>
    <w:rsid w:val="00D55D83"/>
    <w:rsid w:val="00D56669"/>
    <w:rsid w:val="00D724A4"/>
    <w:rsid w:val="00E75DA1"/>
    <w:rsid w:val="00E80992"/>
    <w:rsid w:val="00F43B5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F4ED"/>
  <w15:docId w15:val="{E8C789DF-4C2C-44F4-B835-02C44102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4"/>
        <w:lang w:val="es-P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rFonts w:eastAsia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tabs>
        <w:tab w:val="left" w:pos="5040"/>
      </w:tabs>
      <w:ind w:left="-1" w:hanging="1"/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Arial" w:eastAsia="Arial" w:hAnsi="Arial" w:cs="Arial"/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F1E5D"/>
    <w:rPr>
      <w:rFonts w:eastAsia="Times New Roman"/>
      <w:szCs w:val="20"/>
      <w:lang w:eastAsia="zh-CN"/>
    </w:rPr>
  </w:style>
  <w:style w:type="paragraph" w:styleId="Ttulo">
    <w:name w:val="Title"/>
    <w:basedOn w:val="Normal"/>
    <w:next w:val="Textoindependiente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76" w:lineRule="auto"/>
    </w:pPr>
  </w:style>
  <w:style w:type="paragraph" w:styleId="Lista">
    <w:name w:val="List"/>
    <w:basedOn w:val="Textoindependiente1"/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angradetextonormal1">
    <w:name w:val="Sangría de texto normal1"/>
    <w:basedOn w:val="Normal"/>
    <w:pPr>
      <w:ind w:left="540" w:firstLine="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qFormat/>
    <w:pPr>
      <w:jc w:val="both"/>
    </w:pPr>
    <w:rPr>
      <w:lang w:val="es-ES"/>
    </w:rPr>
  </w:style>
  <w:style w:type="paragraph" w:styleId="Prrafodelista">
    <w:name w:val="List Paragraph"/>
    <w:basedOn w:val="Normal"/>
    <w:qFormat/>
    <w:pPr>
      <w:spacing w:after="160" w:line="252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qFormat/>
    <w:pPr>
      <w:spacing w:after="120"/>
      <w:ind w:left="283" w:firstLine="0"/>
      <w:contextualSpacing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1"/>
    <w:uiPriority w:val="99"/>
    <w:unhideWhenUsed/>
    <w:rsid w:val="00AF1E5D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qFormat/>
    <w:pPr>
      <w:widowControl w:val="0"/>
    </w:pPr>
    <w:rPr>
      <w:rFonts w:ascii="Trebuchet MS" w:eastAsia="Trebuchet MS" w:hAnsi="Trebuchet MS" w:cs="Trebuchet MS"/>
      <w:sz w:val="22"/>
      <w:szCs w:val="22"/>
      <w:lang w:val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PSCtsN5SB/528i7QpUmPL+YHZAQ==">CgMxLjAyCGguZ2pkZ3hzMgloLjMwajB6bGwyCWguMzBqMHpsbDgAciExZWRQb0NJNU12MWMwZzZscFlXWjF1M29zN1RWU2FzeUw=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dc:description/>
  <cp:lastModifiedBy>Paola Karina Egea</cp:lastModifiedBy>
  <cp:revision>9</cp:revision>
  <dcterms:created xsi:type="dcterms:W3CDTF">2025-05-19T16:33:00Z</dcterms:created>
  <dcterms:modified xsi:type="dcterms:W3CDTF">2025-05-19T17:31:00Z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