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3A" w:rsidRDefault="0011121D">
      <w:pPr>
        <w:keepNext/>
        <w:widowControl w:val="0"/>
        <w:numPr>
          <w:ilvl w:val="0"/>
          <w:numId w:val="3"/>
        </w:numPr>
        <w:tabs>
          <w:tab w:val="left" w:pos="5040"/>
        </w:tabs>
        <w:spacing w:line="240" w:lineRule="auto"/>
        <w:ind w:left="2" w:hanging="2"/>
        <w:jc w:val="both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                                                      </w:t>
      </w:r>
    </w:p>
    <w:p w:rsidR="00A4593A" w:rsidRDefault="00E50B03">
      <w:pPr>
        <w:spacing w:line="240" w:lineRule="auto"/>
        <w:ind w:left="2" w:hanging="2"/>
        <w:jc w:val="both"/>
      </w:pPr>
      <w:r>
        <w:rPr>
          <w:b/>
        </w:rPr>
        <w:t>MERCOSUR/GANEMPLE/ACTA Nº 01/25</w:t>
      </w:r>
    </w:p>
    <w:p w:rsidR="00A4593A" w:rsidRDefault="00A4593A">
      <w:pPr>
        <w:spacing w:line="240" w:lineRule="auto"/>
        <w:ind w:left="2" w:hanging="2"/>
        <w:jc w:val="center"/>
        <w:rPr>
          <w:b/>
          <w:color w:val="000000"/>
        </w:rPr>
      </w:pPr>
    </w:p>
    <w:p w:rsidR="00A4593A" w:rsidRDefault="0011121D">
      <w:pPr>
        <w:spacing w:line="240" w:lineRule="auto"/>
        <w:ind w:left="2" w:hanging="2"/>
        <w:jc w:val="center"/>
      </w:pPr>
      <w:r>
        <w:rPr>
          <w:b/>
          <w:color w:val="000000"/>
        </w:rPr>
        <w:t>REUNIÓN DEL GRUPO DE ALTO NIVEL PARA LA ESTRATEGIA MERCOSUR DE CRECIMIENTO DEL EMPLEO (GANEMPLE)</w:t>
      </w:r>
    </w:p>
    <w:p w:rsidR="00A4593A" w:rsidRDefault="00A4593A">
      <w:pPr>
        <w:spacing w:line="240" w:lineRule="auto"/>
        <w:ind w:left="2" w:hanging="2"/>
        <w:jc w:val="center"/>
        <w:rPr>
          <w:b/>
          <w:color w:val="000000"/>
        </w:rPr>
      </w:pPr>
    </w:p>
    <w:p w:rsidR="00A4593A" w:rsidRDefault="00A4593A">
      <w:pPr>
        <w:spacing w:line="240" w:lineRule="auto"/>
        <w:ind w:left="2" w:hanging="2"/>
        <w:jc w:val="center"/>
        <w:rPr>
          <w:b/>
          <w:color w:val="000000"/>
          <w:highlight w:val="yellow"/>
        </w:rPr>
      </w:pPr>
      <w:bookmarkStart w:id="1" w:name="_heading=h.30j0zll" w:colFirst="0" w:colLast="0"/>
      <w:bookmarkEnd w:id="1"/>
    </w:p>
    <w:p w:rsidR="00E50B03" w:rsidRDefault="00E50B03" w:rsidP="00E50B03">
      <w:pPr>
        <w:shd w:val="clear" w:color="auto" w:fill="FFFFFF"/>
        <w:ind w:left="0" w:hanging="2"/>
        <w:jc w:val="both"/>
      </w:pPr>
      <w:r>
        <w:rPr>
          <w:color w:val="000000"/>
        </w:rPr>
        <w:t>Se realizó el día 22</w:t>
      </w:r>
      <w:r w:rsidR="0011121D">
        <w:rPr>
          <w:color w:val="000000"/>
        </w:rPr>
        <w:t xml:space="preserve"> </w:t>
      </w:r>
      <w:r>
        <w:t>de mayo de 2025</w:t>
      </w:r>
      <w:r w:rsidR="0011121D">
        <w:rPr>
          <w:color w:val="000000"/>
        </w:rPr>
        <w:t>, e</w:t>
      </w:r>
      <w:r w:rsidR="0011121D">
        <w:t xml:space="preserve">n ejercicio de la Presidencia </w:t>
      </w:r>
      <w:r w:rsidR="0011121D">
        <w:rPr>
          <w:i/>
        </w:rPr>
        <w:t>Pro Tempore</w:t>
      </w:r>
      <w:r>
        <w:t xml:space="preserve"> de Argentina (PPTA</w:t>
      </w:r>
      <w:r w:rsidR="0011121D">
        <w:t>), Reunión del Grupo de Alto Nivel para La Estrategia MERCOSUR de Crecimiento del Empleo (GANEMPLE),</w:t>
      </w:r>
      <w:r w:rsidR="0011121D">
        <w:rPr>
          <w:color w:val="000000"/>
        </w:rPr>
        <w:t xml:space="preserve"> </w:t>
      </w:r>
      <w:r w:rsidR="0011121D">
        <w:t xml:space="preserve">por sistema de videoconferencia de conformidad con lo dispuesto en la Resolución GMC N° 19/12, con la presencia de las delegaciones gubernamentales de Argentina, </w:t>
      </w:r>
      <w:r w:rsidR="0011121D" w:rsidRPr="001F3A20">
        <w:t>Brasil, Paraguay y Uruguay</w:t>
      </w:r>
      <w:r w:rsidR="0011121D" w:rsidRPr="001F3A20">
        <w:rPr>
          <w:color w:val="000000"/>
        </w:rPr>
        <w:t xml:space="preserve"> y representantes del sector trabajador y empleador.</w:t>
      </w:r>
      <w:r w:rsidRPr="001F3A20">
        <w:t xml:space="preserve"> La delegación de Bolivia participó de conformidad con lo establecido en la Decisión CMC Nº 20/19.</w:t>
      </w:r>
    </w:p>
    <w:p w:rsidR="00A4593A" w:rsidRDefault="00A4593A">
      <w:pPr>
        <w:shd w:val="clear" w:color="auto" w:fill="FFFFFF"/>
        <w:spacing w:line="240" w:lineRule="auto"/>
        <w:ind w:left="2" w:hanging="2"/>
        <w:jc w:val="both"/>
      </w:pPr>
    </w:p>
    <w:p w:rsidR="00A4593A" w:rsidRDefault="00A4593A">
      <w:pPr>
        <w:spacing w:line="240" w:lineRule="auto"/>
        <w:ind w:left="2" w:hanging="2"/>
        <w:jc w:val="both"/>
      </w:pPr>
    </w:p>
    <w:p w:rsidR="00A4593A" w:rsidRDefault="0011121D">
      <w:pPr>
        <w:spacing w:line="240" w:lineRule="auto"/>
        <w:ind w:left="2" w:hanging="2"/>
        <w:jc w:val="both"/>
      </w:pPr>
      <w:r>
        <w:t xml:space="preserve">La lista de participantes consta como </w:t>
      </w:r>
      <w:r>
        <w:rPr>
          <w:b/>
        </w:rPr>
        <w:t>Anexo I.</w:t>
      </w:r>
    </w:p>
    <w:p w:rsidR="00A4593A" w:rsidRDefault="00A4593A">
      <w:pPr>
        <w:spacing w:line="240" w:lineRule="auto"/>
        <w:ind w:left="2" w:hanging="2"/>
        <w:jc w:val="both"/>
      </w:pPr>
    </w:p>
    <w:p w:rsidR="00A4593A" w:rsidRDefault="0011121D">
      <w:pPr>
        <w:spacing w:line="240" w:lineRule="auto"/>
        <w:ind w:left="2" w:hanging="2"/>
        <w:jc w:val="both"/>
      </w:pPr>
      <w:r>
        <w:t xml:space="preserve">La agenda de la reunión consta como </w:t>
      </w:r>
      <w:r>
        <w:rPr>
          <w:b/>
        </w:rPr>
        <w:t>Anexo II.</w:t>
      </w:r>
    </w:p>
    <w:p w:rsidR="00A4593A" w:rsidRDefault="00A4593A">
      <w:pPr>
        <w:spacing w:line="240" w:lineRule="auto"/>
        <w:ind w:left="2" w:hanging="2"/>
        <w:jc w:val="both"/>
      </w:pPr>
    </w:p>
    <w:p w:rsidR="00A4593A" w:rsidRDefault="00E50B03">
      <w:pPr>
        <w:spacing w:line="240" w:lineRule="auto"/>
        <w:ind w:left="2" w:hanging="2"/>
        <w:jc w:val="both"/>
      </w:pPr>
      <w:r>
        <w:t>La PPTA</w:t>
      </w:r>
      <w:r w:rsidR="0011121D">
        <w:t xml:space="preserve"> dio la bienvenida a las delegaciones presentes y sometió a consideración la Agenda de la Reunión, que fue aprobada y consta en el anexo correspondiente. </w:t>
      </w:r>
    </w:p>
    <w:p w:rsidR="00A4593A" w:rsidRDefault="00A4593A">
      <w:pPr>
        <w:spacing w:line="240" w:lineRule="auto"/>
        <w:ind w:left="2" w:hanging="2"/>
        <w:jc w:val="both"/>
      </w:pPr>
    </w:p>
    <w:p w:rsidR="00A4593A" w:rsidRDefault="0011121D">
      <w:pPr>
        <w:spacing w:line="240" w:lineRule="auto"/>
        <w:ind w:left="2" w:hanging="2"/>
        <w:jc w:val="both"/>
      </w:pPr>
      <w:r>
        <w:t>Fueron tratados los siguientes temas:</w:t>
      </w:r>
    </w:p>
    <w:p w:rsidR="00A4593A" w:rsidRDefault="00A4593A">
      <w:pPr>
        <w:spacing w:line="240" w:lineRule="auto"/>
        <w:ind w:left="2" w:hanging="2"/>
        <w:jc w:val="both"/>
      </w:pPr>
    </w:p>
    <w:p w:rsidR="00A4593A" w:rsidRDefault="00A4593A">
      <w:pPr>
        <w:spacing w:line="240" w:lineRule="auto"/>
        <w:ind w:left="2" w:hanging="2"/>
        <w:jc w:val="both"/>
        <w:rPr>
          <w:b/>
          <w:color w:val="000000"/>
        </w:rPr>
      </w:pPr>
    </w:p>
    <w:p w:rsidR="00A4593A" w:rsidRDefault="0011121D">
      <w:pPr>
        <w:numPr>
          <w:ilvl w:val="0"/>
          <w:numId w:val="1"/>
        </w:numPr>
        <w:spacing w:line="240" w:lineRule="auto"/>
        <w:ind w:left="424" w:hanging="424"/>
        <w:jc w:val="both"/>
      </w:pPr>
      <w:r>
        <w:rPr>
          <w:b/>
          <w:color w:val="000000"/>
        </w:rPr>
        <w:t>PROPUESTA DE RECOMENDACIÓN TÉCNICA PARA LA RECUPERACIÓN DEL EMPLEO EN EL MERCOSUR: ESTADO DE SITUACIÓN.</w:t>
      </w:r>
    </w:p>
    <w:p w:rsidR="00A4593A" w:rsidRDefault="00A4593A">
      <w:pPr>
        <w:spacing w:line="240" w:lineRule="auto"/>
        <w:ind w:left="2" w:hanging="2"/>
        <w:jc w:val="both"/>
        <w:rPr>
          <w:b/>
          <w:color w:val="000000"/>
        </w:rPr>
      </w:pPr>
    </w:p>
    <w:p w:rsidR="00E50B03" w:rsidRDefault="00E50B03" w:rsidP="00A31652">
      <w:pPr>
        <w:spacing w:line="240" w:lineRule="auto"/>
        <w:ind w:left="2" w:hanging="2"/>
        <w:jc w:val="both"/>
      </w:pPr>
      <w:r>
        <w:rPr>
          <w:color w:val="000000"/>
        </w:rPr>
        <w:t xml:space="preserve">En la pasada reunión ordinaria la delegación de </w:t>
      </w:r>
      <w:r w:rsidR="0011121D">
        <w:t>Uruguay</w:t>
      </w:r>
      <w:r w:rsidR="0011121D">
        <w:rPr>
          <w:color w:val="000000"/>
        </w:rPr>
        <w:t xml:space="preserve"> </w:t>
      </w:r>
      <w:r w:rsidR="0011121D">
        <w:t>presentó</w:t>
      </w:r>
      <w:r w:rsidR="0011121D">
        <w:rPr>
          <w:color w:val="000000"/>
        </w:rPr>
        <w:t xml:space="preserve"> un </w:t>
      </w:r>
      <w:r w:rsidR="0011121D">
        <w:t xml:space="preserve">documento borrador con una propuesta </w:t>
      </w:r>
      <w:r w:rsidR="007A486B">
        <w:t>para iniciar la</w:t>
      </w:r>
      <w:r w:rsidR="0011121D">
        <w:t xml:space="preserve"> elaboración de una Recomendación </w:t>
      </w:r>
      <w:r w:rsidR="007A486B">
        <w:t xml:space="preserve">Técnica </w:t>
      </w:r>
      <w:r w:rsidR="0011121D">
        <w:t>para la Recuperación del Empleo en el MERCOSUR</w:t>
      </w:r>
      <w:r>
        <w:t xml:space="preserve">. </w:t>
      </w:r>
    </w:p>
    <w:p w:rsidR="00A31652" w:rsidRDefault="00A31652" w:rsidP="00A31652">
      <w:pPr>
        <w:spacing w:line="240" w:lineRule="auto"/>
        <w:ind w:left="2" w:hanging="2"/>
        <w:jc w:val="both"/>
      </w:pPr>
      <w:r>
        <w:t>Las delegaciones se comprometieron a remitir los comentarios a la próxima Presidencia Pro Témpore</w:t>
      </w:r>
      <w:r w:rsidR="007A486B">
        <w:t>, fijando como plazo fin</w:t>
      </w:r>
      <w:r>
        <w:t xml:space="preserve"> del mes de agosto.</w:t>
      </w:r>
    </w:p>
    <w:p w:rsidR="00E50B03" w:rsidRDefault="00E50B03">
      <w:pPr>
        <w:spacing w:line="240" w:lineRule="auto"/>
        <w:ind w:left="2" w:hanging="2"/>
        <w:jc w:val="both"/>
        <w:rPr>
          <w:b/>
        </w:rPr>
      </w:pPr>
    </w:p>
    <w:p w:rsidR="00A4593A" w:rsidRDefault="00E50B03" w:rsidP="00A31652">
      <w:pPr>
        <w:spacing w:line="240" w:lineRule="auto"/>
        <w:ind w:left="2" w:hanging="2"/>
        <w:jc w:val="both"/>
      </w:pPr>
      <w:r>
        <w:t xml:space="preserve">. </w:t>
      </w:r>
    </w:p>
    <w:p w:rsidR="00A4593A" w:rsidRDefault="00A4593A">
      <w:pPr>
        <w:spacing w:line="240" w:lineRule="auto"/>
        <w:ind w:left="2" w:hanging="2"/>
        <w:jc w:val="both"/>
      </w:pPr>
    </w:p>
    <w:p w:rsidR="00A4593A" w:rsidRDefault="0011121D">
      <w:pPr>
        <w:numPr>
          <w:ilvl w:val="1"/>
          <w:numId w:val="2"/>
        </w:numPr>
        <w:spacing w:line="240" w:lineRule="auto"/>
        <w:ind w:left="708" w:hanging="2"/>
        <w:jc w:val="both"/>
        <w:rPr>
          <w:b/>
        </w:rPr>
      </w:pPr>
      <w:r>
        <w:rPr>
          <w:b/>
        </w:rPr>
        <w:t xml:space="preserve"> Cuadro sobre la </w:t>
      </w:r>
      <w:r>
        <w:rPr>
          <w:b/>
          <w:i/>
        </w:rPr>
        <w:t>Política</w:t>
      </w:r>
      <w:r w:rsidR="007A486B">
        <w:rPr>
          <w:b/>
          <w:i/>
        </w:rPr>
        <w:t>s</w:t>
      </w:r>
      <w:r>
        <w:rPr>
          <w:b/>
          <w:i/>
        </w:rPr>
        <w:t xml:space="preserve"> Pública</w:t>
      </w:r>
      <w:r w:rsidR="007A486B">
        <w:rPr>
          <w:b/>
          <w:i/>
        </w:rPr>
        <w:t>s</w:t>
      </w:r>
      <w:r>
        <w:rPr>
          <w:b/>
          <w:i/>
        </w:rPr>
        <w:t xml:space="preserve"> de Empleo Específicas</w:t>
      </w:r>
    </w:p>
    <w:p w:rsidR="00A4593A" w:rsidRDefault="00A4593A">
      <w:pPr>
        <w:spacing w:line="240" w:lineRule="auto"/>
        <w:ind w:left="2" w:hanging="2"/>
        <w:jc w:val="both"/>
        <w:rPr>
          <w:b/>
          <w:i/>
        </w:rPr>
      </w:pPr>
    </w:p>
    <w:p w:rsidR="00A4593A" w:rsidRDefault="00A4593A" w:rsidP="007A486B">
      <w:pPr>
        <w:spacing w:line="240" w:lineRule="auto"/>
        <w:ind w:left="0" w:firstLine="0"/>
        <w:jc w:val="both"/>
        <w:rPr>
          <w:b/>
        </w:rPr>
      </w:pPr>
    </w:p>
    <w:p w:rsidR="00A4593A" w:rsidRPr="00240803" w:rsidRDefault="0011121D">
      <w:pPr>
        <w:spacing w:line="240" w:lineRule="auto"/>
        <w:ind w:left="2" w:hanging="2"/>
        <w:jc w:val="both"/>
      </w:pPr>
      <w:r>
        <w:t>La delegación gubernamental de Paraguay</w:t>
      </w:r>
      <w:r w:rsidR="007C4D1A">
        <w:t xml:space="preserve"> presentar</w:t>
      </w:r>
      <w:r w:rsidR="00A31652">
        <w:t>á a la próxima PPT el cuadro de políticas específicas.</w:t>
      </w:r>
    </w:p>
    <w:p w:rsidR="00A4593A" w:rsidRDefault="00A4593A">
      <w:pPr>
        <w:spacing w:line="240" w:lineRule="auto"/>
        <w:ind w:left="2" w:hanging="2"/>
        <w:jc w:val="both"/>
      </w:pPr>
    </w:p>
    <w:p w:rsidR="00A4593A" w:rsidRDefault="00A4593A">
      <w:pPr>
        <w:spacing w:line="240" w:lineRule="auto"/>
        <w:ind w:left="2" w:hanging="2"/>
        <w:jc w:val="both"/>
      </w:pPr>
    </w:p>
    <w:p w:rsidR="00A4593A" w:rsidRPr="00A31652" w:rsidRDefault="0011121D">
      <w:pPr>
        <w:numPr>
          <w:ilvl w:val="0"/>
          <w:numId w:val="1"/>
        </w:numPr>
        <w:tabs>
          <w:tab w:val="left" w:pos="567"/>
        </w:tabs>
        <w:spacing w:line="240" w:lineRule="auto"/>
        <w:ind w:left="2" w:hanging="2"/>
        <w:jc w:val="both"/>
      </w:pPr>
      <w:r>
        <w:rPr>
          <w:b/>
        </w:rPr>
        <w:lastRenderedPageBreak/>
        <w:t>OTROS TEMAS.</w:t>
      </w:r>
    </w:p>
    <w:p w:rsidR="00A31652" w:rsidRDefault="00A31652" w:rsidP="00A31652">
      <w:pPr>
        <w:tabs>
          <w:tab w:val="left" w:pos="567"/>
        </w:tabs>
        <w:spacing w:line="240" w:lineRule="auto"/>
        <w:ind w:left="0" w:firstLine="0"/>
        <w:jc w:val="both"/>
      </w:pPr>
    </w:p>
    <w:p w:rsidR="00A4593A" w:rsidRDefault="00A31652">
      <w:pPr>
        <w:spacing w:line="240" w:lineRule="auto"/>
        <w:ind w:left="2" w:hanging="2"/>
        <w:jc w:val="both"/>
        <w:rPr>
          <w:b/>
          <w:color w:val="000000"/>
        </w:rPr>
      </w:pPr>
      <w:r>
        <w:t xml:space="preserve">La delegación gubernamental de Argentina recordó que en la pasada reunión había mencionado sobre la importancia de definir un perfil para el </w:t>
      </w:r>
      <w:r>
        <w:rPr>
          <w:color w:val="000000"/>
        </w:rPr>
        <w:t xml:space="preserve">GANEMPLE </w:t>
      </w:r>
      <w:r>
        <w:t xml:space="preserve">que </w:t>
      </w:r>
      <w:r>
        <w:rPr>
          <w:color w:val="000000"/>
        </w:rPr>
        <w:t>se dirija</w:t>
      </w:r>
      <w:r>
        <w:t xml:space="preserve"> hacia un enfoque de </w:t>
      </w:r>
      <w:r>
        <w:rPr>
          <w:color w:val="000000"/>
        </w:rPr>
        <w:t>desarrollo productivo y cadenas de valo</w:t>
      </w:r>
      <w:r>
        <w:t>r</w:t>
      </w:r>
    </w:p>
    <w:p w:rsidR="007A486B" w:rsidRDefault="00A31652" w:rsidP="00A31652">
      <w:pPr>
        <w:spacing w:line="240" w:lineRule="auto"/>
        <w:ind w:left="2" w:hanging="2"/>
        <w:jc w:val="both"/>
      </w:pPr>
      <w:bookmarkStart w:id="2" w:name="_heading=h.1fob9te" w:colFirst="0" w:colLast="0"/>
      <w:bookmarkEnd w:id="2"/>
      <w:r>
        <w:t xml:space="preserve">Las delegaciones encomendaron </w:t>
      </w:r>
      <w:r>
        <w:t xml:space="preserve">a </w:t>
      </w:r>
      <w:r>
        <w:t>la próxima PPT impulsar</w:t>
      </w:r>
      <w:r>
        <w:t xml:space="preserve"> el dialogo entre trabajadores y empleadore</w:t>
      </w:r>
      <w:r>
        <w:t>s para analizar la perspectiva</w:t>
      </w:r>
      <w:r>
        <w:t xml:space="preserve"> de un avance en la instrumentación de las cadenas de valor y suministro.</w:t>
      </w:r>
    </w:p>
    <w:p w:rsidR="00A31652" w:rsidRDefault="007A486B" w:rsidP="00A31652">
      <w:pPr>
        <w:spacing w:line="240" w:lineRule="auto"/>
        <w:ind w:left="2" w:hanging="2"/>
        <w:jc w:val="both"/>
      </w:pPr>
      <w:r>
        <w:t>La delegación de Uruguay destacó la necesidad de profundizar los esfuerzos para abordar los salarios sumergidos y la informalidad, especialmente en la zona de frontera, donde estas problemáticas se agravan. Resulta clave implementar estrategias que promuevan la formalización y mejoren las condiciones de trabajo en estos territorios.</w:t>
      </w:r>
      <w:r w:rsidR="00A31652">
        <w:t xml:space="preserve">  </w:t>
      </w:r>
    </w:p>
    <w:p w:rsidR="007A486B" w:rsidRDefault="007A486B" w:rsidP="00A31652">
      <w:pPr>
        <w:spacing w:line="240" w:lineRule="auto"/>
        <w:ind w:left="2" w:hanging="2"/>
        <w:jc w:val="both"/>
      </w:pPr>
      <w:r>
        <w:t xml:space="preserve">El sector trabajador de Brasil también manifestó la importancia de la recomendación 204 de la OIT y la preocupación por la pérdida del poder adquisitivo de los salarios.  También destacó la necesidad de intensificar el compromiso con los contenidos de la Declaración </w:t>
      </w:r>
      <w:proofErr w:type="spellStart"/>
      <w:r>
        <w:t>Sociolaboral</w:t>
      </w:r>
      <w:proofErr w:type="spellEnd"/>
      <w:r>
        <w:t xml:space="preserve"> del MERCOSUR y la importancia de fortalecer el diálogo tripartito.</w:t>
      </w:r>
    </w:p>
    <w:p w:rsidR="008F1328" w:rsidRDefault="008F1328" w:rsidP="00A31652">
      <w:pPr>
        <w:spacing w:line="240" w:lineRule="auto"/>
        <w:ind w:left="2" w:hanging="2"/>
        <w:jc w:val="both"/>
      </w:pPr>
      <w:r>
        <w:t>El sector trabajador de Argentina expresó su coincidencia con lo dicho por el sector trabajador de Brasil.</w:t>
      </w:r>
      <w:bookmarkStart w:id="3" w:name="_GoBack"/>
      <w:bookmarkEnd w:id="3"/>
    </w:p>
    <w:p w:rsidR="00A31652" w:rsidRDefault="00A31652" w:rsidP="00A31652">
      <w:pPr>
        <w:spacing w:line="240" w:lineRule="auto"/>
        <w:ind w:left="2" w:hanging="2"/>
        <w:jc w:val="both"/>
      </w:pPr>
      <w:r>
        <w:t xml:space="preserve">También, se propuso </w:t>
      </w:r>
      <w:r>
        <w:t>la posibilidad de conformar un grupo de expertos para analizar la cuestión de la</w:t>
      </w:r>
      <w:r>
        <w:t xml:space="preserve"> informalidad</w:t>
      </w:r>
      <w:r>
        <w:t xml:space="preserve"> en la región </w:t>
      </w:r>
      <w:r>
        <w:t xml:space="preserve">y la incidencia </w:t>
      </w:r>
      <w:r>
        <w:t xml:space="preserve">de </w:t>
      </w:r>
      <w:r w:rsidR="002510F9">
        <w:t>la</w:t>
      </w:r>
      <w:r w:rsidR="00740AC9">
        <w:t xml:space="preserve"> productividad</w:t>
      </w:r>
      <w:r>
        <w:t xml:space="preserve"> comparti</w:t>
      </w:r>
      <w:r w:rsidR="007A1169">
        <w:t>da.</w:t>
      </w:r>
    </w:p>
    <w:p w:rsidR="007A1169" w:rsidRDefault="007A1169" w:rsidP="00A31652">
      <w:pPr>
        <w:spacing w:line="240" w:lineRule="auto"/>
        <w:ind w:left="2" w:hanging="2"/>
        <w:jc w:val="both"/>
      </w:pPr>
      <w:r>
        <w:t>Se solicitó a la siguiente PPT la elaboración de un informe de estado de situación del empleo en la región, que tenga en consideración los informes elaborados por el OMTM.</w:t>
      </w:r>
    </w:p>
    <w:p w:rsidR="007A1169" w:rsidRDefault="007A1169" w:rsidP="00A31652">
      <w:pPr>
        <w:spacing w:line="240" w:lineRule="auto"/>
        <w:ind w:left="2" w:hanging="2"/>
        <w:jc w:val="both"/>
      </w:pPr>
    </w:p>
    <w:p w:rsidR="00A31652" w:rsidRDefault="00A31652" w:rsidP="00A31652">
      <w:pPr>
        <w:spacing w:line="240" w:lineRule="auto"/>
        <w:ind w:left="2" w:hanging="2"/>
        <w:jc w:val="both"/>
      </w:pPr>
    </w:p>
    <w:p w:rsidR="00A4593A" w:rsidRDefault="00A4593A">
      <w:pPr>
        <w:spacing w:line="240" w:lineRule="auto"/>
        <w:ind w:left="2" w:hanging="2"/>
        <w:jc w:val="both"/>
      </w:pPr>
    </w:p>
    <w:p w:rsidR="00A4593A" w:rsidRDefault="00A4593A">
      <w:pPr>
        <w:spacing w:line="240" w:lineRule="auto"/>
        <w:ind w:left="2" w:hanging="2"/>
        <w:jc w:val="both"/>
      </w:pPr>
    </w:p>
    <w:p w:rsidR="00A4593A" w:rsidRDefault="0011121D">
      <w:pPr>
        <w:spacing w:line="240" w:lineRule="auto"/>
        <w:ind w:left="2" w:hanging="2"/>
        <w:jc w:val="both"/>
        <w:rPr>
          <w:b/>
        </w:rPr>
      </w:pPr>
      <w:r>
        <w:rPr>
          <w:b/>
        </w:rPr>
        <w:t>PRÓXIMA REUNIÓN</w:t>
      </w:r>
    </w:p>
    <w:p w:rsidR="00A4593A" w:rsidRDefault="00A4593A">
      <w:pPr>
        <w:spacing w:line="240" w:lineRule="auto"/>
        <w:ind w:left="2" w:hanging="2"/>
        <w:jc w:val="both"/>
      </w:pPr>
    </w:p>
    <w:p w:rsidR="00A4593A" w:rsidRDefault="0011121D">
      <w:pPr>
        <w:spacing w:line="240" w:lineRule="auto"/>
        <w:ind w:left="2" w:hanging="2"/>
        <w:jc w:val="both"/>
      </w:pPr>
      <w:r>
        <w:t>La próxima reunión GANEMPLE, será convocada por la siguiente PPT.</w:t>
      </w:r>
    </w:p>
    <w:p w:rsidR="00A4593A" w:rsidRDefault="00A4593A">
      <w:pPr>
        <w:spacing w:line="240" w:lineRule="auto"/>
        <w:ind w:left="2" w:hanging="2"/>
        <w:jc w:val="both"/>
        <w:rPr>
          <w:b/>
        </w:rPr>
      </w:pPr>
    </w:p>
    <w:p w:rsidR="00A4593A" w:rsidRDefault="00A4593A">
      <w:pPr>
        <w:spacing w:line="240" w:lineRule="auto"/>
        <w:ind w:left="2" w:hanging="2"/>
        <w:jc w:val="both"/>
        <w:rPr>
          <w:b/>
        </w:rPr>
      </w:pPr>
    </w:p>
    <w:p w:rsidR="00A4593A" w:rsidRDefault="0011121D">
      <w:pPr>
        <w:spacing w:line="240" w:lineRule="auto"/>
        <w:ind w:left="2" w:hanging="2"/>
        <w:jc w:val="both"/>
      </w:pPr>
      <w:r>
        <w:rPr>
          <w:b/>
        </w:rPr>
        <w:t>ANEXOS</w:t>
      </w:r>
    </w:p>
    <w:p w:rsidR="00A4593A" w:rsidRDefault="00A4593A">
      <w:pPr>
        <w:spacing w:line="240" w:lineRule="auto"/>
        <w:ind w:left="2" w:hanging="2"/>
        <w:jc w:val="both"/>
      </w:pPr>
    </w:p>
    <w:p w:rsidR="00A4593A" w:rsidRDefault="0011121D">
      <w:pPr>
        <w:spacing w:line="240" w:lineRule="auto"/>
        <w:ind w:left="2" w:hanging="2"/>
        <w:jc w:val="both"/>
      </w:pPr>
      <w:r>
        <w:t xml:space="preserve">Los Anexos que forman parte de la presente Acta son los siguientes: </w:t>
      </w:r>
    </w:p>
    <w:p w:rsidR="00A4593A" w:rsidRDefault="00A4593A">
      <w:pPr>
        <w:spacing w:line="240" w:lineRule="auto"/>
        <w:ind w:left="2" w:hanging="2"/>
        <w:jc w:val="both"/>
      </w:pPr>
    </w:p>
    <w:tbl>
      <w:tblPr>
        <w:tblStyle w:val="a"/>
        <w:tblW w:w="854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450"/>
        <w:gridCol w:w="7099"/>
      </w:tblGrid>
      <w:tr w:rsidR="00A4593A">
        <w:trPr>
          <w:trHeight w:val="403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593A" w:rsidRDefault="0011121D">
            <w:pPr>
              <w:spacing w:line="240" w:lineRule="auto"/>
              <w:ind w:left="2" w:hanging="2"/>
            </w:pPr>
            <w:r>
              <w:rPr>
                <w:b/>
              </w:rPr>
              <w:t>Anexo I</w:t>
            </w:r>
          </w:p>
        </w:tc>
        <w:tc>
          <w:tcPr>
            <w:tcW w:w="7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593A" w:rsidRDefault="0011121D">
            <w:pPr>
              <w:spacing w:line="240" w:lineRule="auto"/>
              <w:ind w:left="2" w:hanging="2"/>
              <w:jc w:val="both"/>
            </w:pPr>
            <w:r>
              <w:t>Lista de Participantes.</w:t>
            </w:r>
          </w:p>
        </w:tc>
      </w:tr>
      <w:tr w:rsidR="00A4593A">
        <w:trPr>
          <w:trHeight w:val="407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593A" w:rsidRDefault="0011121D">
            <w:pPr>
              <w:spacing w:line="240" w:lineRule="auto"/>
              <w:ind w:left="2" w:hanging="2"/>
            </w:pPr>
            <w:r>
              <w:rPr>
                <w:b/>
              </w:rPr>
              <w:t>Anexo II</w:t>
            </w:r>
          </w:p>
        </w:tc>
        <w:tc>
          <w:tcPr>
            <w:tcW w:w="7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593A" w:rsidRDefault="0011121D">
            <w:pPr>
              <w:spacing w:line="240" w:lineRule="auto"/>
              <w:ind w:left="2" w:hanging="2"/>
              <w:jc w:val="both"/>
            </w:pPr>
            <w:r>
              <w:t>Agenda.</w:t>
            </w:r>
          </w:p>
        </w:tc>
      </w:tr>
    </w:tbl>
    <w:p w:rsidR="00A4593A" w:rsidRDefault="0011121D">
      <w:pPr>
        <w:ind w:left="0" w:hanging="2"/>
      </w:pPr>
      <w:r>
        <w:br w:type="page"/>
      </w:r>
    </w:p>
    <w:p w:rsidR="00A4593A" w:rsidRDefault="00A4593A">
      <w:pPr>
        <w:ind w:left="0" w:hanging="2"/>
      </w:pPr>
    </w:p>
    <w:p w:rsidR="00A4593A" w:rsidRDefault="00A4593A">
      <w:pPr>
        <w:spacing w:line="240" w:lineRule="auto"/>
        <w:ind w:left="2" w:hanging="2"/>
        <w:rPr>
          <w:highlight w:val="yellow"/>
          <w:u w:val="single"/>
        </w:rPr>
      </w:pPr>
    </w:p>
    <w:p w:rsidR="00A4593A" w:rsidRDefault="00A4593A">
      <w:pPr>
        <w:spacing w:line="240" w:lineRule="auto"/>
        <w:ind w:left="2" w:hanging="2"/>
        <w:rPr>
          <w:highlight w:val="yellow"/>
          <w:u w:val="single"/>
        </w:rPr>
      </w:pPr>
    </w:p>
    <w:p w:rsidR="00A4593A" w:rsidRDefault="00A4593A">
      <w:pPr>
        <w:spacing w:line="240" w:lineRule="auto"/>
        <w:ind w:left="2" w:hanging="2"/>
        <w:rPr>
          <w:highlight w:val="yellow"/>
          <w:u w:val="single"/>
        </w:rPr>
      </w:pPr>
    </w:p>
    <w:p w:rsidR="00A4593A" w:rsidRDefault="00A4593A">
      <w:pPr>
        <w:spacing w:line="240" w:lineRule="auto"/>
        <w:ind w:left="2" w:hanging="2"/>
        <w:rPr>
          <w:highlight w:val="yellow"/>
          <w:u w:val="single"/>
        </w:rPr>
      </w:pPr>
    </w:p>
    <w:p w:rsidR="00A4593A" w:rsidRDefault="00A4593A">
      <w:pPr>
        <w:spacing w:line="240" w:lineRule="auto"/>
        <w:ind w:left="2" w:hanging="2"/>
        <w:rPr>
          <w:highlight w:val="yellow"/>
          <w:u w:val="single"/>
        </w:rPr>
      </w:pPr>
    </w:p>
    <w:tbl>
      <w:tblPr>
        <w:tblStyle w:val="a1"/>
        <w:tblW w:w="897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89"/>
        <w:gridCol w:w="4488"/>
      </w:tblGrid>
      <w:tr w:rsidR="00A4593A">
        <w:tc>
          <w:tcPr>
            <w:tcW w:w="4489" w:type="dxa"/>
            <w:shd w:val="clear" w:color="auto" w:fill="auto"/>
          </w:tcPr>
          <w:p w:rsidR="00A4593A" w:rsidRDefault="0011121D">
            <w:pPr>
              <w:spacing w:line="240" w:lineRule="auto"/>
              <w:ind w:left="2" w:hanging="2"/>
            </w:pPr>
            <w:r>
              <w:rPr>
                <w:b/>
              </w:rPr>
              <w:t>______________________________</w:t>
            </w:r>
          </w:p>
          <w:p w:rsidR="00A4593A" w:rsidRDefault="0011121D">
            <w:pPr>
              <w:spacing w:line="240" w:lineRule="auto"/>
              <w:ind w:left="2" w:hanging="2"/>
              <w:jc w:val="center"/>
              <w:rPr>
                <w:b/>
              </w:rPr>
            </w:pPr>
            <w:r>
              <w:rPr>
                <w:b/>
              </w:rPr>
              <w:t>Por la Delegación de Argentina</w:t>
            </w:r>
          </w:p>
          <w:p w:rsidR="00A95E55" w:rsidRPr="00A95E55" w:rsidRDefault="00A95E55">
            <w:pPr>
              <w:spacing w:line="240" w:lineRule="auto"/>
              <w:ind w:left="2" w:hanging="2"/>
              <w:jc w:val="center"/>
            </w:pPr>
            <w:r w:rsidRPr="00A95E55">
              <w:t>Gerardo Corres</w:t>
            </w:r>
          </w:p>
          <w:p w:rsidR="00A4593A" w:rsidRDefault="00A4593A" w:rsidP="00E50B03">
            <w:pPr>
              <w:spacing w:line="240" w:lineRule="auto"/>
              <w:ind w:left="2" w:hanging="2"/>
              <w:jc w:val="center"/>
            </w:pPr>
          </w:p>
        </w:tc>
        <w:tc>
          <w:tcPr>
            <w:tcW w:w="4488" w:type="dxa"/>
            <w:shd w:val="clear" w:color="auto" w:fill="auto"/>
          </w:tcPr>
          <w:p w:rsidR="00A4593A" w:rsidRDefault="0011121D">
            <w:pPr>
              <w:spacing w:line="240" w:lineRule="auto"/>
              <w:ind w:left="2" w:hanging="2"/>
            </w:pPr>
            <w:r>
              <w:rPr>
                <w:b/>
              </w:rPr>
              <w:t>_______________________________</w:t>
            </w:r>
          </w:p>
          <w:p w:rsidR="00A4593A" w:rsidRDefault="0011121D">
            <w:pPr>
              <w:spacing w:line="240" w:lineRule="auto"/>
              <w:ind w:left="2" w:hanging="2"/>
              <w:jc w:val="center"/>
            </w:pPr>
            <w:r>
              <w:rPr>
                <w:b/>
              </w:rPr>
              <w:t>Por la Delegación de Brasil</w:t>
            </w:r>
          </w:p>
          <w:p w:rsidR="00A4593A" w:rsidRDefault="0011121D">
            <w:pPr>
              <w:spacing w:line="240" w:lineRule="auto"/>
              <w:ind w:left="2" w:hanging="2"/>
              <w:jc w:val="center"/>
            </w:pPr>
            <w:proofErr w:type="spellStart"/>
            <w:r>
              <w:t>Tiago</w:t>
            </w:r>
            <w:proofErr w:type="spellEnd"/>
            <w:r>
              <w:t xml:space="preserve"> Oliveira Motta</w:t>
            </w:r>
          </w:p>
        </w:tc>
      </w:tr>
      <w:tr w:rsidR="00A4593A">
        <w:trPr>
          <w:trHeight w:val="2119"/>
        </w:trPr>
        <w:tc>
          <w:tcPr>
            <w:tcW w:w="4489" w:type="dxa"/>
            <w:shd w:val="clear" w:color="auto" w:fill="auto"/>
          </w:tcPr>
          <w:p w:rsidR="00A4593A" w:rsidRDefault="00A4593A">
            <w:pPr>
              <w:spacing w:line="240" w:lineRule="auto"/>
              <w:ind w:left="2" w:hanging="2"/>
              <w:rPr>
                <w:u w:val="single"/>
              </w:rPr>
            </w:pPr>
          </w:p>
          <w:p w:rsidR="00A4593A" w:rsidRDefault="00A4593A">
            <w:pPr>
              <w:spacing w:line="240" w:lineRule="auto"/>
              <w:ind w:left="2" w:hanging="2"/>
              <w:rPr>
                <w:u w:val="single"/>
              </w:rPr>
            </w:pPr>
          </w:p>
          <w:p w:rsidR="00A4593A" w:rsidRDefault="00A4593A">
            <w:pPr>
              <w:spacing w:line="240" w:lineRule="auto"/>
              <w:ind w:left="2" w:hanging="2"/>
              <w:rPr>
                <w:u w:val="single"/>
              </w:rPr>
            </w:pPr>
          </w:p>
          <w:p w:rsidR="00A4593A" w:rsidRDefault="00A4593A">
            <w:pPr>
              <w:spacing w:line="240" w:lineRule="auto"/>
              <w:ind w:left="2" w:hanging="2"/>
            </w:pPr>
          </w:p>
          <w:p w:rsidR="00A4593A" w:rsidRDefault="0011121D">
            <w:pPr>
              <w:spacing w:line="240" w:lineRule="auto"/>
              <w:ind w:left="2" w:hanging="2"/>
            </w:pPr>
            <w:r>
              <w:rPr>
                <w:b/>
              </w:rPr>
              <w:t>_______________________________</w:t>
            </w:r>
          </w:p>
          <w:p w:rsidR="00A4593A" w:rsidRDefault="0011121D">
            <w:pPr>
              <w:spacing w:line="240" w:lineRule="auto"/>
              <w:ind w:left="2" w:hanging="2"/>
              <w:jc w:val="center"/>
            </w:pPr>
            <w:r>
              <w:rPr>
                <w:b/>
              </w:rPr>
              <w:t>Por la Delegación de Paraguay</w:t>
            </w:r>
          </w:p>
          <w:p w:rsidR="00A4593A" w:rsidRDefault="0011121D">
            <w:pPr>
              <w:spacing w:line="240" w:lineRule="auto"/>
              <w:ind w:left="2" w:hanging="2"/>
              <w:jc w:val="center"/>
            </w:pPr>
            <w:proofErr w:type="spellStart"/>
            <w:r>
              <w:t>Wilberto</w:t>
            </w:r>
            <w:proofErr w:type="spellEnd"/>
            <w:r>
              <w:t xml:space="preserve"> </w:t>
            </w:r>
            <w:proofErr w:type="spellStart"/>
            <w:r>
              <w:t>Otazú</w:t>
            </w:r>
            <w:proofErr w:type="spellEnd"/>
          </w:p>
          <w:p w:rsidR="0011121D" w:rsidRDefault="0011121D">
            <w:pPr>
              <w:spacing w:line="240" w:lineRule="auto"/>
              <w:ind w:left="2" w:hanging="2"/>
              <w:jc w:val="center"/>
            </w:pPr>
          </w:p>
          <w:p w:rsidR="0011121D" w:rsidRDefault="0011121D">
            <w:pPr>
              <w:spacing w:line="240" w:lineRule="auto"/>
              <w:ind w:left="2" w:hanging="2"/>
              <w:jc w:val="center"/>
            </w:pPr>
          </w:p>
          <w:p w:rsidR="0011121D" w:rsidRDefault="0011121D">
            <w:pPr>
              <w:spacing w:line="240" w:lineRule="auto"/>
              <w:ind w:left="2" w:hanging="2"/>
              <w:jc w:val="center"/>
            </w:pPr>
          </w:p>
          <w:p w:rsidR="0011121D" w:rsidRPr="00EF5E11" w:rsidRDefault="0011121D" w:rsidP="0011121D">
            <w:pPr>
              <w:suppressAutoHyphens/>
              <w:spacing w:line="240" w:lineRule="auto"/>
              <w:ind w:left="0" w:firstLine="0"/>
              <w:textAlignment w:val="auto"/>
              <w:outlineLvl w:val="9"/>
              <w:rPr>
                <w:b/>
              </w:rPr>
            </w:pPr>
            <w:r w:rsidRPr="00EF5E11">
              <w:rPr>
                <w:b/>
              </w:rPr>
              <w:t xml:space="preserve">______________________________      </w:t>
            </w:r>
          </w:p>
          <w:p w:rsidR="0011121D" w:rsidRDefault="0011121D" w:rsidP="0011121D">
            <w:pPr>
              <w:suppressAutoHyphens/>
              <w:spacing w:line="240" w:lineRule="auto"/>
              <w:ind w:left="0" w:firstLine="0"/>
              <w:textAlignment w:val="auto"/>
              <w:outlineLvl w:val="9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EF5E11">
              <w:rPr>
                <w:b/>
              </w:rPr>
              <w:t xml:space="preserve"> Por la Delegación de Bolivia</w:t>
            </w:r>
          </w:p>
          <w:p w:rsidR="0011121D" w:rsidRDefault="0011121D">
            <w:pPr>
              <w:spacing w:line="240" w:lineRule="auto"/>
              <w:ind w:left="2" w:hanging="2"/>
              <w:jc w:val="center"/>
            </w:pPr>
            <w:r>
              <w:t>Gonzalo Omar Zambrana Avila</w:t>
            </w:r>
          </w:p>
        </w:tc>
        <w:tc>
          <w:tcPr>
            <w:tcW w:w="4488" w:type="dxa"/>
            <w:shd w:val="clear" w:color="auto" w:fill="auto"/>
          </w:tcPr>
          <w:p w:rsidR="00A4593A" w:rsidRDefault="00A4593A">
            <w:pPr>
              <w:spacing w:line="240" w:lineRule="auto"/>
              <w:ind w:left="2" w:hanging="2"/>
            </w:pPr>
          </w:p>
          <w:p w:rsidR="00A4593A" w:rsidRDefault="00A4593A">
            <w:pPr>
              <w:spacing w:line="240" w:lineRule="auto"/>
              <w:ind w:left="2" w:hanging="2"/>
            </w:pPr>
          </w:p>
          <w:p w:rsidR="00A4593A" w:rsidRDefault="00A4593A">
            <w:pPr>
              <w:spacing w:line="240" w:lineRule="auto"/>
              <w:ind w:left="2" w:hanging="2"/>
            </w:pPr>
          </w:p>
          <w:p w:rsidR="00A4593A" w:rsidRDefault="00A4593A">
            <w:pPr>
              <w:spacing w:line="240" w:lineRule="auto"/>
              <w:ind w:left="2" w:hanging="2"/>
            </w:pPr>
          </w:p>
          <w:p w:rsidR="00A4593A" w:rsidRDefault="0011121D">
            <w:pPr>
              <w:spacing w:line="240" w:lineRule="auto"/>
              <w:ind w:left="2" w:hanging="2"/>
            </w:pPr>
            <w:r>
              <w:rPr>
                <w:b/>
              </w:rPr>
              <w:t>_______________________________</w:t>
            </w:r>
          </w:p>
          <w:p w:rsidR="00A4593A" w:rsidRDefault="0011121D">
            <w:pPr>
              <w:spacing w:line="240" w:lineRule="auto"/>
              <w:ind w:left="2" w:hanging="2"/>
              <w:jc w:val="center"/>
            </w:pPr>
            <w:r>
              <w:rPr>
                <w:b/>
              </w:rPr>
              <w:t>Por la Delegación de Uruguay</w:t>
            </w:r>
          </w:p>
          <w:p w:rsidR="00A4593A" w:rsidRDefault="00A95E55">
            <w:pPr>
              <w:spacing w:line="240" w:lineRule="auto"/>
              <w:ind w:left="2" w:hanging="2"/>
              <w:jc w:val="center"/>
            </w:pPr>
            <w:r>
              <w:t>Federico Araya</w:t>
            </w:r>
          </w:p>
          <w:p w:rsidR="00A4593A" w:rsidRDefault="00A4593A">
            <w:pPr>
              <w:spacing w:line="240" w:lineRule="auto"/>
              <w:ind w:left="2" w:hanging="2"/>
              <w:jc w:val="center"/>
            </w:pPr>
          </w:p>
        </w:tc>
      </w:tr>
    </w:tbl>
    <w:p w:rsidR="00A4593A" w:rsidRDefault="00A4593A">
      <w:pPr>
        <w:spacing w:line="240" w:lineRule="auto"/>
        <w:ind w:left="2" w:hanging="2"/>
        <w:jc w:val="both"/>
      </w:pPr>
    </w:p>
    <w:sectPr w:rsidR="00A459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E2A" w:rsidRDefault="001C1E2A">
      <w:pPr>
        <w:spacing w:line="240" w:lineRule="auto"/>
      </w:pPr>
      <w:r>
        <w:separator/>
      </w:r>
    </w:p>
  </w:endnote>
  <w:endnote w:type="continuationSeparator" w:id="0">
    <w:p w:rsidR="001C1E2A" w:rsidRDefault="001C1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3A" w:rsidRDefault="0011121D">
    <w:pPr>
      <w:tabs>
        <w:tab w:val="center" w:pos="4252"/>
        <w:tab w:val="right" w:pos="8504"/>
      </w:tabs>
      <w:spacing w:line="240" w:lineRule="auto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8F1328">
      <w:rPr>
        <w:noProof/>
      </w:rPr>
      <w:t>2</w:t>
    </w:r>
    <w:r>
      <w:fldChar w:fldCharType="end"/>
    </w:r>
  </w:p>
  <w:p w:rsidR="00A4593A" w:rsidRDefault="00A4593A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3A" w:rsidRDefault="0011121D">
    <w:pPr>
      <w:tabs>
        <w:tab w:val="center" w:pos="4252"/>
        <w:tab w:val="right" w:pos="8504"/>
      </w:tabs>
      <w:spacing w:line="240" w:lineRule="auto"/>
      <w:ind w:left="0" w:hanging="2"/>
      <w:jc w:val="center"/>
      <w:rPr>
        <w:b/>
        <w:i/>
        <w:sz w:val="16"/>
        <w:szCs w:val="16"/>
      </w:rPr>
    </w:pPr>
    <w:r>
      <w:rPr>
        <w:b/>
        <w:i/>
        <w:sz w:val="16"/>
        <w:szCs w:val="16"/>
      </w:rPr>
      <w:t>Secretaría del MERCOSUR</w:t>
    </w:r>
  </w:p>
  <w:p w:rsidR="00A4593A" w:rsidRDefault="0011121D">
    <w:pPr>
      <w:tabs>
        <w:tab w:val="center" w:pos="4252"/>
        <w:tab w:val="right" w:pos="8504"/>
      </w:tabs>
      <w:spacing w:line="240" w:lineRule="auto"/>
      <w:ind w:left="0" w:hanging="2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        Archivo Oficial</w:t>
    </w:r>
  </w:p>
  <w:p w:rsidR="00A4593A" w:rsidRDefault="0011121D">
    <w:pPr>
      <w:tabs>
        <w:tab w:val="center" w:pos="4252"/>
        <w:tab w:val="right" w:pos="8504"/>
      </w:tabs>
      <w:spacing w:line="240" w:lineRule="auto"/>
      <w:ind w:left="0" w:hanging="2"/>
      <w:jc w:val="center"/>
      <w:rPr>
        <w:b/>
        <w:i/>
        <w:sz w:val="16"/>
        <w:szCs w:val="16"/>
      </w:rPr>
    </w:pPr>
    <w:r>
      <w:rPr>
        <w:sz w:val="16"/>
        <w:szCs w:val="16"/>
      </w:rPr>
      <w:t xml:space="preserve">        www.mercosur.int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E2A" w:rsidRDefault="001C1E2A">
      <w:pPr>
        <w:spacing w:line="240" w:lineRule="auto"/>
      </w:pPr>
      <w:r>
        <w:separator/>
      </w:r>
    </w:p>
  </w:footnote>
  <w:footnote w:type="continuationSeparator" w:id="0">
    <w:p w:rsidR="001C1E2A" w:rsidRDefault="001C1E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3A" w:rsidRDefault="001112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Arial"/>
        <w:color w:val="000000"/>
        <w:szCs w:val="24"/>
      </w:rPr>
    </w:pPr>
    <w:r>
      <w:rPr>
        <w:rFonts w:eastAsia="Arial"/>
        <w:color w:val="000000"/>
        <w:szCs w:val="24"/>
      </w:rP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3A" w:rsidRDefault="001112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Arial"/>
        <w:color w:val="000000"/>
        <w:szCs w:val="24"/>
      </w:rPr>
    </w:pPr>
    <w:r>
      <w:rPr>
        <w:rFonts w:eastAsia="Arial"/>
        <w:noProof/>
        <w:color w:val="000000"/>
        <w:szCs w:val="24"/>
        <w:lang w:val="es-AR" w:eastAsia="es-AR"/>
      </w:rPr>
      <w:drawing>
        <wp:inline distT="0" distB="0" distL="0" distR="0">
          <wp:extent cx="1231265" cy="914400"/>
          <wp:effectExtent l="0" t="0" r="0" b="0"/>
          <wp:docPr id="3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126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Arial"/>
        <w:color w:val="000000"/>
        <w:szCs w:val="24"/>
      </w:rPr>
      <w:t xml:space="preserve">                                                                   </w:t>
    </w:r>
    <w:r>
      <w:rPr>
        <w:rFonts w:eastAsia="Arial"/>
        <w:noProof/>
        <w:color w:val="000000"/>
        <w:szCs w:val="24"/>
        <w:lang w:val="es-AR" w:eastAsia="es-AR"/>
      </w:rPr>
      <w:drawing>
        <wp:inline distT="0" distB="0" distL="0" distR="0">
          <wp:extent cx="1267460" cy="923925"/>
          <wp:effectExtent l="0" t="0" r="0" b="0"/>
          <wp:docPr id="4" name="image2.png" descr="Imagen que contiene Diagra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Diagram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46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Arial"/>
        <w:color w:val="000000"/>
        <w:szCs w:val="24"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6A6"/>
    <w:multiLevelType w:val="multilevel"/>
    <w:tmpl w:val="D42637A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101ECA"/>
    <w:multiLevelType w:val="multilevel"/>
    <w:tmpl w:val="E5DCD790"/>
    <w:lvl w:ilvl="0">
      <w:start w:val="1"/>
      <w:numFmt w:val="decimal"/>
      <w:lvlText w:val=""/>
      <w:lvlJc w:val="left"/>
      <w:pPr>
        <w:ind w:left="0" w:firstLine="0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2" w15:restartNumberingAfterBreak="0">
    <w:nsid w:val="6D7151E0"/>
    <w:multiLevelType w:val="multilevel"/>
    <w:tmpl w:val="986CCE0C"/>
    <w:lvl w:ilvl="0">
      <w:start w:val="1"/>
      <w:numFmt w:val="decimal"/>
      <w:pStyle w:val="Ttulo1"/>
      <w:lvlText w:val="%1."/>
      <w:lvlJc w:val="left"/>
      <w:pPr>
        <w:ind w:left="1210" w:hanging="359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3A"/>
    <w:rsid w:val="0011121D"/>
    <w:rsid w:val="001C1E2A"/>
    <w:rsid w:val="001F3A20"/>
    <w:rsid w:val="00240803"/>
    <w:rsid w:val="002510F9"/>
    <w:rsid w:val="004F0329"/>
    <w:rsid w:val="0061466A"/>
    <w:rsid w:val="00735AE4"/>
    <w:rsid w:val="00740AC9"/>
    <w:rsid w:val="007A1169"/>
    <w:rsid w:val="007A486B"/>
    <w:rsid w:val="007C4D1A"/>
    <w:rsid w:val="008B3FB1"/>
    <w:rsid w:val="008F1328"/>
    <w:rsid w:val="00A00031"/>
    <w:rsid w:val="00A31652"/>
    <w:rsid w:val="00A4593A"/>
    <w:rsid w:val="00A95E55"/>
    <w:rsid w:val="00B11DAD"/>
    <w:rsid w:val="00C43535"/>
    <w:rsid w:val="00E50B03"/>
    <w:rsid w:val="00E5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2C2D"/>
  <w15:docId w15:val="{22B62BE1-007B-45B4-8192-0F7ECEFC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PY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="-1"/>
      <w:textAlignment w:val="top"/>
      <w:outlineLvl w:val="0"/>
    </w:pPr>
    <w:rPr>
      <w:rFonts w:eastAsia="Times New Roman"/>
      <w:szCs w:val="20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numPr>
        <w:numId w:val="1"/>
      </w:numPr>
      <w:tabs>
        <w:tab w:val="left" w:pos="5040"/>
      </w:tabs>
      <w:ind w:left="-1" w:hanging="1"/>
      <w:jc w:val="both"/>
    </w:pPr>
    <w:rPr>
      <w:b/>
      <w:color w:val="000000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Arial" w:eastAsia="Arial" w:hAnsi="Arial" w:cs="Arial"/>
      <w:w w:val="100"/>
      <w:position w:val="0"/>
      <w:sz w:val="24"/>
      <w:u w:val="none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u w:val="none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Arial" w:eastAsia="Arial" w:hAnsi="Arial" w:cs="Arial"/>
      <w:b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0">
    <w:name w:val="WW8Num4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1">
    <w:name w:val="WW8Num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Arial" w:eastAsia="Arial" w:hAnsi="Arial" w:cs="Arial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0">
    <w:name w:val="WW8Num7z0"/>
    <w:qFormat/>
    <w:rPr>
      <w:rFonts w:ascii="Arial" w:eastAsia="Arial" w:hAnsi="Arial" w:cs="Arial"/>
      <w:b/>
      <w:bCs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7z1">
    <w:name w:val="WW8Num7z1"/>
    <w:qFormat/>
    <w:rPr>
      <w:b w:val="0"/>
      <w:bCs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0">
    <w:name w:val="WW8Num8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0">
    <w:name w:val="WW8Num9z0"/>
    <w:qFormat/>
    <w:rPr>
      <w:b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1">
    <w:name w:val="WW8Num1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2">
    <w:name w:val="WW8Num10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3">
    <w:name w:val="WW8Num10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4">
    <w:name w:val="WW8Num1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5">
    <w:name w:val="WW8Num1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6">
    <w:name w:val="WW8Num1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7">
    <w:name w:val="WW8Num1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8">
    <w:name w:val="WW8Num1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0">
    <w:name w:val="WW8Num12z0"/>
    <w:qFormat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12z1">
    <w:name w:val="WW8Num12z1"/>
    <w:qFormat/>
    <w:rPr>
      <w:b/>
      <w:bCs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1">
    <w:name w:val="WW8Num1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0">
    <w:name w:val="WW8Num14z0"/>
    <w:qFormat/>
    <w:rPr>
      <w:w w:val="100"/>
      <w:position w:val="0"/>
      <w:sz w:val="24"/>
      <w:u w:val="none"/>
      <w:effect w:val="none"/>
      <w:vertAlign w:val="baseline"/>
      <w:em w:val="none"/>
    </w:rPr>
  </w:style>
  <w:style w:type="character" w:customStyle="1" w:styleId="WW8Num15z0">
    <w:name w:val="WW8Num1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1">
    <w:name w:val="WW8Num1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2">
    <w:name w:val="WW8Num1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3">
    <w:name w:val="WW8Num1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4">
    <w:name w:val="WW8Num1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5">
    <w:name w:val="WW8Num1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6">
    <w:name w:val="WW8Num1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7">
    <w:name w:val="WW8Num1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8">
    <w:name w:val="WW8Num1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0">
    <w:name w:val="WW8Num1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1">
    <w:name w:val="WW8Num1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2">
    <w:name w:val="WW8Num1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3">
    <w:name w:val="WW8Num1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4">
    <w:name w:val="WW8Num1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5">
    <w:name w:val="WW8Num1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6">
    <w:name w:val="WW8Num1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7">
    <w:name w:val="WW8Num1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8">
    <w:name w:val="WW8Num1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EncabezadoCar">
    <w:name w:val="Encabezado Car"/>
    <w:qFormat/>
    <w:rPr>
      <w:rFonts w:ascii="Arial" w:hAnsi="Arial" w:cs="Arial"/>
      <w:w w:val="100"/>
      <w:position w:val="0"/>
      <w:sz w:val="24"/>
      <w:effect w:val="none"/>
      <w:vertAlign w:val="baseline"/>
      <w:em w:val="none"/>
      <w:lang w:val="es-PY"/>
    </w:rPr>
  </w:style>
  <w:style w:type="character" w:customStyle="1" w:styleId="PiedepginaCar">
    <w:name w:val="Pie de página Car"/>
    <w:qFormat/>
    <w:rPr>
      <w:rFonts w:ascii="Arial" w:hAnsi="Arial" w:cs="Arial"/>
      <w:w w:val="100"/>
      <w:position w:val="0"/>
      <w:sz w:val="24"/>
      <w:effect w:val="none"/>
      <w:vertAlign w:val="baseline"/>
      <w:em w:val="none"/>
      <w:lang w:val="es-PY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EA63BD"/>
    <w:rPr>
      <w:rFonts w:eastAsia="Times New Roman"/>
      <w:szCs w:val="20"/>
      <w:lang w:eastAsia="zh-CN"/>
    </w:rPr>
  </w:style>
  <w:style w:type="paragraph" w:customStyle="1" w:styleId="Textoindependiente1">
    <w:name w:val="Texto independiente1"/>
    <w:basedOn w:val="Normal"/>
    <w:pPr>
      <w:spacing w:after="140" w:line="276" w:lineRule="auto"/>
    </w:pPr>
  </w:style>
  <w:style w:type="paragraph" w:styleId="Lista">
    <w:name w:val="List"/>
    <w:basedOn w:val="Textoindependiente1"/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Sangradetextonormal1">
    <w:name w:val="Sangría de texto normal1"/>
    <w:basedOn w:val="Normal"/>
    <w:pPr>
      <w:ind w:left="540" w:firstLine="0"/>
      <w:jc w:val="both"/>
    </w:pPr>
    <w:rPr>
      <w:rFonts w:ascii="Times New Roman" w:hAnsi="Times New Roman" w:cs="Times New Roman"/>
      <w:lang w:val="es-ES"/>
    </w:rPr>
  </w:style>
  <w:style w:type="paragraph" w:styleId="Textoindependiente2">
    <w:name w:val="Body Text 2"/>
    <w:basedOn w:val="Normal"/>
    <w:qFormat/>
    <w:pPr>
      <w:jc w:val="both"/>
    </w:pPr>
    <w:rPr>
      <w:lang w:val="es-ES"/>
    </w:rPr>
  </w:style>
  <w:style w:type="paragraph" w:styleId="Prrafodelista">
    <w:name w:val="List Paragraph"/>
    <w:basedOn w:val="Normal"/>
    <w:qFormat/>
    <w:pPr>
      <w:spacing w:after="160" w:line="252" w:lineRule="auto"/>
      <w:ind w:left="720" w:firstLine="0"/>
      <w:contextualSpacing/>
    </w:pPr>
    <w:rPr>
      <w:rFonts w:ascii="Calibri" w:eastAsia="Calibri" w:hAnsi="Calibri" w:cs="Calibri"/>
      <w:sz w:val="22"/>
      <w:szCs w:val="22"/>
      <w:lang w:val="es-ES"/>
    </w:rPr>
  </w:style>
  <w:style w:type="paragraph" w:styleId="Continuarlista">
    <w:name w:val="List Continue"/>
    <w:basedOn w:val="Normal"/>
    <w:qFormat/>
    <w:pPr>
      <w:spacing w:after="120"/>
      <w:ind w:left="283" w:firstLine="0"/>
      <w:contextualSpacing/>
    </w:p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link w:val="EncabezadoCar1"/>
    <w:uiPriority w:val="99"/>
    <w:unhideWhenUsed/>
    <w:rsid w:val="00EA63BD"/>
    <w:pPr>
      <w:tabs>
        <w:tab w:val="center" w:pos="4252"/>
        <w:tab w:val="right" w:pos="8504"/>
      </w:tabs>
      <w:spacing w:line="240" w:lineRule="auto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qFormat/>
    <w:pPr>
      <w:widowControl w:val="0"/>
    </w:pPr>
    <w:rPr>
      <w:rFonts w:ascii="Trebuchet MS" w:eastAsia="Trebuchet MS" w:hAnsi="Trebuchet MS" w:cs="Trebuchet MS"/>
      <w:sz w:val="22"/>
      <w:szCs w:val="22"/>
      <w:lang w:val="es-ES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3F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FB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sFvowBqk4XWmkNgHcAuT9FOMiQ==">CgMxLjAyCGguZ2pkZ3hzMgloLjMwajB6bGwyCWguMWZvYjl0ZTgAciExa2c3UjYtWkowOWk1aFgtM3B5dG1iVnN3RDVyVi1IQzg=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usuario</cp:lastModifiedBy>
  <cp:revision>15</cp:revision>
  <cp:lastPrinted>2025-05-08T13:32:00Z</cp:lastPrinted>
  <dcterms:created xsi:type="dcterms:W3CDTF">2024-04-18T16:09:00Z</dcterms:created>
  <dcterms:modified xsi:type="dcterms:W3CDTF">2025-05-22T14:37:00Z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