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32176" w14:textId="6FCC120A" w:rsidR="00E44944" w:rsidRPr="003221C4" w:rsidRDefault="006C2DD8">
      <w:pPr>
        <w:pStyle w:val="Ttulo1"/>
        <w:rPr>
          <w:color w:val="auto"/>
          <w:lang w:val="pt-BR"/>
        </w:rPr>
      </w:pPr>
      <w:r w:rsidRPr="003221C4">
        <w:rPr>
          <w:noProof/>
          <w:color w:val="auto"/>
          <w:lang w:val="es-UY"/>
        </w:rPr>
        <w:drawing>
          <wp:inline distT="0" distB="0" distL="0" distR="0" wp14:anchorId="226F6351" wp14:editId="5AAB4292">
            <wp:extent cx="1231265" cy="914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2931" w:rsidRPr="003221C4">
        <w:rPr>
          <w:color w:val="auto"/>
          <w:lang w:val="pt-BR"/>
        </w:rPr>
        <w:t xml:space="preserve">                                                            </w:t>
      </w:r>
      <w:r w:rsidRPr="003221C4">
        <w:rPr>
          <w:noProof/>
          <w:color w:val="auto"/>
          <w:lang w:val="es-UY"/>
        </w:rPr>
        <w:drawing>
          <wp:inline distT="0" distB="0" distL="0" distR="0" wp14:anchorId="49BDB7F7" wp14:editId="148B3835">
            <wp:extent cx="1256030" cy="914400"/>
            <wp:effectExtent l="0" t="0" r="0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3B9791" w14:textId="77777777" w:rsidR="0071299A" w:rsidRPr="003221C4" w:rsidRDefault="0071299A">
      <w:pPr>
        <w:pStyle w:val="Ttulo1"/>
        <w:rPr>
          <w:color w:val="auto"/>
          <w:lang w:val="pt-BR"/>
        </w:rPr>
      </w:pPr>
    </w:p>
    <w:p w14:paraId="26325C8F" w14:textId="2CB5CC96" w:rsidR="009F5AB7" w:rsidRPr="003221C4" w:rsidRDefault="00FA3E36">
      <w:pPr>
        <w:pStyle w:val="Ttulo1"/>
        <w:rPr>
          <w:color w:val="auto"/>
          <w:lang w:val="pt-BR"/>
        </w:rPr>
      </w:pPr>
      <w:r>
        <w:rPr>
          <w:color w:val="auto"/>
          <w:lang w:val="pt-BR"/>
        </w:rPr>
        <w:t>MERCOSUR</w:t>
      </w:r>
      <w:r w:rsidR="009F5AB7" w:rsidRPr="003221C4">
        <w:rPr>
          <w:color w:val="auto"/>
          <w:lang w:val="pt-BR"/>
        </w:rPr>
        <w:t>/</w:t>
      </w:r>
      <w:r w:rsidR="00962710" w:rsidRPr="003221C4">
        <w:rPr>
          <w:color w:val="auto"/>
          <w:lang w:val="pt-BR"/>
        </w:rPr>
        <w:t>SGT N° 4</w:t>
      </w:r>
      <w:r w:rsidR="00CD6F69" w:rsidRPr="003221C4">
        <w:rPr>
          <w:color w:val="auto"/>
          <w:lang w:val="pt-BR"/>
        </w:rPr>
        <w:t xml:space="preserve"> </w:t>
      </w:r>
      <w:r w:rsidR="009F5AB7" w:rsidRPr="003221C4">
        <w:rPr>
          <w:color w:val="auto"/>
          <w:lang w:val="pt-BR"/>
        </w:rPr>
        <w:t>/</w:t>
      </w:r>
      <w:r w:rsidR="009F7416" w:rsidRPr="003221C4">
        <w:rPr>
          <w:color w:val="auto"/>
          <w:lang w:val="pt-BR"/>
        </w:rPr>
        <w:t>ACTA N° 0</w:t>
      </w:r>
      <w:r w:rsidR="004C6337">
        <w:rPr>
          <w:color w:val="auto"/>
          <w:lang w:val="pt-BR"/>
        </w:rPr>
        <w:t>1</w:t>
      </w:r>
      <w:r w:rsidR="009F7416" w:rsidRPr="003221C4">
        <w:rPr>
          <w:color w:val="auto"/>
          <w:lang w:val="pt-BR"/>
        </w:rPr>
        <w:t>/2</w:t>
      </w:r>
      <w:r w:rsidR="004C6337">
        <w:rPr>
          <w:color w:val="auto"/>
          <w:lang w:val="pt-BR"/>
        </w:rPr>
        <w:t>5</w:t>
      </w:r>
    </w:p>
    <w:p w14:paraId="0C94C3B1" w14:textId="70B9F142" w:rsidR="1C07FC35" w:rsidRDefault="1C07FC35" w:rsidP="1C07FC35">
      <w:pPr>
        <w:rPr>
          <w:lang w:val="pt-BR"/>
        </w:rPr>
      </w:pPr>
    </w:p>
    <w:p w14:paraId="5BA7E92D" w14:textId="77777777" w:rsidR="009F5AB7" w:rsidRPr="003221C4" w:rsidRDefault="009F5AB7">
      <w:pPr>
        <w:rPr>
          <w:lang w:val="pt-BR"/>
        </w:rPr>
      </w:pPr>
    </w:p>
    <w:p w14:paraId="1FEA9D1C" w14:textId="7A7E4ED5" w:rsidR="00962710" w:rsidRPr="003221C4" w:rsidRDefault="00962710" w:rsidP="007770D6">
      <w:pPr>
        <w:jc w:val="center"/>
        <w:rPr>
          <w:rFonts w:cs="Arial"/>
          <w:szCs w:val="24"/>
          <w:lang w:val="es-UY"/>
        </w:rPr>
      </w:pPr>
      <w:r w:rsidRPr="003221C4">
        <w:rPr>
          <w:b/>
          <w:lang w:val="es-UY"/>
        </w:rPr>
        <w:t>LV</w:t>
      </w:r>
      <w:r w:rsidR="004C6337">
        <w:rPr>
          <w:b/>
          <w:lang w:val="es-UY"/>
        </w:rPr>
        <w:t>I</w:t>
      </w:r>
      <w:r w:rsidR="00A81BC9" w:rsidRPr="003221C4">
        <w:rPr>
          <w:b/>
          <w:lang w:val="es-UY"/>
        </w:rPr>
        <w:t>I</w:t>
      </w:r>
      <w:r w:rsidRPr="003221C4">
        <w:rPr>
          <w:b/>
          <w:lang w:val="es-UY"/>
        </w:rPr>
        <w:t xml:space="preserve"> </w:t>
      </w:r>
      <w:r w:rsidR="009F5AB7" w:rsidRPr="003221C4">
        <w:rPr>
          <w:b/>
          <w:lang w:val="es-UY"/>
        </w:rPr>
        <w:t xml:space="preserve">REUNIÓN </w:t>
      </w:r>
      <w:r w:rsidR="00B07715" w:rsidRPr="003221C4">
        <w:rPr>
          <w:b/>
          <w:lang w:val="es-UY"/>
        </w:rPr>
        <w:t>ORDINARIA</w:t>
      </w:r>
      <w:r w:rsidR="006C2393" w:rsidRPr="003221C4">
        <w:rPr>
          <w:b/>
          <w:lang w:val="es-UY"/>
        </w:rPr>
        <w:t xml:space="preserve"> </w:t>
      </w:r>
      <w:r w:rsidRPr="003221C4">
        <w:rPr>
          <w:b/>
          <w:lang w:val="es-UY"/>
        </w:rPr>
        <w:t xml:space="preserve">DEL SUBGRUPO DE TRABAJO </w:t>
      </w:r>
      <w:proofErr w:type="spellStart"/>
      <w:r w:rsidRPr="003221C4">
        <w:rPr>
          <w:b/>
          <w:lang w:val="es-UY"/>
        </w:rPr>
        <w:t>N°</w:t>
      </w:r>
      <w:proofErr w:type="spellEnd"/>
      <w:r w:rsidRPr="003221C4">
        <w:rPr>
          <w:b/>
          <w:lang w:val="es-UY"/>
        </w:rPr>
        <w:t xml:space="preserve"> 4 “ASUNTOS FINANCIEROS</w:t>
      </w:r>
      <w:r w:rsidR="00207C69" w:rsidRPr="003221C4">
        <w:rPr>
          <w:b/>
          <w:lang w:val="es-UY"/>
        </w:rPr>
        <w:t>”</w:t>
      </w:r>
      <w:r w:rsidRPr="003221C4">
        <w:rPr>
          <w:b/>
          <w:lang w:val="es-UY"/>
        </w:rPr>
        <w:t xml:space="preserve"> (SGT </w:t>
      </w:r>
      <w:proofErr w:type="spellStart"/>
      <w:r w:rsidRPr="003221C4">
        <w:rPr>
          <w:b/>
          <w:lang w:val="es-UY"/>
        </w:rPr>
        <w:t>N°</w:t>
      </w:r>
      <w:proofErr w:type="spellEnd"/>
      <w:r w:rsidRPr="003221C4">
        <w:rPr>
          <w:b/>
          <w:lang w:val="es-UY"/>
        </w:rPr>
        <w:t xml:space="preserve"> 4)</w:t>
      </w:r>
    </w:p>
    <w:p w14:paraId="069A02E2" w14:textId="77777777" w:rsidR="00962710" w:rsidRPr="003221C4" w:rsidRDefault="00962710" w:rsidP="00962710">
      <w:pPr>
        <w:jc w:val="center"/>
        <w:rPr>
          <w:rFonts w:cs="Arial"/>
          <w:lang w:val="es-UY"/>
        </w:rPr>
      </w:pPr>
    </w:p>
    <w:p w14:paraId="33A1DE85" w14:textId="3C10056C" w:rsidR="1C07FC35" w:rsidRDefault="1C07FC35" w:rsidP="1C07FC35">
      <w:pPr>
        <w:jc w:val="center"/>
        <w:rPr>
          <w:rFonts w:cs="Arial"/>
          <w:lang w:val="es-UY"/>
        </w:rPr>
      </w:pPr>
    </w:p>
    <w:p w14:paraId="5D6D450F" w14:textId="28B95637" w:rsidR="00962710" w:rsidRPr="003221C4" w:rsidRDefault="00876A50" w:rsidP="00962710">
      <w:pPr>
        <w:jc w:val="both"/>
        <w:rPr>
          <w:bCs/>
          <w:lang w:val="es-ES"/>
        </w:rPr>
      </w:pPr>
      <w:r w:rsidRPr="003221C4">
        <w:rPr>
          <w:rFonts w:cs="Arial"/>
          <w:szCs w:val="24"/>
          <w:lang w:val="es-ES"/>
        </w:rPr>
        <w:t xml:space="preserve">Se realizó entre los días </w:t>
      </w:r>
      <w:r w:rsidR="004C6337">
        <w:rPr>
          <w:rFonts w:cs="Arial"/>
          <w:szCs w:val="24"/>
          <w:lang w:val="es-ES"/>
        </w:rPr>
        <w:t>19 al</w:t>
      </w:r>
      <w:r w:rsidR="00962710" w:rsidRPr="003221C4">
        <w:rPr>
          <w:rFonts w:cs="Arial"/>
          <w:szCs w:val="24"/>
          <w:lang w:val="es-ES"/>
        </w:rPr>
        <w:t xml:space="preserve"> </w:t>
      </w:r>
      <w:r w:rsidR="004C6337">
        <w:rPr>
          <w:rFonts w:cs="Arial"/>
          <w:szCs w:val="24"/>
          <w:lang w:val="es-ES"/>
        </w:rPr>
        <w:t>2</w:t>
      </w:r>
      <w:r w:rsidR="001F5D06">
        <w:rPr>
          <w:rFonts w:cs="Arial"/>
          <w:szCs w:val="24"/>
          <w:lang w:val="es-ES"/>
        </w:rPr>
        <w:t>1</w:t>
      </w:r>
      <w:r w:rsidR="004C6337">
        <w:rPr>
          <w:rFonts w:cs="Arial"/>
          <w:szCs w:val="24"/>
          <w:lang w:val="es-ES"/>
        </w:rPr>
        <w:t xml:space="preserve"> de mayo de 2025</w:t>
      </w:r>
      <w:r w:rsidR="00246569">
        <w:rPr>
          <w:rFonts w:cs="Arial"/>
          <w:szCs w:val="24"/>
          <w:lang w:val="es-ES"/>
        </w:rPr>
        <w:t xml:space="preserve">, </w:t>
      </w:r>
      <w:r w:rsidR="00246569" w:rsidRPr="00AE3080">
        <w:rPr>
          <w:rFonts w:cs="Arial"/>
          <w:szCs w:val="24"/>
          <w:lang w:val="es-ES"/>
        </w:rPr>
        <w:t xml:space="preserve">en ejercicio de la Presidencia </w:t>
      </w:r>
      <w:r w:rsidR="00246569" w:rsidRPr="00AE3080">
        <w:rPr>
          <w:rFonts w:cs="Arial"/>
          <w:i/>
          <w:iCs/>
          <w:szCs w:val="24"/>
          <w:lang w:val="es-ES"/>
        </w:rPr>
        <w:t>Pro Tempore</w:t>
      </w:r>
      <w:r w:rsidR="00246569" w:rsidRPr="00AE3080">
        <w:rPr>
          <w:rFonts w:cs="Arial"/>
          <w:szCs w:val="24"/>
          <w:lang w:val="es-ES"/>
        </w:rPr>
        <w:t xml:space="preserve"> de Argentina (PPTA),</w:t>
      </w:r>
      <w:r w:rsidR="004C6337">
        <w:rPr>
          <w:rFonts w:cs="Arial"/>
          <w:szCs w:val="24"/>
          <w:lang w:val="es-ES"/>
        </w:rPr>
        <w:t xml:space="preserve"> </w:t>
      </w:r>
      <w:r w:rsidR="00962710" w:rsidRPr="003221C4">
        <w:rPr>
          <w:rFonts w:cs="Arial"/>
          <w:szCs w:val="24"/>
          <w:lang w:val="es-ES"/>
        </w:rPr>
        <w:t>la LV</w:t>
      </w:r>
      <w:r w:rsidR="00834E1E" w:rsidRPr="003221C4">
        <w:rPr>
          <w:rFonts w:cs="Arial"/>
          <w:szCs w:val="24"/>
          <w:lang w:val="es-ES"/>
        </w:rPr>
        <w:t>I</w:t>
      </w:r>
      <w:r w:rsidR="004C6337">
        <w:rPr>
          <w:rFonts w:cs="Arial"/>
          <w:szCs w:val="24"/>
          <w:lang w:val="es-ES"/>
        </w:rPr>
        <w:t>I</w:t>
      </w:r>
      <w:r w:rsidR="00962710" w:rsidRPr="003221C4">
        <w:rPr>
          <w:rFonts w:cs="Arial"/>
          <w:szCs w:val="24"/>
          <w:lang w:val="es-ES"/>
        </w:rPr>
        <w:t xml:space="preserve"> Reunión Ordinaria del Subgrupo de Trabajo </w:t>
      </w:r>
      <w:proofErr w:type="spellStart"/>
      <w:r w:rsidR="00962710" w:rsidRPr="003221C4">
        <w:rPr>
          <w:rFonts w:cs="Arial"/>
          <w:szCs w:val="24"/>
          <w:lang w:val="es-ES"/>
        </w:rPr>
        <w:t>N°</w:t>
      </w:r>
      <w:proofErr w:type="spellEnd"/>
      <w:r w:rsidR="00962710" w:rsidRPr="003221C4">
        <w:rPr>
          <w:rFonts w:cs="Arial"/>
          <w:szCs w:val="24"/>
          <w:lang w:val="es-ES"/>
        </w:rPr>
        <w:t xml:space="preserve"> 4 “Asuntos Financieros</w:t>
      </w:r>
      <w:r w:rsidR="00207C69" w:rsidRPr="003221C4">
        <w:rPr>
          <w:rFonts w:cs="Arial"/>
          <w:szCs w:val="24"/>
          <w:lang w:val="es-ES"/>
        </w:rPr>
        <w:t>”</w:t>
      </w:r>
      <w:r w:rsidR="00962710" w:rsidRPr="003221C4">
        <w:rPr>
          <w:rFonts w:cs="Arial"/>
          <w:szCs w:val="24"/>
          <w:lang w:val="es-ES"/>
        </w:rPr>
        <w:t xml:space="preserve"> (SGT </w:t>
      </w:r>
      <w:proofErr w:type="spellStart"/>
      <w:r w:rsidR="00962710" w:rsidRPr="003221C4">
        <w:rPr>
          <w:rFonts w:cs="Arial"/>
          <w:szCs w:val="24"/>
          <w:lang w:val="es-ES"/>
        </w:rPr>
        <w:t>N°</w:t>
      </w:r>
      <w:proofErr w:type="spellEnd"/>
      <w:r w:rsidR="00962710" w:rsidRPr="003221C4">
        <w:rPr>
          <w:rFonts w:cs="Arial"/>
          <w:szCs w:val="24"/>
          <w:lang w:val="es-ES"/>
        </w:rPr>
        <w:t xml:space="preserve"> 4),</w:t>
      </w:r>
      <w:r w:rsidRPr="003221C4">
        <w:rPr>
          <w:rFonts w:cs="Arial"/>
          <w:szCs w:val="24"/>
          <w:lang w:val="es-ES"/>
        </w:rPr>
        <w:t xml:space="preserve"> por sistema de videoconferencia de conformidad con lo dispuesto en la Resolución GMC </w:t>
      </w:r>
      <w:proofErr w:type="spellStart"/>
      <w:r w:rsidRPr="003221C4">
        <w:rPr>
          <w:rFonts w:cs="Arial"/>
          <w:szCs w:val="24"/>
          <w:lang w:val="es-ES"/>
        </w:rPr>
        <w:t>N°</w:t>
      </w:r>
      <w:proofErr w:type="spellEnd"/>
      <w:r w:rsidRPr="003221C4">
        <w:rPr>
          <w:rFonts w:cs="Arial"/>
          <w:szCs w:val="24"/>
          <w:lang w:val="es-ES"/>
        </w:rPr>
        <w:t xml:space="preserve"> 19/12, con la presencia de las delegaciones de </w:t>
      </w:r>
      <w:r w:rsidR="00962710" w:rsidRPr="003221C4">
        <w:rPr>
          <w:rFonts w:cs="Arial"/>
          <w:szCs w:val="24"/>
          <w:lang w:val="es-ES"/>
        </w:rPr>
        <w:t>Argentina, Brasil, Paraguay y Uruguay</w:t>
      </w:r>
      <w:r w:rsidR="00AB0D50" w:rsidRPr="003221C4">
        <w:rPr>
          <w:rFonts w:cs="Arial"/>
          <w:szCs w:val="24"/>
          <w:lang w:val="es-ES"/>
        </w:rPr>
        <w:t xml:space="preserve">. </w:t>
      </w:r>
      <w:r w:rsidR="00962710" w:rsidRPr="003221C4">
        <w:rPr>
          <w:bCs/>
          <w:lang w:val="es-ES"/>
        </w:rPr>
        <w:t xml:space="preserve">La delegación de Bolivia participó de conformidad con lo establecido en la Decisión CMC </w:t>
      </w:r>
      <w:proofErr w:type="spellStart"/>
      <w:r w:rsidR="00962710" w:rsidRPr="003221C4">
        <w:rPr>
          <w:bCs/>
          <w:lang w:val="es-ES"/>
        </w:rPr>
        <w:t>N°</w:t>
      </w:r>
      <w:proofErr w:type="spellEnd"/>
      <w:r w:rsidR="00962710" w:rsidRPr="003221C4">
        <w:rPr>
          <w:bCs/>
          <w:lang w:val="es-ES"/>
        </w:rPr>
        <w:t xml:space="preserve"> </w:t>
      </w:r>
      <w:r w:rsidR="00D30E27" w:rsidRPr="003221C4">
        <w:rPr>
          <w:bCs/>
          <w:lang w:val="es-ES"/>
        </w:rPr>
        <w:t>20</w:t>
      </w:r>
      <w:r w:rsidR="00962710" w:rsidRPr="003221C4">
        <w:rPr>
          <w:bCs/>
          <w:lang w:val="es-ES"/>
        </w:rPr>
        <w:t>/1</w:t>
      </w:r>
      <w:r w:rsidR="00D30E27" w:rsidRPr="003221C4">
        <w:rPr>
          <w:bCs/>
          <w:lang w:val="es-ES"/>
        </w:rPr>
        <w:t>9</w:t>
      </w:r>
      <w:r w:rsidR="00962710" w:rsidRPr="003221C4">
        <w:rPr>
          <w:bCs/>
          <w:lang w:val="es-ES"/>
        </w:rPr>
        <w:t xml:space="preserve">. </w:t>
      </w:r>
    </w:p>
    <w:p w14:paraId="3BCE5D6D" w14:textId="104F93FC" w:rsidR="00CD6F69" w:rsidRPr="003221C4" w:rsidRDefault="00CD6F69" w:rsidP="00CD6F69">
      <w:pPr>
        <w:widowControl w:val="0"/>
        <w:overflowPunct w:val="0"/>
        <w:adjustRightInd w:val="0"/>
        <w:jc w:val="both"/>
        <w:rPr>
          <w:bCs/>
          <w:kern w:val="28"/>
          <w:szCs w:val="24"/>
          <w:lang w:val="es-ES_tradnl" w:eastAsia="x-none"/>
        </w:rPr>
      </w:pPr>
    </w:p>
    <w:p w14:paraId="76E2E028" w14:textId="6A6EF318" w:rsidR="00CD6F69" w:rsidRPr="009E3C5C" w:rsidRDefault="00CD6F69" w:rsidP="00CD6F69">
      <w:pPr>
        <w:widowControl w:val="0"/>
        <w:overflowPunct w:val="0"/>
        <w:adjustRightInd w:val="0"/>
        <w:jc w:val="both"/>
        <w:rPr>
          <w:kern w:val="28"/>
          <w:lang w:val="pt-BR" w:eastAsia="en-US"/>
        </w:rPr>
      </w:pPr>
      <w:r w:rsidRPr="009E3C5C">
        <w:rPr>
          <w:kern w:val="28"/>
          <w:lang w:val="pt-BR" w:eastAsia="en-US"/>
        </w:rPr>
        <w:t xml:space="preserve">La Lista de Participantes consta como </w:t>
      </w:r>
      <w:r w:rsidRPr="009E3C5C">
        <w:rPr>
          <w:b/>
          <w:bCs/>
          <w:kern w:val="28"/>
          <w:lang w:val="pt-BR" w:eastAsia="en-US"/>
        </w:rPr>
        <w:t>A</w:t>
      </w:r>
      <w:r w:rsidR="1913CB1D" w:rsidRPr="009E3C5C">
        <w:rPr>
          <w:b/>
          <w:bCs/>
          <w:kern w:val="28"/>
          <w:lang w:val="pt-BR" w:eastAsia="en-US"/>
        </w:rPr>
        <w:t>nexo</w:t>
      </w:r>
      <w:r w:rsidRPr="009E3C5C">
        <w:rPr>
          <w:b/>
          <w:kern w:val="28"/>
          <w:lang w:val="pt-BR" w:eastAsia="en-US"/>
        </w:rPr>
        <w:t xml:space="preserve"> I</w:t>
      </w:r>
      <w:r w:rsidRPr="009E3C5C">
        <w:rPr>
          <w:kern w:val="28"/>
          <w:lang w:val="pt-BR" w:eastAsia="en-US"/>
        </w:rPr>
        <w:t>.</w:t>
      </w:r>
    </w:p>
    <w:p w14:paraId="39E64863" w14:textId="77777777" w:rsidR="00E44944" w:rsidRPr="009E3C5C" w:rsidRDefault="00E44944" w:rsidP="00E44944">
      <w:pPr>
        <w:widowControl w:val="0"/>
        <w:overflowPunct w:val="0"/>
        <w:adjustRightInd w:val="0"/>
        <w:jc w:val="both"/>
        <w:rPr>
          <w:bCs/>
          <w:kern w:val="28"/>
          <w:szCs w:val="24"/>
          <w:lang w:val="pt-BR" w:eastAsia="x-none"/>
        </w:rPr>
      </w:pPr>
    </w:p>
    <w:p w14:paraId="5273D3E8" w14:textId="35846FDB" w:rsidR="00E44944" w:rsidRPr="003221C4" w:rsidRDefault="00E44944" w:rsidP="00E44944">
      <w:pPr>
        <w:widowControl w:val="0"/>
        <w:overflowPunct w:val="0"/>
        <w:adjustRightInd w:val="0"/>
        <w:jc w:val="both"/>
        <w:rPr>
          <w:kern w:val="28"/>
          <w:lang w:val="es-ES" w:eastAsia="en-US"/>
        </w:rPr>
      </w:pPr>
      <w:r w:rsidRPr="39AF6607">
        <w:rPr>
          <w:kern w:val="28"/>
          <w:lang w:val="es-ES" w:eastAsia="en-US"/>
        </w:rPr>
        <w:t xml:space="preserve">La Agenda consta como </w:t>
      </w:r>
      <w:r w:rsidRPr="39AF6607">
        <w:rPr>
          <w:b/>
          <w:bCs/>
          <w:kern w:val="28"/>
          <w:lang w:val="es-ES" w:eastAsia="en-US"/>
        </w:rPr>
        <w:t>A</w:t>
      </w:r>
      <w:r w:rsidR="0CCD43A9" w:rsidRPr="39AF6607">
        <w:rPr>
          <w:b/>
          <w:bCs/>
          <w:kern w:val="28"/>
          <w:lang w:val="es-ES" w:eastAsia="en-US"/>
        </w:rPr>
        <w:t>nexo</w:t>
      </w:r>
      <w:r w:rsidRPr="39AF6607">
        <w:rPr>
          <w:b/>
          <w:kern w:val="28"/>
          <w:lang w:val="es-ES" w:eastAsia="en-US"/>
        </w:rPr>
        <w:t xml:space="preserve"> II</w:t>
      </w:r>
      <w:r w:rsidRPr="39AF6607">
        <w:rPr>
          <w:kern w:val="28"/>
          <w:lang w:val="es-ES" w:eastAsia="en-US"/>
        </w:rPr>
        <w:t>.</w:t>
      </w:r>
    </w:p>
    <w:p w14:paraId="4095523C" w14:textId="77777777" w:rsidR="00E44944" w:rsidRPr="003221C4" w:rsidRDefault="00E44944" w:rsidP="00E44944">
      <w:pPr>
        <w:widowControl w:val="0"/>
        <w:overflowPunct w:val="0"/>
        <w:adjustRightInd w:val="0"/>
        <w:jc w:val="both"/>
        <w:rPr>
          <w:bCs/>
          <w:kern w:val="28"/>
          <w:szCs w:val="24"/>
          <w:lang w:val="es-ES_tradnl" w:eastAsia="x-none"/>
        </w:rPr>
      </w:pPr>
    </w:p>
    <w:p w14:paraId="3B80914D" w14:textId="228494AD" w:rsidR="00E44944" w:rsidRPr="003221C4" w:rsidRDefault="00E44944" w:rsidP="00E44944">
      <w:pPr>
        <w:widowControl w:val="0"/>
        <w:overflowPunct w:val="0"/>
        <w:adjustRightInd w:val="0"/>
        <w:jc w:val="both"/>
        <w:rPr>
          <w:kern w:val="28"/>
          <w:lang w:val="es-ES" w:eastAsia="en-US"/>
        </w:rPr>
      </w:pPr>
      <w:r w:rsidRPr="39AF6607">
        <w:rPr>
          <w:kern w:val="28"/>
          <w:lang w:val="es-ES" w:eastAsia="en-US"/>
        </w:rPr>
        <w:t xml:space="preserve">El Resumen del Acta consta como </w:t>
      </w:r>
      <w:r w:rsidRPr="39AF6607">
        <w:rPr>
          <w:b/>
          <w:bCs/>
          <w:kern w:val="28"/>
          <w:lang w:val="es-ES" w:eastAsia="en-US"/>
        </w:rPr>
        <w:t>A</w:t>
      </w:r>
      <w:r w:rsidR="77C868A6" w:rsidRPr="39AF6607">
        <w:rPr>
          <w:b/>
          <w:bCs/>
          <w:kern w:val="28"/>
          <w:lang w:val="es-ES" w:eastAsia="en-US"/>
        </w:rPr>
        <w:t>nexo</w:t>
      </w:r>
      <w:r w:rsidRPr="39AF6607">
        <w:rPr>
          <w:b/>
          <w:kern w:val="28"/>
          <w:lang w:val="es-ES" w:eastAsia="en-US"/>
        </w:rPr>
        <w:t xml:space="preserve"> III</w:t>
      </w:r>
      <w:r w:rsidR="00834E1E" w:rsidRPr="39AF6607">
        <w:rPr>
          <w:b/>
          <w:kern w:val="28"/>
          <w:lang w:val="es-ES" w:eastAsia="en-US"/>
        </w:rPr>
        <w:t xml:space="preserve">. </w:t>
      </w:r>
    </w:p>
    <w:p w14:paraId="120CCE35" w14:textId="77777777" w:rsidR="00834E1E" w:rsidRPr="003221C4" w:rsidRDefault="00834E1E" w:rsidP="00E44944">
      <w:pPr>
        <w:jc w:val="both"/>
        <w:rPr>
          <w:rFonts w:cs="Arial"/>
          <w:bCs/>
          <w:szCs w:val="24"/>
          <w:lang w:val="es-UY" w:eastAsia="es-ES"/>
        </w:rPr>
      </w:pPr>
    </w:p>
    <w:p w14:paraId="0C546F96" w14:textId="77777777" w:rsidR="00E44944" w:rsidRPr="003221C4" w:rsidRDefault="00E44944" w:rsidP="00E44944">
      <w:pPr>
        <w:widowControl w:val="0"/>
        <w:overflowPunct w:val="0"/>
        <w:adjustRightInd w:val="0"/>
        <w:jc w:val="both"/>
        <w:rPr>
          <w:rFonts w:cs="Arial"/>
          <w:kern w:val="28"/>
          <w:lang w:val="es-ES"/>
        </w:rPr>
      </w:pPr>
      <w:r w:rsidRPr="1C07FC35">
        <w:rPr>
          <w:rFonts w:cs="Arial"/>
          <w:kern w:val="28"/>
          <w:lang w:val="es-ES"/>
        </w:rPr>
        <w:t xml:space="preserve">En la reunión fueron tratados los siguientes temas: </w:t>
      </w:r>
    </w:p>
    <w:p w14:paraId="6878361E" w14:textId="34B5D5C3" w:rsidR="1C07FC35" w:rsidRDefault="1C07FC35" w:rsidP="1C07FC35">
      <w:pPr>
        <w:widowControl w:val="0"/>
        <w:jc w:val="both"/>
        <w:rPr>
          <w:rFonts w:cs="Arial"/>
          <w:lang w:val="es-ES"/>
        </w:rPr>
      </w:pPr>
    </w:p>
    <w:p w14:paraId="1E497355" w14:textId="77777777" w:rsidR="00B606F5" w:rsidRPr="003221C4" w:rsidRDefault="00B606F5" w:rsidP="00E44944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es-ES"/>
        </w:rPr>
      </w:pPr>
    </w:p>
    <w:p w14:paraId="02DA534F" w14:textId="0BF9307C" w:rsidR="001C4EBE" w:rsidRPr="003221C4" w:rsidRDefault="00B606F5" w:rsidP="00FA3E36">
      <w:pPr>
        <w:widowControl w:val="0"/>
        <w:overflowPunct w:val="0"/>
        <w:adjustRightInd w:val="0"/>
        <w:ind w:left="567" w:hanging="567"/>
        <w:jc w:val="both"/>
        <w:rPr>
          <w:rFonts w:cs="Arial"/>
          <w:b/>
          <w:kern w:val="28"/>
          <w:szCs w:val="24"/>
          <w:lang w:val="es-ES"/>
        </w:rPr>
      </w:pPr>
      <w:r w:rsidRPr="003221C4">
        <w:rPr>
          <w:rFonts w:cs="Arial"/>
          <w:b/>
          <w:kern w:val="28"/>
          <w:szCs w:val="24"/>
          <w:lang w:val="es-ES"/>
        </w:rPr>
        <w:t>1.</w:t>
      </w:r>
      <w:r w:rsidR="001C4EBE" w:rsidRPr="003221C4">
        <w:rPr>
          <w:b/>
        </w:rPr>
        <w:t xml:space="preserve"> </w:t>
      </w:r>
      <w:r w:rsidR="001C4EBE" w:rsidRPr="003221C4">
        <w:rPr>
          <w:rFonts w:cs="Arial"/>
          <w:b/>
          <w:kern w:val="28"/>
          <w:szCs w:val="24"/>
          <w:lang w:val="es-ES"/>
        </w:rPr>
        <w:tab/>
        <w:t xml:space="preserve">PARÁMETROS DEL </w:t>
      </w:r>
      <w:r w:rsidR="00FA3E36">
        <w:rPr>
          <w:rFonts w:cs="Arial"/>
          <w:b/>
          <w:kern w:val="28"/>
          <w:szCs w:val="24"/>
          <w:lang w:val="es-ES"/>
        </w:rPr>
        <w:t>MERCOSUR</w:t>
      </w:r>
      <w:r w:rsidR="001C4EBE" w:rsidRPr="003221C4">
        <w:rPr>
          <w:rFonts w:cs="Arial"/>
          <w:b/>
          <w:kern w:val="28"/>
          <w:szCs w:val="24"/>
          <w:lang w:val="es-ES"/>
        </w:rPr>
        <w:t xml:space="preserve"> PARA INTEGRACIÓN FINANCIERA INTRA </w:t>
      </w:r>
      <w:r w:rsidR="00FA3E36">
        <w:rPr>
          <w:rFonts w:cs="Arial"/>
          <w:b/>
          <w:kern w:val="28"/>
          <w:szCs w:val="24"/>
          <w:lang w:val="es-ES"/>
        </w:rPr>
        <w:t>MERCOSUR</w:t>
      </w:r>
    </w:p>
    <w:p w14:paraId="0CBA9F7F" w14:textId="77777777" w:rsidR="001C4EBE" w:rsidRPr="003221C4" w:rsidRDefault="001C4EBE" w:rsidP="001C4EBE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es-ES"/>
        </w:rPr>
      </w:pPr>
    </w:p>
    <w:p w14:paraId="6E857B8A" w14:textId="4761D414" w:rsidR="001C4EBE" w:rsidRPr="003221C4" w:rsidRDefault="001C4EBE" w:rsidP="00C44A8D">
      <w:pPr>
        <w:widowControl w:val="0"/>
        <w:numPr>
          <w:ilvl w:val="1"/>
          <w:numId w:val="2"/>
        </w:numPr>
        <w:overflowPunct w:val="0"/>
        <w:adjustRightInd w:val="0"/>
        <w:ind w:left="1134" w:hanging="567"/>
        <w:jc w:val="both"/>
        <w:rPr>
          <w:rFonts w:cs="Arial"/>
          <w:b/>
          <w:kern w:val="28"/>
          <w:szCs w:val="24"/>
          <w:lang w:val="es-ES"/>
        </w:rPr>
      </w:pPr>
      <w:r w:rsidRPr="003221C4">
        <w:rPr>
          <w:rFonts w:cs="Arial"/>
          <w:b/>
          <w:kern w:val="28"/>
          <w:szCs w:val="24"/>
          <w:lang w:val="es-ES"/>
        </w:rPr>
        <w:t xml:space="preserve">Anexo sobre Servicios Financieros Intra – </w:t>
      </w:r>
      <w:r w:rsidR="00FA3E36">
        <w:rPr>
          <w:rFonts w:cs="Arial"/>
          <w:b/>
          <w:kern w:val="28"/>
          <w:szCs w:val="24"/>
          <w:lang w:val="es-ES"/>
        </w:rPr>
        <w:t>MERCOSUR</w:t>
      </w:r>
    </w:p>
    <w:p w14:paraId="11E15B02" w14:textId="77777777" w:rsidR="001C4EBE" w:rsidRPr="003221C4" w:rsidRDefault="001C4EBE" w:rsidP="001C4EBE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es-ES"/>
        </w:rPr>
      </w:pPr>
    </w:p>
    <w:p w14:paraId="0D6D0611" w14:textId="3B95A3E5" w:rsidR="001C4EBE" w:rsidRPr="004C6337" w:rsidRDefault="001C4EBE" w:rsidP="2070D9A4">
      <w:pPr>
        <w:widowControl w:val="0"/>
        <w:overflowPunct w:val="0"/>
        <w:adjustRightInd w:val="0"/>
        <w:jc w:val="both"/>
        <w:rPr>
          <w:rFonts w:cs="Arial"/>
          <w:kern w:val="28"/>
          <w:lang w:val="es-ES"/>
        </w:rPr>
      </w:pPr>
      <w:r w:rsidRPr="2070D9A4">
        <w:rPr>
          <w:rFonts w:cs="Arial"/>
          <w:kern w:val="28"/>
          <w:lang w:val="es-ES"/>
        </w:rPr>
        <w:t xml:space="preserve">Las delegaciones intercambiaron comentarios sobre el proceso de incorporación de la Decisión CMC </w:t>
      </w:r>
      <w:proofErr w:type="spellStart"/>
      <w:r w:rsidRPr="2070D9A4">
        <w:rPr>
          <w:rFonts w:cs="Arial"/>
          <w:kern w:val="28"/>
          <w:lang w:val="es-ES"/>
        </w:rPr>
        <w:t>N°</w:t>
      </w:r>
      <w:proofErr w:type="spellEnd"/>
      <w:r w:rsidRPr="2070D9A4">
        <w:rPr>
          <w:rFonts w:cs="Arial"/>
          <w:kern w:val="28"/>
          <w:lang w:val="es-ES"/>
        </w:rPr>
        <w:t xml:space="preserve"> 14/19 “Enmienda al Protocolo de Montevideo sobre el Comercio de Servicios del </w:t>
      </w:r>
      <w:r w:rsidR="00FA3E36">
        <w:rPr>
          <w:rFonts w:cs="Arial"/>
          <w:kern w:val="28"/>
          <w:lang w:val="es-ES"/>
        </w:rPr>
        <w:t>MERCOSUR</w:t>
      </w:r>
      <w:r w:rsidRPr="2070D9A4">
        <w:rPr>
          <w:rFonts w:cs="Arial"/>
          <w:kern w:val="28"/>
          <w:lang w:val="es-ES"/>
        </w:rPr>
        <w:t>”, del 4 de diciembre de 2019</w:t>
      </w:r>
      <w:r w:rsidR="00834E1E" w:rsidRPr="2070D9A4">
        <w:rPr>
          <w:rFonts w:cs="Arial"/>
          <w:kern w:val="28"/>
          <w:lang w:val="es-ES"/>
        </w:rPr>
        <w:t xml:space="preserve">, en sus respectivos países. </w:t>
      </w:r>
    </w:p>
    <w:p w14:paraId="2A8E5F58" w14:textId="77777777" w:rsidR="001C4EBE" w:rsidRPr="004C6337" w:rsidRDefault="001C4EBE" w:rsidP="001C4EBE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highlight w:val="yellow"/>
          <w:lang w:val="es-ES"/>
        </w:rPr>
      </w:pPr>
    </w:p>
    <w:p w14:paraId="1C2F0A41" w14:textId="25DB3E0B" w:rsidR="003C0582" w:rsidRPr="00624217" w:rsidRDefault="00F95E51" w:rsidP="00F95E51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  <w:r w:rsidRPr="00624217">
        <w:rPr>
          <w:rFonts w:cs="Arial"/>
          <w:bCs/>
          <w:kern w:val="28"/>
          <w:szCs w:val="24"/>
          <w:lang w:val="es-ES"/>
        </w:rPr>
        <w:t xml:space="preserve">Al respecto, la delegación </w:t>
      </w:r>
      <w:r w:rsidR="00A80FB7" w:rsidRPr="00624217">
        <w:rPr>
          <w:rFonts w:cs="Arial"/>
          <w:bCs/>
          <w:kern w:val="28"/>
          <w:szCs w:val="24"/>
          <w:lang w:val="es-ES"/>
        </w:rPr>
        <w:t>de A</w:t>
      </w:r>
      <w:r w:rsidRPr="00624217">
        <w:rPr>
          <w:rFonts w:cs="Arial"/>
          <w:bCs/>
          <w:kern w:val="28"/>
          <w:szCs w:val="24"/>
          <w:lang w:val="es-ES"/>
        </w:rPr>
        <w:t xml:space="preserve">rgentina </w:t>
      </w:r>
      <w:r w:rsidR="00852A35" w:rsidRPr="00624217">
        <w:rPr>
          <w:rFonts w:cs="Arial"/>
          <w:bCs/>
          <w:kern w:val="28"/>
          <w:szCs w:val="24"/>
          <w:lang w:val="es-ES"/>
        </w:rPr>
        <w:t>reco</w:t>
      </w:r>
      <w:r w:rsidR="00B819CC" w:rsidRPr="00624217">
        <w:rPr>
          <w:rFonts w:cs="Arial"/>
          <w:bCs/>
          <w:kern w:val="28"/>
          <w:szCs w:val="24"/>
          <w:lang w:val="es-ES"/>
        </w:rPr>
        <w:t xml:space="preserve">rdó que </w:t>
      </w:r>
      <w:r w:rsidR="003C0582" w:rsidRPr="00624217">
        <w:rPr>
          <w:rFonts w:cs="Arial"/>
          <w:bCs/>
          <w:kern w:val="28"/>
          <w:szCs w:val="24"/>
          <w:lang w:val="es-ES"/>
        </w:rPr>
        <w:t>la referida enmienda al Protocolo de Montevideo</w:t>
      </w:r>
      <w:r w:rsidR="00B819CC" w:rsidRPr="00624217">
        <w:rPr>
          <w:rFonts w:cs="Arial"/>
          <w:bCs/>
          <w:kern w:val="28"/>
          <w:szCs w:val="24"/>
          <w:lang w:val="es-ES"/>
        </w:rPr>
        <w:t xml:space="preserve"> fue aprobada mediante Ley </w:t>
      </w:r>
      <w:proofErr w:type="spellStart"/>
      <w:r w:rsidR="00B819CC" w:rsidRPr="00624217">
        <w:rPr>
          <w:rFonts w:cs="Arial"/>
          <w:bCs/>
          <w:kern w:val="28"/>
          <w:szCs w:val="24"/>
          <w:lang w:val="es-ES"/>
        </w:rPr>
        <w:t>N°</w:t>
      </w:r>
      <w:proofErr w:type="spellEnd"/>
      <w:r w:rsidR="00B819CC" w:rsidRPr="00624217">
        <w:rPr>
          <w:rFonts w:cs="Arial"/>
          <w:bCs/>
          <w:kern w:val="28"/>
          <w:szCs w:val="24"/>
          <w:lang w:val="es-ES"/>
        </w:rPr>
        <w:t xml:space="preserve"> 27.769, el pasado 27 de octubre de 2024</w:t>
      </w:r>
      <w:r w:rsidR="00665088" w:rsidRPr="00624217">
        <w:rPr>
          <w:rFonts w:cs="Arial"/>
          <w:bCs/>
          <w:kern w:val="28"/>
          <w:szCs w:val="24"/>
          <w:lang w:val="es-ES"/>
        </w:rPr>
        <w:t xml:space="preserve">. Se encuentra </w:t>
      </w:r>
      <w:r w:rsidR="00C01F97" w:rsidRPr="00624217">
        <w:rPr>
          <w:rFonts w:cs="Arial"/>
          <w:bCs/>
          <w:kern w:val="28"/>
          <w:szCs w:val="24"/>
          <w:lang w:val="es-ES"/>
        </w:rPr>
        <w:t xml:space="preserve">en proceso </w:t>
      </w:r>
      <w:r w:rsidR="00665088" w:rsidRPr="00624217">
        <w:rPr>
          <w:rFonts w:cs="Arial"/>
          <w:bCs/>
          <w:kern w:val="28"/>
          <w:szCs w:val="24"/>
          <w:lang w:val="es-ES"/>
        </w:rPr>
        <w:t xml:space="preserve">el </w:t>
      </w:r>
      <w:r w:rsidR="00C01F97" w:rsidRPr="00624217">
        <w:rPr>
          <w:rFonts w:cs="Arial"/>
          <w:bCs/>
          <w:kern w:val="28"/>
          <w:szCs w:val="24"/>
          <w:lang w:val="es-ES"/>
        </w:rPr>
        <w:t>T</w:t>
      </w:r>
      <w:r w:rsidR="00665088" w:rsidRPr="00624217">
        <w:rPr>
          <w:rFonts w:cs="Arial"/>
          <w:bCs/>
          <w:kern w:val="28"/>
          <w:szCs w:val="24"/>
          <w:lang w:val="es-ES"/>
        </w:rPr>
        <w:t xml:space="preserve">rámite </w:t>
      </w:r>
      <w:r w:rsidR="00603A7C" w:rsidRPr="00624217">
        <w:rPr>
          <w:rFonts w:cs="Arial"/>
          <w:bCs/>
          <w:kern w:val="28"/>
          <w:szCs w:val="24"/>
          <w:lang w:val="es-ES"/>
        </w:rPr>
        <w:t>de</w:t>
      </w:r>
      <w:r w:rsidR="0091576C" w:rsidRPr="00624217">
        <w:rPr>
          <w:rFonts w:cs="Arial"/>
          <w:bCs/>
          <w:kern w:val="28"/>
          <w:szCs w:val="24"/>
          <w:lang w:val="es-ES"/>
        </w:rPr>
        <w:t xml:space="preserve"> Ratificación</w:t>
      </w:r>
      <w:r w:rsidR="00603A7C" w:rsidRPr="00624217">
        <w:rPr>
          <w:rFonts w:cs="Arial"/>
          <w:bCs/>
          <w:kern w:val="28"/>
          <w:szCs w:val="24"/>
          <w:lang w:val="es-ES"/>
        </w:rPr>
        <w:t>.</w:t>
      </w:r>
    </w:p>
    <w:p w14:paraId="1AEECCC5" w14:textId="77777777" w:rsidR="003C0582" w:rsidRPr="004C6337" w:rsidRDefault="003C0582" w:rsidP="00F95E51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highlight w:val="yellow"/>
          <w:lang w:val="es-ES"/>
        </w:rPr>
      </w:pPr>
    </w:p>
    <w:p w14:paraId="6FE8E191" w14:textId="4445DD4E" w:rsidR="00F75B69" w:rsidRPr="009B64F9" w:rsidRDefault="00F95E51" w:rsidP="00F95E51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  <w:r w:rsidRPr="009B64F9">
        <w:rPr>
          <w:rFonts w:cs="Arial"/>
          <w:bCs/>
          <w:kern w:val="28"/>
          <w:szCs w:val="24"/>
          <w:lang w:val="es-ES"/>
        </w:rPr>
        <w:t>La delegaci</w:t>
      </w:r>
      <w:r w:rsidR="00F75B69" w:rsidRPr="009B64F9">
        <w:rPr>
          <w:rFonts w:cs="Arial"/>
          <w:bCs/>
          <w:kern w:val="28"/>
          <w:szCs w:val="24"/>
          <w:lang w:val="es-ES"/>
        </w:rPr>
        <w:t>ón</w:t>
      </w:r>
      <w:r w:rsidRPr="009B64F9">
        <w:rPr>
          <w:rFonts w:cs="Arial"/>
          <w:bCs/>
          <w:kern w:val="28"/>
          <w:szCs w:val="24"/>
          <w:lang w:val="es-ES"/>
        </w:rPr>
        <w:t xml:space="preserve"> de Brasi</w:t>
      </w:r>
      <w:r w:rsidR="00F75B69" w:rsidRPr="009B64F9">
        <w:rPr>
          <w:rFonts w:cs="Arial"/>
          <w:bCs/>
          <w:kern w:val="28"/>
          <w:szCs w:val="24"/>
          <w:lang w:val="es-ES"/>
        </w:rPr>
        <w:t xml:space="preserve">l informó que la enmienda fue aprobada </w:t>
      </w:r>
      <w:r w:rsidR="00771819">
        <w:rPr>
          <w:rFonts w:cs="Arial"/>
          <w:bCs/>
          <w:kern w:val="28"/>
          <w:szCs w:val="24"/>
          <w:lang w:val="es-ES"/>
        </w:rPr>
        <w:t xml:space="preserve">por </w:t>
      </w:r>
      <w:r w:rsidR="00F75B69" w:rsidRPr="009B64F9">
        <w:rPr>
          <w:rFonts w:cs="Arial"/>
          <w:bCs/>
          <w:kern w:val="28"/>
          <w:szCs w:val="24"/>
          <w:lang w:val="es-ES"/>
        </w:rPr>
        <w:t xml:space="preserve">la Cámara de Diputados. </w:t>
      </w:r>
      <w:r w:rsidR="000916BE">
        <w:rPr>
          <w:rFonts w:cs="Arial"/>
          <w:bCs/>
          <w:kern w:val="28"/>
          <w:szCs w:val="24"/>
          <w:lang w:val="es-ES"/>
        </w:rPr>
        <w:t>El Proyecto de En</w:t>
      </w:r>
      <w:r w:rsidR="003058FE" w:rsidRPr="009B64F9">
        <w:rPr>
          <w:rFonts w:cs="Arial"/>
          <w:bCs/>
          <w:kern w:val="28"/>
          <w:szCs w:val="24"/>
          <w:lang w:val="es-ES"/>
        </w:rPr>
        <w:t>mienda fue encami</w:t>
      </w:r>
      <w:r w:rsidR="00C8457D" w:rsidRPr="009B64F9">
        <w:rPr>
          <w:rFonts w:cs="Arial"/>
          <w:bCs/>
          <w:kern w:val="28"/>
          <w:szCs w:val="24"/>
          <w:lang w:val="es-ES"/>
        </w:rPr>
        <w:t>nad</w:t>
      </w:r>
      <w:r w:rsidR="00771819">
        <w:rPr>
          <w:rFonts w:cs="Arial"/>
          <w:bCs/>
          <w:kern w:val="28"/>
          <w:szCs w:val="24"/>
          <w:lang w:val="es-ES"/>
        </w:rPr>
        <w:t>o</w:t>
      </w:r>
      <w:r w:rsidR="00C8457D" w:rsidRPr="009B64F9">
        <w:rPr>
          <w:rFonts w:cs="Arial"/>
          <w:bCs/>
          <w:kern w:val="28"/>
          <w:szCs w:val="24"/>
          <w:lang w:val="es-ES"/>
        </w:rPr>
        <w:t xml:space="preserve"> al </w:t>
      </w:r>
      <w:r w:rsidR="00F75B69" w:rsidRPr="009B64F9">
        <w:rPr>
          <w:rFonts w:cs="Arial"/>
          <w:bCs/>
          <w:kern w:val="28"/>
          <w:szCs w:val="24"/>
          <w:lang w:val="es-ES"/>
        </w:rPr>
        <w:t>Senado</w:t>
      </w:r>
      <w:r w:rsidR="00C8457D" w:rsidRPr="009B64F9">
        <w:rPr>
          <w:rFonts w:cs="Arial"/>
          <w:bCs/>
          <w:kern w:val="28"/>
          <w:szCs w:val="24"/>
          <w:lang w:val="es-ES"/>
        </w:rPr>
        <w:t>, donde fue distribuid</w:t>
      </w:r>
      <w:r w:rsidR="00771819">
        <w:rPr>
          <w:rFonts w:cs="Arial"/>
          <w:bCs/>
          <w:kern w:val="28"/>
          <w:szCs w:val="24"/>
          <w:lang w:val="es-ES"/>
        </w:rPr>
        <w:t>o</w:t>
      </w:r>
      <w:r w:rsidR="00C8457D" w:rsidRPr="009B64F9">
        <w:rPr>
          <w:rFonts w:cs="Arial"/>
          <w:bCs/>
          <w:kern w:val="28"/>
          <w:szCs w:val="24"/>
          <w:lang w:val="es-ES"/>
        </w:rPr>
        <w:t xml:space="preserve"> a la Comisión de Relaciones Exteriores y Defensa Nacional</w:t>
      </w:r>
      <w:r w:rsidR="00F75B69" w:rsidRPr="009B64F9">
        <w:rPr>
          <w:rFonts w:cs="Arial"/>
          <w:bCs/>
          <w:kern w:val="28"/>
          <w:szCs w:val="24"/>
          <w:lang w:val="es-ES"/>
        </w:rPr>
        <w:t>.</w:t>
      </w:r>
    </w:p>
    <w:p w14:paraId="6836B576" w14:textId="77777777" w:rsidR="00F75B69" w:rsidRPr="004C6337" w:rsidRDefault="00F75B69" w:rsidP="00F95E51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highlight w:val="yellow"/>
          <w:lang w:val="es-ES"/>
        </w:rPr>
      </w:pPr>
    </w:p>
    <w:p w14:paraId="3ABB6E23" w14:textId="15405497" w:rsidR="004B68A9" w:rsidRPr="00771819" w:rsidRDefault="00546EBA" w:rsidP="00F95E51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  <w:r w:rsidRPr="00771819">
        <w:rPr>
          <w:rFonts w:cs="Arial"/>
          <w:bCs/>
          <w:kern w:val="28"/>
          <w:szCs w:val="24"/>
          <w:lang w:val="es-ES"/>
        </w:rPr>
        <w:t>L</w:t>
      </w:r>
      <w:r w:rsidR="00F75B69" w:rsidRPr="00771819">
        <w:rPr>
          <w:rFonts w:cs="Arial"/>
          <w:bCs/>
          <w:kern w:val="28"/>
          <w:szCs w:val="24"/>
          <w:lang w:val="es-ES"/>
        </w:rPr>
        <w:t>a delegaci</w:t>
      </w:r>
      <w:r w:rsidRPr="00771819">
        <w:rPr>
          <w:rFonts w:cs="Arial"/>
          <w:bCs/>
          <w:kern w:val="28"/>
          <w:szCs w:val="24"/>
          <w:lang w:val="es-ES"/>
        </w:rPr>
        <w:t>ón</w:t>
      </w:r>
      <w:r w:rsidR="00F75B69" w:rsidRPr="00771819">
        <w:rPr>
          <w:rFonts w:cs="Arial"/>
          <w:bCs/>
          <w:kern w:val="28"/>
          <w:szCs w:val="24"/>
          <w:lang w:val="es-ES"/>
        </w:rPr>
        <w:t xml:space="preserve"> de Paraguay</w:t>
      </w:r>
      <w:r w:rsidRPr="00771819">
        <w:rPr>
          <w:rFonts w:cs="Arial"/>
          <w:bCs/>
          <w:kern w:val="28"/>
          <w:szCs w:val="24"/>
          <w:lang w:val="es-ES"/>
        </w:rPr>
        <w:t xml:space="preserve"> manifest</w:t>
      </w:r>
      <w:r w:rsidR="00A80FB7" w:rsidRPr="00771819">
        <w:rPr>
          <w:rFonts w:cs="Arial"/>
          <w:bCs/>
          <w:kern w:val="28"/>
          <w:szCs w:val="24"/>
          <w:lang w:val="es-ES"/>
        </w:rPr>
        <w:t>ó</w:t>
      </w:r>
      <w:r w:rsidRPr="00771819">
        <w:rPr>
          <w:rFonts w:cs="Arial"/>
          <w:bCs/>
          <w:kern w:val="28"/>
          <w:szCs w:val="24"/>
          <w:lang w:val="es-ES"/>
        </w:rPr>
        <w:t xml:space="preserve"> que el Proyecto de Enmienda se encuentra con dictamen favorable de Comisión a ser tratado en la plenaria de la </w:t>
      </w:r>
      <w:r w:rsidRPr="00771819">
        <w:rPr>
          <w:rFonts w:cs="Arial"/>
          <w:bCs/>
          <w:kern w:val="28"/>
          <w:szCs w:val="24"/>
          <w:lang w:val="es-ES"/>
        </w:rPr>
        <w:lastRenderedPageBreak/>
        <w:t>Cámara de Senadores.</w:t>
      </w:r>
    </w:p>
    <w:p w14:paraId="4A5FB5F5" w14:textId="6EFBACA8" w:rsidR="00A975D2" w:rsidRPr="004C6337" w:rsidRDefault="00A975D2" w:rsidP="00F95E51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highlight w:val="yellow"/>
          <w:lang w:val="es-ES"/>
        </w:rPr>
      </w:pPr>
    </w:p>
    <w:p w14:paraId="55722C89" w14:textId="01593AFA" w:rsidR="00A975D2" w:rsidRPr="00D276A5" w:rsidRDefault="00A975D2" w:rsidP="00A975D2">
      <w:pPr>
        <w:pStyle w:val="NormalWeb"/>
        <w:jc w:val="both"/>
        <w:rPr>
          <w:rFonts w:ascii="Arial" w:hAnsi="Arial" w:cs="Arial"/>
        </w:rPr>
      </w:pPr>
      <w:r w:rsidRPr="00D276A5">
        <w:rPr>
          <w:rFonts w:ascii="Arial" w:hAnsi="Arial" w:cs="Arial"/>
          <w:bCs/>
          <w:kern w:val="28"/>
          <w:lang w:val="es-ES"/>
        </w:rPr>
        <w:t xml:space="preserve">La delegación de Uruguay informó que la citada enmienda </w:t>
      </w:r>
      <w:r w:rsidRPr="00D276A5">
        <w:rPr>
          <w:rFonts w:ascii="Arial" w:hAnsi="Arial" w:cs="Arial"/>
        </w:rPr>
        <w:t xml:space="preserve">tuvo media sanción en la Cámara de Representantes el 11 de setiembre de 2024 y posteriormente ingresó a la Comisión de Asuntos Internacionales del Senado el 13 de setiembre de 2024 y aún se encuentra en ese ámbito. </w:t>
      </w:r>
    </w:p>
    <w:p w14:paraId="57382B10" w14:textId="20D8DF08" w:rsidR="00DF4230" w:rsidRPr="004C6337" w:rsidRDefault="00DF4230" w:rsidP="00A975D2">
      <w:pPr>
        <w:pStyle w:val="NormalWeb"/>
        <w:jc w:val="both"/>
        <w:rPr>
          <w:rFonts w:ascii="Arial" w:hAnsi="Arial" w:cs="Arial"/>
          <w:highlight w:val="yellow"/>
        </w:rPr>
      </w:pPr>
    </w:p>
    <w:p w14:paraId="0B84CD91" w14:textId="026FA87D" w:rsidR="00852025" w:rsidRPr="003221C4" w:rsidRDefault="00D276A5" w:rsidP="00A975D2">
      <w:pPr>
        <w:pStyle w:val="NormalWeb"/>
        <w:jc w:val="both"/>
        <w:rPr>
          <w:rFonts w:ascii="Arial" w:hAnsi="Arial" w:cs="Arial"/>
          <w:bCs/>
          <w:kern w:val="28"/>
          <w:lang w:val="es-ES"/>
        </w:rPr>
      </w:pPr>
      <w:r>
        <w:rPr>
          <w:rFonts w:ascii="Arial" w:hAnsi="Arial" w:cs="Arial"/>
          <w:bCs/>
          <w:kern w:val="28"/>
          <w:lang w:val="es-ES"/>
        </w:rPr>
        <w:t>E</w:t>
      </w:r>
      <w:r w:rsidRPr="00D276A5">
        <w:rPr>
          <w:rFonts w:ascii="Arial" w:hAnsi="Arial" w:cs="Arial"/>
          <w:bCs/>
          <w:kern w:val="28"/>
          <w:lang w:val="es-ES"/>
        </w:rPr>
        <w:t xml:space="preserve">n el marco del Protocolo de Adhesión del Estado Plurinacional de Bolivia al </w:t>
      </w:r>
      <w:r w:rsidR="00FA3E36">
        <w:rPr>
          <w:rFonts w:ascii="Arial" w:hAnsi="Arial" w:cs="Arial"/>
          <w:bCs/>
          <w:kern w:val="28"/>
          <w:lang w:val="es-ES"/>
        </w:rPr>
        <w:t>MERCOSUR</w:t>
      </w:r>
      <w:r w:rsidRPr="00D276A5">
        <w:rPr>
          <w:rFonts w:ascii="Arial" w:hAnsi="Arial" w:cs="Arial"/>
          <w:bCs/>
          <w:kern w:val="28"/>
          <w:lang w:val="es-ES"/>
        </w:rPr>
        <w:t>,</w:t>
      </w:r>
      <w:r w:rsidR="003350B7">
        <w:rPr>
          <w:rFonts w:ascii="Arial" w:hAnsi="Arial" w:cs="Arial"/>
          <w:bCs/>
          <w:kern w:val="28"/>
          <w:lang w:val="es-ES"/>
        </w:rPr>
        <w:t xml:space="preserve"> la delegación de Bolivia</w:t>
      </w:r>
      <w:r w:rsidRPr="00D276A5">
        <w:rPr>
          <w:rFonts w:ascii="Arial" w:hAnsi="Arial" w:cs="Arial"/>
          <w:bCs/>
          <w:kern w:val="28"/>
          <w:lang w:val="es-ES"/>
        </w:rPr>
        <w:t xml:space="preserve"> </w:t>
      </w:r>
      <w:r w:rsidR="003350B7">
        <w:rPr>
          <w:rFonts w:ascii="Arial" w:hAnsi="Arial" w:cs="Arial"/>
          <w:bCs/>
          <w:kern w:val="28"/>
          <w:lang w:val="es-ES"/>
        </w:rPr>
        <w:t xml:space="preserve">informó, que </w:t>
      </w:r>
      <w:r w:rsidRPr="00D276A5">
        <w:rPr>
          <w:rFonts w:ascii="Arial" w:hAnsi="Arial" w:cs="Arial"/>
          <w:bCs/>
          <w:kern w:val="28"/>
          <w:lang w:val="es-ES"/>
        </w:rPr>
        <w:t xml:space="preserve">se </w:t>
      </w:r>
      <w:r w:rsidR="006E2E8F" w:rsidRPr="00D276A5">
        <w:rPr>
          <w:rFonts w:ascii="Arial" w:hAnsi="Arial" w:cs="Arial"/>
          <w:bCs/>
          <w:kern w:val="28"/>
          <w:lang w:val="es-ES"/>
        </w:rPr>
        <w:t>está</w:t>
      </w:r>
      <w:r w:rsidRPr="00D276A5">
        <w:rPr>
          <w:rFonts w:ascii="Arial" w:hAnsi="Arial" w:cs="Arial"/>
          <w:bCs/>
          <w:kern w:val="28"/>
          <w:lang w:val="es-ES"/>
        </w:rPr>
        <w:t xml:space="preserve"> realizando la evaluación, en lo que respecta al tipo de instrumento legal y los plazos, para incorporar la citada Decisión al ordenamiento jurídico nacional.</w:t>
      </w:r>
    </w:p>
    <w:p w14:paraId="32ACEEE1" w14:textId="77777777" w:rsidR="001C4EBE" w:rsidRPr="003221C4" w:rsidRDefault="001C4EBE" w:rsidP="001C4EBE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es-ES"/>
        </w:rPr>
      </w:pPr>
    </w:p>
    <w:p w14:paraId="2F550123" w14:textId="7EC6D9E4" w:rsidR="001C4EBE" w:rsidRPr="003221C4" w:rsidRDefault="001C4EBE" w:rsidP="00C44A8D">
      <w:pPr>
        <w:widowControl w:val="0"/>
        <w:numPr>
          <w:ilvl w:val="1"/>
          <w:numId w:val="2"/>
        </w:numPr>
        <w:overflowPunct w:val="0"/>
        <w:adjustRightInd w:val="0"/>
        <w:ind w:left="1134" w:hanging="567"/>
        <w:jc w:val="both"/>
        <w:rPr>
          <w:rFonts w:cs="Arial"/>
          <w:b/>
          <w:kern w:val="28"/>
          <w:szCs w:val="24"/>
          <w:lang w:val="es-ES"/>
        </w:rPr>
      </w:pPr>
      <w:r w:rsidRPr="003221C4">
        <w:rPr>
          <w:rFonts w:cs="Arial"/>
          <w:b/>
          <w:kern w:val="28"/>
          <w:szCs w:val="24"/>
          <w:lang w:val="es-ES"/>
        </w:rPr>
        <w:t>Pagos y Transferencias Corrientes y Movimientos de Capital</w:t>
      </w:r>
      <w:r w:rsidR="001B6288" w:rsidRPr="003221C4">
        <w:rPr>
          <w:rFonts w:cs="Arial"/>
          <w:b/>
          <w:kern w:val="28"/>
          <w:szCs w:val="24"/>
          <w:lang w:val="es-ES"/>
        </w:rPr>
        <w:t>es</w:t>
      </w:r>
    </w:p>
    <w:p w14:paraId="6B19558F" w14:textId="77777777" w:rsidR="001C4EBE" w:rsidRPr="003221C4" w:rsidRDefault="001C4EBE" w:rsidP="001C4EBE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es-ES"/>
        </w:rPr>
      </w:pPr>
    </w:p>
    <w:p w14:paraId="5D4690A9" w14:textId="3A9CB521" w:rsidR="001C4EBE" w:rsidRPr="004C6337" w:rsidRDefault="001C4EBE" w:rsidP="2070D9A4">
      <w:pPr>
        <w:widowControl w:val="0"/>
        <w:overflowPunct w:val="0"/>
        <w:adjustRightInd w:val="0"/>
        <w:jc w:val="both"/>
        <w:rPr>
          <w:rFonts w:cs="Arial"/>
          <w:kern w:val="28"/>
          <w:lang w:val="es-ES"/>
        </w:rPr>
      </w:pPr>
      <w:bookmarkStart w:id="0" w:name="_Hlk167362432"/>
      <w:r w:rsidRPr="2070D9A4">
        <w:rPr>
          <w:rFonts w:cs="Arial"/>
          <w:kern w:val="28"/>
          <w:lang w:val="es-ES"/>
        </w:rPr>
        <w:t xml:space="preserve">Las delegaciones intercambiaron comentarios sobre el estado del proyecto de </w:t>
      </w:r>
      <w:r w:rsidR="00A236D0">
        <w:rPr>
          <w:rFonts w:cs="Arial"/>
          <w:kern w:val="28"/>
          <w:lang w:val="es-ES"/>
        </w:rPr>
        <w:t>“</w:t>
      </w:r>
      <w:r w:rsidRPr="2070D9A4">
        <w:rPr>
          <w:rFonts w:cs="Arial"/>
          <w:kern w:val="28"/>
          <w:lang w:val="es-ES"/>
        </w:rPr>
        <w:t>Protocolo sobre Pagos y Transferencias Corrientes y Movimientos de Capital</w:t>
      </w:r>
      <w:r w:rsidR="0068681E">
        <w:rPr>
          <w:rFonts w:cs="Arial"/>
          <w:kern w:val="28"/>
          <w:lang w:val="es-ES"/>
        </w:rPr>
        <w:t xml:space="preserve"> en el </w:t>
      </w:r>
      <w:r w:rsidR="00FA3E36">
        <w:rPr>
          <w:rFonts w:cs="Arial"/>
          <w:kern w:val="28"/>
          <w:lang w:val="es-ES"/>
        </w:rPr>
        <w:t>MERCOSUR</w:t>
      </w:r>
      <w:r w:rsidRPr="2070D9A4">
        <w:rPr>
          <w:rFonts w:cs="Arial"/>
          <w:kern w:val="28"/>
          <w:lang w:val="es-ES"/>
        </w:rPr>
        <w:t>”</w:t>
      </w:r>
      <w:r w:rsidRPr="2070D9A4">
        <w:rPr>
          <w:rFonts w:cs="Arial"/>
          <w:b/>
          <w:bCs/>
          <w:kern w:val="28"/>
          <w:lang w:val="es-ES"/>
        </w:rPr>
        <w:t>.</w:t>
      </w:r>
    </w:p>
    <w:bookmarkEnd w:id="0"/>
    <w:p w14:paraId="3E70AC2E" w14:textId="77777777" w:rsidR="00A2529A" w:rsidRPr="004C6337" w:rsidRDefault="00A2529A" w:rsidP="00A2529A">
      <w:pPr>
        <w:pStyle w:val="Textocomentario"/>
        <w:rPr>
          <w:highlight w:val="yellow"/>
        </w:rPr>
      </w:pPr>
    </w:p>
    <w:p w14:paraId="5D786650" w14:textId="22BC739A" w:rsidR="001B24F8" w:rsidRPr="003221C4" w:rsidRDefault="0068681E" w:rsidP="00A2529A">
      <w:pPr>
        <w:pStyle w:val="Textocomentario"/>
        <w:jc w:val="both"/>
        <w:rPr>
          <w:sz w:val="24"/>
          <w:szCs w:val="24"/>
        </w:rPr>
      </w:pPr>
      <w:r w:rsidRPr="0091285A">
        <w:rPr>
          <w:sz w:val="24"/>
          <w:szCs w:val="24"/>
        </w:rPr>
        <w:t>L</w:t>
      </w:r>
      <w:r w:rsidR="001B24F8" w:rsidRPr="0091285A">
        <w:rPr>
          <w:sz w:val="24"/>
          <w:szCs w:val="24"/>
        </w:rPr>
        <w:t xml:space="preserve">as delegaciones se comprometieron a realizar las consultas </w:t>
      </w:r>
      <w:r w:rsidR="004D78E6" w:rsidRPr="0091285A">
        <w:rPr>
          <w:sz w:val="24"/>
          <w:szCs w:val="24"/>
        </w:rPr>
        <w:t>técnicas</w:t>
      </w:r>
      <w:r w:rsidR="001B24F8" w:rsidRPr="0091285A">
        <w:rPr>
          <w:sz w:val="24"/>
          <w:szCs w:val="24"/>
        </w:rPr>
        <w:t xml:space="preserve"> sobre el </w:t>
      </w:r>
      <w:r w:rsidR="00E32B28">
        <w:rPr>
          <w:sz w:val="24"/>
          <w:szCs w:val="24"/>
        </w:rPr>
        <w:t xml:space="preserve">proyecto del </w:t>
      </w:r>
      <w:r w:rsidR="004D78E6" w:rsidRPr="0091285A">
        <w:rPr>
          <w:rFonts w:cs="Arial"/>
          <w:bCs/>
          <w:kern w:val="28"/>
          <w:sz w:val="24"/>
          <w:szCs w:val="24"/>
          <w:lang w:val="es-ES"/>
        </w:rPr>
        <w:t>“</w:t>
      </w:r>
      <w:r w:rsidR="001B24F8" w:rsidRPr="0091285A">
        <w:rPr>
          <w:rFonts w:cs="Arial"/>
          <w:bCs/>
          <w:kern w:val="28"/>
          <w:sz w:val="24"/>
          <w:szCs w:val="24"/>
          <w:lang w:val="es-ES"/>
        </w:rPr>
        <w:t>Protocolo sobre Pagos y Transferencias Corrientes y Movimientos de Capital</w:t>
      </w:r>
      <w:r w:rsidR="004D78E6" w:rsidRPr="0091285A">
        <w:rPr>
          <w:rFonts w:cs="Arial"/>
          <w:bCs/>
          <w:kern w:val="28"/>
          <w:sz w:val="24"/>
          <w:szCs w:val="24"/>
          <w:lang w:val="es-ES"/>
        </w:rPr>
        <w:t xml:space="preserve"> en</w:t>
      </w:r>
      <w:r w:rsidR="0091285A" w:rsidRPr="0091285A">
        <w:rPr>
          <w:rFonts w:cs="Arial"/>
          <w:bCs/>
          <w:kern w:val="28"/>
          <w:sz w:val="24"/>
          <w:szCs w:val="24"/>
          <w:lang w:val="es-ES"/>
        </w:rPr>
        <w:t xml:space="preserve"> el</w:t>
      </w:r>
      <w:r w:rsidR="004D78E6" w:rsidRPr="0091285A">
        <w:rPr>
          <w:rFonts w:cs="Arial"/>
          <w:bCs/>
          <w:kern w:val="28"/>
          <w:sz w:val="24"/>
          <w:szCs w:val="24"/>
          <w:lang w:val="es-ES"/>
        </w:rPr>
        <w:t xml:space="preserve"> </w:t>
      </w:r>
      <w:r w:rsidR="00FA3E36">
        <w:rPr>
          <w:rFonts w:cs="Arial"/>
          <w:bCs/>
          <w:kern w:val="28"/>
          <w:sz w:val="24"/>
          <w:szCs w:val="24"/>
          <w:lang w:val="es-ES"/>
        </w:rPr>
        <w:t>MERCOSUR</w:t>
      </w:r>
      <w:r w:rsidR="001B24F8" w:rsidRPr="0091285A">
        <w:rPr>
          <w:rFonts w:cs="Arial"/>
          <w:bCs/>
          <w:kern w:val="28"/>
          <w:sz w:val="24"/>
          <w:szCs w:val="24"/>
          <w:lang w:val="es-ES"/>
        </w:rPr>
        <w:t>”</w:t>
      </w:r>
      <w:r w:rsidR="002A26B8" w:rsidRPr="0091285A">
        <w:rPr>
          <w:rFonts w:cs="Arial"/>
          <w:bCs/>
          <w:kern w:val="28"/>
          <w:sz w:val="24"/>
          <w:szCs w:val="24"/>
          <w:lang w:val="es-ES"/>
        </w:rPr>
        <w:t xml:space="preserve"> </w:t>
      </w:r>
      <w:r w:rsidR="001B24F8" w:rsidRPr="0091285A">
        <w:rPr>
          <w:rFonts w:cs="Arial"/>
          <w:bCs/>
          <w:kern w:val="28"/>
          <w:sz w:val="24"/>
          <w:szCs w:val="24"/>
          <w:lang w:val="es-ES"/>
        </w:rPr>
        <w:t>para considerar en la próxima reunión</w:t>
      </w:r>
      <w:r w:rsidR="00276D4D">
        <w:rPr>
          <w:rFonts w:cs="Arial"/>
          <w:bCs/>
          <w:kern w:val="28"/>
          <w:sz w:val="24"/>
          <w:szCs w:val="24"/>
          <w:lang w:val="es-ES"/>
        </w:rPr>
        <w:t xml:space="preserve"> </w:t>
      </w:r>
      <w:r w:rsidR="00150FA5" w:rsidRPr="00556CAE">
        <w:rPr>
          <w:rFonts w:cs="Arial"/>
          <w:b/>
          <w:kern w:val="28"/>
          <w:sz w:val="24"/>
          <w:szCs w:val="24"/>
          <w:lang w:val="es-ES"/>
        </w:rPr>
        <w:t>(Anexo IV - RESERVADO).</w:t>
      </w:r>
    </w:p>
    <w:p w14:paraId="537D7562" w14:textId="026D61B1" w:rsidR="00BB5F39" w:rsidRPr="003221C4" w:rsidRDefault="00BB5F39" w:rsidP="001C4EBE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</w:p>
    <w:p w14:paraId="6B80C89E" w14:textId="77777777" w:rsidR="001C4EBE" w:rsidRPr="003221C4" w:rsidRDefault="001C4EBE" w:rsidP="001C4EBE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es-ES"/>
        </w:rPr>
      </w:pPr>
    </w:p>
    <w:p w14:paraId="469D3887" w14:textId="7B978A7D" w:rsidR="001C4EBE" w:rsidRPr="003221C4" w:rsidRDefault="001C4EBE" w:rsidP="00C44A8D">
      <w:pPr>
        <w:widowControl w:val="0"/>
        <w:numPr>
          <w:ilvl w:val="0"/>
          <w:numId w:val="2"/>
        </w:numPr>
        <w:overflowPunct w:val="0"/>
        <w:adjustRightInd w:val="0"/>
        <w:ind w:left="567" w:hanging="567"/>
        <w:jc w:val="both"/>
        <w:rPr>
          <w:rFonts w:cs="Arial"/>
          <w:b/>
          <w:kern w:val="28"/>
          <w:szCs w:val="24"/>
          <w:lang w:val="es-ES"/>
        </w:rPr>
      </w:pPr>
      <w:r w:rsidRPr="003221C4">
        <w:rPr>
          <w:rFonts w:cs="Arial"/>
          <w:b/>
          <w:kern w:val="28"/>
          <w:szCs w:val="24"/>
          <w:lang w:val="es-ES"/>
        </w:rPr>
        <w:t>RELACIONAMIENTO EXTRA</w:t>
      </w:r>
      <w:r w:rsidR="00682153" w:rsidRPr="003221C4">
        <w:rPr>
          <w:rFonts w:cs="Arial"/>
          <w:b/>
          <w:kern w:val="28"/>
          <w:szCs w:val="24"/>
          <w:lang w:val="es-ES"/>
        </w:rPr>
        <w:t xml:space="preserve"> </w:t>
      </w:r>
      <w:r w:rsidRPr="003221C4">
        <w:rPr>
          <w:rFonts w:cs="Arial"/>
          <w:b/>
          <w:kern w:val="28"/>
          <w:szCs w:val="24"/>
          <w:lang w:val="es-ES"/>
        </w:rPr>
        <w:t>-</w:t>
      </w:r>
      <w:r w:rsidR="00682153" w:rsidRPr="003221C4">
        <w:rPr>
          <w:rFonts w:cs="Arial"/>
          <w:b/>
          <w:kern w:val="28"/>
          <w:szCs w:val="24"/>
          <w:lang w:val="es-ES"/>
        </w:rPr>
        <w:t xml:space="preserve"> </w:t>
      </w:r>
      <w:r w:rsidR="00FA3E36">
        <w:rPr>
          <w:rFonts w:cs="Arial"/>
          <w:b/>
          <w:kern w:val="28"/>
          <w:szCs w:val="24"/>
          <w:lang w:val="es-ES"/>
        </w:rPr>
        <w:t>MERCOSUR</w:t>
      </w:r>
      <w:r w:rsidRPr="003221C4">
        <w:rPr>
          <w:rFonts w:cs="Arial"/>
          <w:b/>
          <w:kern w:val="28"/>
          <w:szCs w:val="24"/>
          <w:lang w:val="es-ES"/>
        </w:rPr>
        <w:t xml:space="preserve"> EN SERVICIOS FINANCIEROS</w:t>
      </w:r>
    </w:p>
    <w:p w14:paraId="508A555A" w14:textId="77777777" w:rsidR="00623CFE" w:rsidRPr="003221C4" w:rsidRDefault="00623CFE" w:rsidP="00623CFE">
      <w:pPr>
        <w:pStyle w:val="Prrafodelista"/>
        <w:widowControl w:val="0"/>
        <w:overflowPunct w:val="0"/>
        <w:adjustRightInd w:val="0"/>
        <w:ind w:left="705"/>
        <w:jc w:val="both"/>
        <w:rPr>
          <w:rFonts w:cs="Arial"/>
          <w:b/>
          <w:kern w:val="28"/>
          <w:szCs w:val="24"/>
          <w:lang w:val="es-ES"/>
        </w:rPr>
      </w:pPr>
    </w:p>
    <w:p w14:paraId="1FBA9216" w14:textId="0A6D7741" w:rsidR="002321A7" w:rsidRPr="003221C4" w:rsidRDefault="002321A7" w:rsidP="001C4EBE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  <w:r w:rsidRPr="003C095E">
        <w:rPr>
          <w:rFonts w:cs="Arial"/>
          <w:bCs/>
          <w:kern w:val="28"/>
          <w:szCs w:val="24"/>
          <w:lang w:val="es-ES"/>
        </w:rPr>
        <w:t xml:space="preserve">Las delegaciones intercambiaron comentarios sobre </w:t>
      </w:r>
      <w:r w:rsidR="0075135D" w:rsidRPr="003C095E">
        <w:rPr>
          <w:rFonts w:cs="Arial"/>
          <w:bCs/>
          <w:kern w:val="28"/>
          <w:szCs w:val="24"/>
          <w:lang w:val="es-ES"/>
        </w:rPr>
        <w:t>los avances en temas financieros</w:t>
      </w:r>
      <w:r w:rsidR="00B12232" w:rsidRPr="003C095E">
        <w:rPr>
          <w:rFonts w:cs="Arial"/>
          <w:bCs/>
          <w:kern w:val="28"/>
          <w:szCs w:val="24"/>
          <w:lang w:val="es-ES"/>
        </w:rPr>
        <w:t xml:space="preserve"> del Acuerdo de </w:t>
      </w:r>
      <w:r w:rsidR="000E314E" w:rsidRPr="003C095E">
        <w:rPr>
          <w:rFonts w:cs="Arial"/>
          <w:bCs/>
          <w:kern w:val="28"/>
          <w:szCs w:val="24"/>
          <w:lang w:val="es-ES"/>
        </w:rPr>
        <w:t>Complementación Económic</w:t>
      </w:r>
      <w:r w:rsidR="003C095E" w:rsidRPr="003C095E">
        <w:rPr>
          <w:rFonts w:cs="Arial"/>
          <w:bCs/>
          <w:kern w:val="28"/>
          <w:szCs w:val="24"/>
          <w:lang w:val="es-ES"/>
        </w:rPr>
        <w:t>a</w:t>
      </w:r>
      <w:r w:rsidR="000E314E" w:rsidRPr="003C095E">
        <w:rPr>
          <w:rFonts w:cs="Arial"/>
          <w:bCs/>
          <w:kern w:val="28"/>
          <w:szCs w:val="24"/>
          <w:lang w:val="es-ES"/>
        </w:rPr>
        <w:t xml:space="preserve"> </w:t>
      </w:r>
      <w:r w:rsidR="00B12232" w:rsidRPr="003C095E">
        <w:rPr>
          <w:rFonts w:cs="Arial"/>
          <w:bCs/>
          <w:kern w:val="28"/>
          <w:szCs w:val="24"/>
          <w:lang w:val="es-ES"/>
        </w:rPr>
        <w:t xml:space="preserve">bajo negociación entre el </w:t>
      </w:r>
      <w:r w:rsidR="00FA3E36">
        <w:rPr>
          <w:rFonts w:cs="Arial"/>
          <w:bCs/>
          <w:kern w:val="28"/>
          <w:szCs w:val="24"/>
          <w:lang w:val="es-ES"/>
        </w:rPr>
        <w:t>MERCOSUR</w:t>
      </w:r>
      <w:r w:rsidR="00B12232" w:rsidRPr="003C095E">
        <w:rPr>
          <w:rFonts w:cs="Arial"/>
          <w:bCs/>
          <w:kern w:val="28"/>
          <w:szCs w:val="24"/>
          <w:lang w:val="es-ES"/>
        </w:rPr>
        <w:t xml:space="preserve"> y Emiratos Árabes Unidos. </w:t>
      </w:r>
      <w:r w:rsidR="000E314E" w:rsidRPr="003C095E">
        <w:rPr>
          <w:rFonts w:cs="Arial"/>
          <w:bCs/>
          <w:kern w:val="28"/>
          <w:szCs w:val="24"/>
          <w:lang w:val="es-ES"/>
        </w:rPr>
        <w:t xml:space="preserve">Asimismo, se intercambiaron comentarios </w:t>
      </w:r>
      <w:r w:rsidR="00D1700A" w:rsidRPr="003C095E">
        <w:rPr>
          <w:rFonts w:cs="Arial"/>
          <w:bCs/>
          <w:kern w:val="28"/>
          <w:szCs w:val="24"/>
          <w:lang w:val="es-ES"/>
        </w:rPr>
        <w:t>sobre l</w:t>
      </w:r>
      <w:r w:rsidR="005E1C6B" w:rsidRPr="003C095E">
        <w:rPr>
          <w:rFonts w:cs="Arial"/>
          <w:bCs/>
          <w:kern w:val="28"/>
          <w:szCs w:val="24"/>
          <w:lang w:val="es-ES"/>
        </w:rPr>
        <w:t xml:space="preserve">os avances </w:t>
      </w:r>
      <w:r w:rsidR="003C095E" w:rsidRPr="003C095E">
        <w:rPr>
          <w:rFonts w:cs="Arial"/>
          <w:bCs/>
          <w:kern w:val="28"/>
          <w:szCs w:val="24"/>
          <w:lang w:val="es-ES"/>
        </w:rPr>
        <w:t xml:space="preserve">en </w:t>
      </w:r>
      <w:r w:rsidR="005E1C6B" w:rsidRPr="003C095E">
        <w:rPr>
          <w:rFonts w:cs="Arial"/>
          <w:bCs/>
          <w:kern w:val="28"/>
          <w:szCs w:val="24"/>
          <w:lang w:val="es-ES"/>
        </w:rPr>
        <w:t>las</w:t>
      </w:r>
      <w:r w:rsidR="00D1700A" w:rsidRPr="003C095E">
        <w:rPr>
          <w:rFonts w:cs="Arial"/>
          <w:bCs/>
          <w:kern w:val="28"/>
          <w:szCs w:val="24"/>
          <w:lang w:val="es-ES"/>
        </w:rPr>
        <w:t xml:space="preserve"> negociaciones con EFTA y UE</w:t>
      </w:r>
      <w:r w:rsidR="003C095E" w:rsidRPr="003C095E">
        <w:rPr>
          <w:rFonts w:cs="Arial"/>
          <w:bCs/>
          <w:kern w:val="28"/>
          <w:szCs w:val="24"/>
          <w:lang w:val="es-ES"/>
        </w:rPr>
        <w:t>.</w:t>
      </w:r>
    </w:p>
    <w:p w14:paraId="5FECD080" w14:textId="77777777" w:rsidR="00E2717F" w:rsidRPr="003221C4" w:rsidRDefault="00E2717F" w:rsidP="001C4EBE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</w:p>
    <w:p w14:paraId="7BFE0C74" w14:textId="77777777" w:rsidR="001C4EBE" w:rsidRPr="003221C4" w:rsidRDefault="001C4EBE" w:rsidP="001C4EBE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es-ES"/>
        </w:rPr>
      </w:pPr>
    </w:p>
    <w:p w14:paraId="5C30BC3E" w14:textId="4698863C" w:rsidR="001C4EBE" w:rsidRPr="003221C4" w:rsidRDefault="001C4EBE" w:rsidP="00C44A8D">
      <w:pPr>
        <w:widowControl w:val="0"/>
        <w:overflowPunct w:val="0"/>
        <w:adjustRightInd w:val="0"/>
        <w:ind w:left="567" w:hanging="567"/>
        <w:jc w:val="both"/>
        <w:rPr>
          <w:rFonts w:cs="Arial"/>
          <w:b/>
          <w:kern w:val="28"/>
          <w:szCs w:val="24"/>
          <w:lang w:val="es-ES"/>
        </w:rPr>
      </w:pPr>
      <w:r w:rsidRPr="003221C4">
        <w:rPr>
          <w:rFonts w:cs="Arial"/>
          <w:b/>
          <w:kern w:val="28"/>
          <w:szCs w:val="24"/>
          <w:lang w:val="es-ES"/>
        </w:rPr>
        <w:t>3.</w:t>
      </w:r>
      <w:r w:rsidRPr="003221C4">
        <w:rPr>
          <w:rFonts w:cs="Arial"/>
          <w:b/>
          <w:kern w:val="28"/>
          <w:szCs w:val="24"/>
          <w:lang w:val="es-ES"/>
        </w:rPr>
        <w:tab/>
        <w:t xml:space="preserve">INFORMES DE LAS COMISIONES DEL SGT </w:t>
      </w:r>
      <w:proofErr w:type="spellStart"/>
      <w:r w:rsidRPr="003221C4">
        <w:rPr>
          <w:rFonts w:cs="Arial"/>
          <w:b/>
          <w:kern w:val="28"/>
          <w:szCs w:val="24"/>
          <w:lang w:val="es-ES"/>
        </w:rPr>
        <w:t>N°</w:t>
      </w:r>
      <w:proofErr w:type="spellEnd"/>
      <w:r w:rsidRPr="003221C4">
        <w:rPr>
          <w:rFonts w:cs="Arial"/>
          <w:b/>
          <w:kern w:val="28"/>
          <w:szCs w:val="24"/>
          <w:lang w:val="es-ES"/>
        </w:rPr>
        <w:t xml:space="preserve"> 4</w:t>
      </w:r>
    </w:p>
    <w:p w14:paraId="54B28B56" w14:textId="77777777" w:rsidR="001C4EBE" w:rsidRPr="003221C4" w:rsidRDefault="001C4EBE" w:rsidP="001C4EBE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</w:p>
    <w:p w14:paraId="609842E6" w14:textId="3FB8AD69" w:rsidR="001C4EBE" w:rsidRPr="003221C4" w:rsidRDefault="001C4EBE" w:rsidP="00C44A8D">
      <w:pPr>
        <w:widowControl w:val="0"/>
        <w:overflowPunct w:val="0"/>
        <w:adjustRightInd w:val="0"/>
        <w:ind w:left="1134" w:hanging="567"/>
        <w:jc w:val="both"/>
        <w:rPr>
          <w:rFonts w:cs="Arial"/>
          <w:b/>
          <w:kern w:val="28"/>
          <w:szCs w:val="24"/>
          <w:lang w:val="es-ES"/>
        </w:rPr>
      </w:pPr>
      <w:bookmarkStart w:id="1" w:name="_Hlk166851884"/>
      <w:bookmarkStart w:id="2" w:name="_Hlk166851911"/>
      <w:r w:rsidRPr="003221C4">
        <w:rPr>
          <w:rFonts w:cs="Arial"/>
          <w:b/>
          <w:kern w:val="28"/>
          <w:szCs w:val="24"/>
          <w:lang w:val="es-ES"/>
        </w:rPr>
        <w:t>3.1</w:t>
      </w:r>
      <w:r w:rsidRPr="003221C4">
        <w:rPr>
          <w:rFonts w:cs="Arial"/>
          <w:bCs/>
          <w:kern w:val="28"/>
          <w:szCs w:val="24"/>
          <w:lang w:val="es-ES"/>
        </w:rPr>
        <w:t>.</w:t>
      </w:r>
      <w:r w:rsidRPr="003221C4">
        <w:rPr>
          <w:rFonts w:cs="Arial"/>
          <w:bCs/>
          <w:kern w:val="28"/>
          <w:szCs w:val="24"/>
          <w:lang w:val="es-ES"/>
        </w:rPr>
        <w:tab/>
      </w:r>
      <w:r w:rsidRPr="003221C4">
        <w:rPr>
          <w:rFonts w:cs="Arial"/>
          <w:b/>
          <w:kern w:val="28"/>
          <w:szCs w:val="24"/>
          <w:lang w:val="es-ES"/>
        </w:rPr>
        <w:t>Comisión</w:t>
      </w:r>
      <w:bookmarkEnd w:id="1"/>
      <w:r w:rsidRPr="003221C4">
        <w:rPr>
          <w:rFonts w:cs="Arial"/>
          <w:b/>
          <w:kern w:val="28"/>
          <w:szCs w:val="24"/>
          <w:lang w:val="es-ES"/>
        </w:rPr>
        <w:t xml:space="preserve"> </w:t>
      </w:r>
      <w:r w:rsidR="001B6288" w:rsidRPr="003221C4">
        <w:rPr>
          <w:rFonts w:cs="Arial"/>
          <w:b/>
          <w:kern w:val="28"/>
          <w:szCs w:val="24"/>
          <w:lang w:val="es-ES"/>
        </w:rPr>
        <w:t xml:space="preserve">de </w:t>
      </w:r>
      <w:r w:rsidR="00A46A87" w:rsidRPr="003221C4">
        <w:rPr>
          <w:rFonts w:cs="Arial"/>
          <w:b/>
          <w:kern w:val="28"/>
          <w:szCs w:val="24"/>
          <w:lang w:val="es-ES"/>
        </w:rPr>
        <w:t>Presentación de Estados Contables del Sistema Bancario (CPECSB)</w:t>
      </w:r>
    </w:p>
    <w:bookmarkEnd w:id="2"/>
    <w:p w14:paraId="4C4B5788" w14:textId="77777777" w:rsidR="00A46A87" w:rsidRPr="003221C4" w:rsidRDefault="00A46A87" w:rsidP="001C4EBE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es-ES"/>
        </w:rPr>
      </w:pPr>
    </w:p>
    <w:p w14:paraId="0169DE6B" w14:textId="01EBAB07" w:rsidR="00B011F1" w:rsidRPr="003221C4" w:rsidRDefault="00B011F1" w:rsidP="3B7C2A1A">
      <w:pPr>
        <w:widowControl w:val="0"/>
        <w:overflowPunct w:val="0"/>
        <w:adjustRightInd w:val="0"/>
        <w:jc w:val="both"/>
        <w:rPr>
          <w:rFonts w:cs="Arial"/>
          <w:kern w:val="28"/>
          <w:lang w:val="es-ES"/>
        </w:rPr>
      </w:pPr>
      <w:r w:rsidRPr="3B7C2A1A">
        <w:rPr>
          <w:rFonts w:cs="Arial"/>
          <w:kern w:val="28"/>
          <w:lang w:val="es-ES"/>
        </w:rPr>
        <w:t xml:space="preserve">La Coordinación Nacional recibió el Acta </w:t>
      </w:r>
      <w:proofErr w:type="spellStart"/>
      <w:r w:rsidRPr="3B7C2A1A">
        <w:rPr>
          <w:rFonts w:cs="Arial"/>
          <w:kern w:val="28"/>
          <w:lang w:val="es-ES"/>
        </w:rPr>
        <w:t>N°</w:t>
      </w:r>
      <w:proofErr w:type="spellEnd"/>
      <w:r w:rsidRPr="3B7C2A1A">
        <w:rPr>
          <w:rFonts w:cs="Arial"/>
          <w:kern w:val="28"/>
          <w:lang w:val="es-ES"/>
        </w:rPr>
        <w:t xml:space="preserve"> 0</w:t>
      </w:r>
      <w:r w:rsidR="004C6337" w:rsidRPr="3B7C2A1A">
        <w:rPr>
          <w:rFonts w:cs="Arial"/>
          <w:kern w:val="28"/>
          <w:lang w:val="es-ES"/>
        </w:rPr>
        <w:t>1</w:t>
      </w:r>
      <w:r w:rsidRPr="3B7C2A1A">
        <w:rPr>
          <w:rFonts w:cs="Arial"/>
          <w:kern w:val="28"/>
          <w:lang w:val="es-ES"/>
        </w:rPr>
        <w:t>/2</w:t>
      </w:r>
      <w:r w:rsidR="004C6337" w:rsidRPr="3B7C2A1A">
        <w:rPr>
          <w:rFonts w:cs="Arial"/>
          <w:kern w:val="28"/>
          <w:lang w:val="es-ES"/>
        </w:rPr>
        <w:t>5</w:t>
      </w:r>
      <w:r w:rsidRPr="3B7C2A1A">
        <w:rPr>
          <w:rFonts w:cs="Arial"/>
          <w:kern w:val="28"/>
          <w:lang w:val="es-ES"/>
        </w:rPr>
        <w:t xml:space="preserve"> de la reunión de la Comisión de Presentación de Estados Contables</w:t>
      </w:r>
      <w:r w:rsidRPr="003221C4">
        <w:t xml:space="preserve"> </w:t>
      </w:r>
      <w:r w:rsidRPr="3B7C2A1A">
        <w:rPr>
          <w:rFonts w:cs="Arial"/>
          <w:kern w:val="28"/>
          <w:lang w:val="es-ES"/>
        </w:rPr>
        <w:t xml:space="preserve">del Sistema Bancario (CPECSB), realizada por medio del sistema de videoconferencia, conforme se establece en la Resolución GMC </w:t>
      </w:r>
      <w:proofErr w:type="spellStart"/>
      <w:r w:rsidRPr="3B7C2A1A">
        <w:rPr>
          <w:rFonts w:cs="Arial"/>
          <w:kern w:val="28"/>
          <w:lang w:val="es-ES"/>
        </w:rPr>
        <w:t>N°</w:t>
      </w:r>
      <w:proofErr w:type="spellEnd"/>
      <w:r w:rsidRPr="3B7C2A1A">
        <w:rPr>
          <w:rFonts w:cs="Arial"/>
          <w:kern w:val="28"/>
          <w:lang w:val="es-ES"/>
        </w:rPr>
        <w:t xml:space="preserve"> 19/12 “Reuniones por el sistema de videoconferencia”, los días </w:t>
      </w:r>
      <w:r w:rsidR="004C6337" w:rsidRPr="3B7C2A1A">
        <w:rPr>
          <w:rFonts w:cs="Arial"/>
          <w:kern w:val="28"/>
          <w:lang w:val="es-ES"/>
        </w:rPr>
        <w:t>28 al 30 de abril</w:t>
      </w:r>
      <w:r w:rsidRPr="3B7C2A1A">
        <w:rPr>
          <w:rFonts w:cs="Arial"/>
          <w:kern w:val="28"/>
          <w:lang w:val="es-ES"/>
        </w:rPr>
        <w:t xml:space="preserve"> de 202</w:t>
      </w:r>
      <w:r w:rsidR="004C6337" w:rsidRPr="3B7C2A1A">
        <w:rPr>
          <w:rFonts w:cs="Arial"/>
          <w:kern w:val="28"/>
          <w:lang w:val="es-ES"/>
        </w:rPr>
        <w:t>5</w:t>
      </w:r>
      <w:r w:rsidRPr="3B7C2A1A">
        <w:rPr>
          <w:rFonts w:cs="Arial"/>
          <w:kern w:val="28"/>
          <w:lang w:val="es-ES"/>
        </w:rPr>
        <w:t xml:space="preserve">. El Acta y los anexos de la reunión constan </w:t>
      </w:r>
      <w:r w:rsidRPr="00556CAE">
        <w:rPr>
          <w:rFonts w:cs="Arial"/>
          <w:kern w:val="28"/>
          <w:lang w:val="es-ES"/>
        </w:rPr>
        <w:t xml:space="preserve">como </w:t>
      </w:r>
      <w:r w:rsidRPr="00556CAE">
        <w:rPr>
          <w:rFonts w:cs="Arial"/>
          <w:b/>
          <w:bCs/>
          <w:kern w:val="28"/>
          <w:lang w:val="es-ES"/>
        </w:rPr>
        <w:t xml:space="preserve">Anexo </w:t>
      </w:r>
      <w:r w:rsidR="1E90BA9F" w:rsidRPr="00556CAE">
        <w:rPr>
          <w:rFonts w:cs="Arial"/>
          <w:b/>
          <w:bCs/>
          <w:kern w:val="28"/>
          <w:lang w:val="es-ES"/>
        </w:rPr>
        <w:t>V</w:t>
      </w:r>
      <w:r w:rsidRPr="00556CAE">
        <w:rPr>
          <w:rFonts w:cs="Arial"/>
          <w:kern w:val="28"/>
          <w:lang w:val="es-ES"/>
        </w:rPr>
        <w:t>.</w:t>
      </w:r>
    </w:p>
    <w:p w14:paraId="5C60CB11" w14:textId="55710788" w:rsidR="3B7C2A1A" w:rsidRDefault="3B7C2A1A" w:rsidP="3B7C2A1A">
      <w:pPr>
        <w:widowControl w:val="0"/>
        <w:jc w:val="both"/>
        <w:rPr>
          <w:rFonts w:cs="Arial"/>
          <w:lang w:val="es-ES"/>
        </w:rPr>
      </w:pPr>
    </w:p>
    <w:p w14:paraId="53907224" w14:textId="33C42361" w:rsidR="19AC5E35" w:rsidRDefault="19AC5E35" w:rsidP="3B7C2A1A">
      <w:pPr>
        <w:widowControl w:val="0"/>
        <w:jc w:val="both"/>
        <w:rPr>
          <w:rFonts w:cs="Arial"/>
          <w:lang w:val="es-ES"/>
        </w:rPr>
      </w:pPr>
      <w:r w:rsidRPr="3B7C2A1A">
        <w:rPr>
          <w:rFonts w:cs="Arial"/>
          <w:szCs w:val="24"/>
          <w:lang w:val="es-ES"/>
        </w:rPr>
        <w:t>La Coordinación Nacional revisó y elevó a consideración del GMC el Informe Semestral sobre el grado de avance del Programa de Trabajo del período 2025-2026.</w:t>
      </w:r>
    </w:p>
    <w:p w14:paraId="55865276" w14:textId="77777777" w:rsidR="00B011F1" w:rsidRPr="003221C4" w:rsidRDefault="00B011F1" w:rsidP="00B011F1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</w:p>
    <w:p w14:paraId="00831092" w14:textId="77777777" w:rsidR="00A46A87" w:rsidRPr="003221C4" w:rsidRDefault="00A46A87" w:rsidP="001C4EBE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es-ES"/>
        </w:rPr>
      </w:pPr>
    </w:p>
    <w:p w14:paraId="3F1F577A" w14:textId="3888FD3E" w:rsidR="001C4EBE" w:rsidRPr="003221C4" w:rsidRDefault="001C4EBE" w:rsidP="00C44A8D">
      <w:pPr>
        <w:widowControl w:val="0"/>
        <w:overflowPunct w:val="0"/>
        <w:adjustRightInd w:val="0"/>
        <w:ind w:left="1134" w:hanging="567"/>
        <w:jc w:val="both"/>
        <w:rPr>
          <w:rFonts w:cs="Arial"/>
          <w:b/>
          <w:kern w:val="28"/>
          <w:szCs w:val="24"/>
          <w:lang w:val="es-ES"/>
        </w:rPr>
      </w:pPr>
      <w:r w:rsidRPr="003221C4">
        <w:rPr>
          <w:rFonts w:cs="Arial"/>
          <w:b/>
          <w:kern w:val="28"/>
          <w:szCs w:val="24"/>
          <w:lang w:val="es-ES"/>
        </w:rPr>
        <w:lastRenderedPageBreak/>
        <w:t>3.2.</w:t>
      </w:r>
      <w:r w:rsidRPr="003221C4">
        <w:rPr>
          <w:rFonts w:cs="Arial"/>
          <w:b/>
          <w:kern w:val="28"/>
          <w:szCs w:val="24"/>
          <w:lang w:val="es-ES"/>
        </w:rPr>
        <w:tab/>
        <w:t>Comisión de Mercado de Valores</w:t>
      </w:r>
      <w:r w:rsidR="00A46A87" w:rsidRPr="003221C4">
        <w:t xml:space="preserve"> </w:t>
      </w:r>
      <w:r w:rsidR="00A46A87" w:rsidRPr="003221C4">
        <w:rPr>
          <w:rFonts w:cs="Arial"/>
          <w:b/>
          <w:kern w:val="28"/>
          <w:szCs w:val="24"/>
          <w:lang w:val="es-ES"/>
        </w:rPr>
        <w:t>(CMV)</w:t>
      </w:r>
      <w:r w:rsidR="00FA48F0" w:rsidRPr="003221C4">
        <w:rPr>
          <w:rFonts w:cs="Arial"/>
          <w:b/>
          <w:kern w:val="28"/>
          <w:szCs w:val="24"/>
          <w:lang w:val="es-ES"/>
        </w:rPr>
        <w:t xml:space="preserve"> </w:t>
      </w:r>
    </w:p>
    <w:p w14:paraId="314FFF01" w14:textId="77777777" w:rsidR="00A46A87" w:rsidRPr="003221C4" w:rsidRDefault="00A46A87" w:rsidP="001C4EBE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es-ES"/>
        </w:rPr>
      </w:pPr>
    </w:p>
    <w:p w14:paraId="64F69B1C" w14:textId="350BE82E" w:rsidR="00B011F1" w:rsidRDefault="00B011F1" w:rsidP="3B7C2A1A">
      <w:pPr>
        <w:jc w:val="both"/>
        <w:rPr>
          <w:rFonts w:cs="Arial"/>
          <w:b/>
          <w:bCs/>
          <w:kern w:val="28"/>
          <w:lang w:val="es-ES"/>
        </w:rPr>
      </w:pPr>
      <w:r w:rsidRPr="3B7C2A1A">
        <w:rPr>
          <w:rFonts w:cs="Arial"/>
          <w:kern w:val="28"/>
          <w:lang w:val="es-ES"/>
        </w:rPr>
        <w:t xml:space="preserve">La Coordinación Nacional recibió el Acta </w:t>
      </w:r>
      <w:proofErr w:type="spellStart"/>
      <w:r w:rsidRPr="3B7C2A1A">
        <w:rPr>
          <w:rFonts w:cs="Arial"/>
          <w:kern w:val="28"/>
          <w:lang w:val="es-ES"/>
        </w:rPr>
        <w:t>N°</w:t>
      </w:r>
      <w:proofErr w:type="spellEnd"/>
      <w:r w:rsidRPr="3B7C2A1A">
        <w:rPr>
          <w:rFonts w:cs="Arial"/>
          <w:kern w:val="28"/>
          <w:lang w:val="es-ES"/>
        </w:rPr>
        <w:t xml:space="preserve"> </w:t>
      </w:r>
      <w:r w:rsidR="004C6337" w:rsidRPr="3B7C2A1A">
        <w:rPr>
          <w:rFonts w:cs="Arial"/>
          <w:kern w:val="28"/>
          <w:lang w:val="es-ES"/>
        </w:rPr>
        <w:t>01</w:t>
      </w:r>
      <w:r w:rsidRPr="3B7C2A1A">
        <w:rPr>
          <w:rFonts w:cs="Arial"/>
          <w:kern w:val="28"/>
          <w:lang w:val="es-ES"/>
        </w:rPr>
        <w:t>/2</w:t>
      </w:r>
      <w:r w:rsidR="004C6337" w:rsidRPr="3B7C2A1A">
        <w:rPr>
          <w:rFonts w:cs="Arial"/>
          <w:kern w:val="28"/>
          <w:lang w:val="es-ES"/>
        </w:rPr>
        <w:t>5</w:t>
      </w:r>
      <w:r w:rsidRPr="3B7C2A1A">
        <w:rPr>
          <w:rFonts w:cs="Arial"/>
          <w:kern w:val="28"/>
          <w:lang w:val="es-ES"/>
        </w:rPr>
        <w:t xml:space="preserve"> de la reunión de la Comisión de</w:t>
      </w:r>
      <w:r w:rsidR="1D4BE0E6" w:rsidRPr="3B7C2A1A">
        <w:rPr>
          <w:rFonts w:cs="Arial"/>
          <w:kern w:val="28"/>
          <w:lang w:val="es-ES"/>
        </w:rPr>
        <w:t>l</w:t>
      </w:r>
      <w:r w:rsidRPr="3B7C2A1A">
        <w:rPr>
          <w:rFonts w:cs="Arial"/>
          <w:kern w:val="28"/>
          <w:lang w:val="es-ES"/>
        </w:rPr>
        <w:t xml:space="preserve"> Mercado de Valores (CMV), realizada por medio del sistema de videoconferencia, conforme se establece en la Resolución GMC </w:t>
      </w:r>
      <w:proofErr w:type="spellStart"/>
      <w:r w:rsidRPr="3B7C2A1A">
        <w:rPr>
          <w:rFonts w:cs="Arial"/>
          <w:kern w:val="28"/>
          <w:lang w:val="es-ES"/>
        </w:rPr>
        <w:t>N°</w:t>
      </w:r>
      <w:proofErr w:type="spellEnd"/>
      <w:r w:rsidRPr="3B7C2A1A">
        <w:rPr>
          <w:rFonts w:cs="Arial"/>
          <w:kern w:val="28"/>
          <w:lang w:val="es-ES"/>
        </w:rPr>
        <w:t xml:space="preserve"> 19/12 “Reuniones por el sistema de videoconferencia”, los días </w:t>
      </w:r>
      <w:r w:rsidR="004C6337" w:rsidRPr="3B7C2A1A">
        <w:rPr>
          <w:rFonts w:cs="Arial"/>
          <w:kern w:val="28"/>
          <w:lang w:val="es-ES"/>
        </w:rPr>
        <w:t>23 al 25 de abril de 2025</w:t>
      </w:r>
      <w:r w:rsidRPr="3B7C2A1A">
        <w:rPr>
          <w:rFonts w:cs="Arial"/>
          <w:kern w:val="28"/>
          <w:lang w:val="es-ES"/>
        </w:rPr>
        <w:t xml:space="preserve">. El Acta y los anexos de la reunión constan </w:t>
      </w:r>
      <w:r w:rsidRPr="00556CAE">
        <w:rPr>
          <w:rFonts w:cs="Arial"/>
          <w:kern w:val="28"/>
          <w:lang w:val="es-ES"/>
        </w:rPr>
        <w:t>como</w:t>
      </w:r>
      <w:r w:rsidRPr="00556CAE">
        <w:rPr>
          <w:rFonts w:cs="Arial"/>
          <w:b/>
          <w:bCs/>
          <w:kern w:val="28"/>
          <w:lang w:val="es-ES"/>
        </w:rPr>
        <w:t xml:space="preserve"> Anexo </w:t>
      </w:r>
      <w:r w:rsidR="6F2F49FB" w:rsidRPr="00556CAE">
        <w:rPr>
          <w:rFonts w:cs="Arial"/>
          <w:b/>
          <w:bCs/>
          <w:kern w:val="28"/>
          <w:lang w:val="es-ES"/>
        </w:rPr>
        <w:t>VI</w:t>
      </w:r>
      <w:r w:rsidRPr="00556CAE">
        <w:rPr>
          <w:rFonts w:cs="Arial"/>
          <w:b/>
          <w:bCs/>
          <w:kern w:val="28"/>
          <w:lang w:val="es-ES"/>
        </w:rPr>
        <w:t>.</w:t>
      </w:r>
    </w:p>
    <w:p w14:paraId="73ADBF6C" w14:textId="2E90CB52" w:rsidR="004C6337" w:rsidRDefault="004C6337" w:rsidP="3B7C2A1A">
      <w:pPr>
        <w:jc w:val="both"/>
        <w:rPr>
          <w:rFonts w:cs="Arial"/>
          <w:b/>
          <w:bCs/>
          <w:lang w:val="es-ES"/>
        </w:rPr>
      </w:pPr>
    </w:p>
    <w:p w14:paraId="4CBBF967" w14:textId="420AD49F" w:rsidR="00087FD7" w:rsidRDefault="00087FD7" w:rsidP="3B7C2A1A">
      <w:pPr>
        <w:widowControl w:val="0"/>
        <w:jc w:val="both"/>
        <w:rPr>
          <w:rFonts w:cs="Arial"/>
          <w:lang w:val="es-ES"/>
        </w:rPr>
      </w:pPr>
      <w:r w:rsidRPr="4E581A53">
        <w:rPr>
          <w:rFonts w:cs="Arial"/>
          <w:lang w:val="es-ES"/>
        </w:rPr>
        <w:t xml:space="preserve">La Coordinación Nacional tomó conocimiento del ajuste efectuado sobre el Informe de Cumplimiento del Programa de Trabajo 2023-2024 (IC) conforme lo encomendado en la última reunión bajo la PPTU, y se elevó a consideración del GMC conforme lo establecido en el Anexo III de la </w:t>
      </w:r>
      <w:proofErr w:type="spellStart"/>
      <w:r w:rsidRPr="4E581A53">
        <w:rPr>
          <w:rFonts w:cs="Arial"/>
          <w:lang w:val="es-ES"/>
        </w:rPr>
        <w:t>Dec</w:t>
      </w:r>
      <w:proofErr w:type="spellEnd"/>
      <w:r w:rsidRPr="4E581A53">
        <w:rPr>
          <w:rFonts w:cs="Arial"/>
          <w:lang w:val="es-ES"/>
        </w:rPr>
        <w:t xml:space="preserve">. </w:t>
      </w:r>
      <w:r w:rsidRPr="56A1F8FD">
        <w:rPr>
          <w:rFonts w:cs="Arial"/>
          <w:lang w:val="es-ES"/>
        </w:rPr>
        <w:t xml:space="preserve">CMC </w:t>
      </w:r>
      <w:proofErr w:type="spellStart"/>
      <w:r w:rsidRPr="56A1F8FD">
        <w:rPr>
          <w:rFonts w:cs="Arial"/>
          <w:lang w:val="es-ES"/>
        </w:rPr>
        <w:t>N°</w:t>
      </w:r>
      <w:proofErr w:type="spellEnd"/>
      <w:r w:rsidRPr="56A1F8FD">
        <w:rPr>
          <w:rFonts w:cs="Arial"/>
          <w:lang w:val="es-ES"/>
        </w:rPr>
        <w:t xml:space="preserve"> 36/</w:t>
      </w:r>
      <w:r w:rsidRPr="00556CAE">
        <w:rPr>
          <w:rFonts w:cs="Arial"/>
          <w:lang w:val="es-ES"/>
        </w:rPr>
        <w:t>10 (</w:t>
      </w:r>
      <w:r w:rsidRPr="00556CAE">
        <w:rPr>
          <w:rFonts w:cs="Arial"/>
          <w:b/>
          <w:bCs/>
          <w:lang w:val="es-ES"/>
        </w:rPr>
        <w:t xml:space="preserve">Anexo </w:t>
      </w:r>
      <w:r w:rsidR="1D670FD0" w:rsidRPr="00556CAE">
        <w:rPr>
          <w:rFonts w:cs="Arial"/>
          <w:b/>
          <w:bCs/>
          <w:lang w:val="es-ES"/>
        </w:rPr>
        <w:t>VII</w:t>
      </w:r>
      <w:r w:rsidRPr="00556CAE">
        <w:rPr>
          <w:rFonts w:cs="Arial"/>
          <w:lang w:val="es-ES"/>
        </w:rPr>
        <w:t>)</w:t>
      </w:r>
      <w:r w:rsidR="3920FC7A" w:rsidRPr="00556CAE">
        <w:rPr>
          <w:rFonts w:cs="Arial"/>
          <w:lang w:val="es-ES"/>
        </w:rPr>
        <w:t>.</w:t>
      </w:r>
    </w:p>
    <w:p w14:paraId="76C3C2F2" w14:textId="77777777" w:rsidR="00087FD7" w:rsidRDefault="00087FD7" w:rsidP="3B7C2A1A">
      <w:pPr>
        <w:widowControl w:val="0"/>
        <w:jc w:val="both"/>
        <w:rPr>
          <w:rFonts w:cs="Arial"/>
          <w:szCs w:val="24"/>
          <w:lang w:val="es-ES"/>
        </w:rPr>
      </w:pPr>
    </w:p>
    <w:p w14:paraId="2D0A316C" w14:textId="625BCC91" w:rsidR="004C6337" w:rsidRDefault="71BC444A" w:rsidP="3B7C2A1A">
      <w:pPr>
        <w:widowControl w:val="0"/>
        <w:jc w:val="both"/>
        <w:rPr>
          <w:rFonts w:cs="Arial"/>
          <w:lang w:val="es-ES"/>
        </w:rPr>
      </w:pPr>
      <w:r w:rsidRPr="3B7C2A1A">
        <w:rPr>
          <w:rFonts w:cs="Arial"/>
          <w:szCs w:val="24"/>
          <w:lang w:val="es-ES"/>
        </w:rPr>
        <w:t>La Coordinación Nacional revisó y elevó a consideración del GMC el Informe Semestral sobre el grado de avance del Programa de Trabajo del período 2025-2026.</w:t>
      </w:r>
    </w:p>
    <w:p w14:paraId="16F963B7" w14:textId="1226AB87" w:rsidR="004C6337" w:rsidRDefault="004C6337" w:rsidP="3B7C2A1A">
      <w:pPr>
        <w:jc w:val="both"/>
        <w:rPr>
          <w:rFonts w:ascii="Times New Roman" w:hAnsi="Times New Roman"/>
          <w:color w:val="000000" w:themeColor="text1"/>
          <w:kern w:val="28"/>
          <w:szCs w:val="24"/>
          <w:lang w:val="es-ES"/>
        </w:rPr>
      </w:pPr>
    </w:p>
    <w:p w14:paraId="1EA27DB4" w14:textId="77777777" w:rsidR="004C6337" w:rsidRPr="003221C4" w:rsidRDefault="004C6337" w:rsidP="2070D9A4">
      <w:pPr>
        <w:widowControl w:val="0"/>
        <w:overflowPunct w:val="0"/>
        <w:adjustRightInd w:val="0"/>
        <w:jc w:val="both"/>
        <w:rPr>
          <w:rFonts w:cs="Arial"/>
          <w:kern w:val="28"/>
          <w:lang w:val="es-ES"/>
        </w:rPr>
      </w:pPr>
      <w:r w:rsidRPr="2070D9A4">
        <w:rPr>
          <w:rFonts w:cs="Arial"/>
          <w:kern w:val="28"/>
          <w:lang w:val="es-ES"/>
        </w:rPr>
        <w:t xml:space="preserve">Asimismo, la Coordinación Nacional recibió los documentos a ser remitidos a la SM/UCIM para su publicación de conformidad a lo establecido en la Resolución GMC </w:t>
      </w:r>
      <w:proofErr w:type="spellStart"/>
      <w:r w:rsidRPr="2070D9A4">
        <w:rPr>
          <w:rFonts w:cs="Arial"/>
          <w:kern w:val="28"/>
          <w:lang w:val="es-ES"/>
        </w:rPr>
        <w:t>N°</w:t>
      </w:r>
      <w:proofErr w:type="spellEnd"/>
      <w:r w:rsidRPr="2070D9A4">
        <w:rPr>
          <w:rFonts w:cs="Arial"/>
          <w:kern w:val="28"/>
          <w:lang w:val="es-ES"/>
        </w:rPr>
        <w:t xml:space="preserve"> 32/22.</w:t>
      </w:r>
    </w:p>
    <w:p w14:paraId="5245DA7F" w14:textId="49296CD1" w:rsidR="2070D9A4" w:rsidRDefault="2070D9A4" w:rsidP="2070D9A4">
      <w:pPr>
        <w:widowControl w:val="0"/>
        <w:jc w:val="both"/>
        <w:rPr>
          <w:rFonts w:cs="Arial"/>
          <w:lang w:val="es-ES"/>
        </w:rPr>
      </w:pPr>
    </w:p>
    <w:p w14:paraId="08B4E1E2" w14:textId="683B9577" w:rsidR="00FF4C50" w:rsidRPr="003221C4" w:rsidRDefault="00FF4C50" w:rsidP="001C4EBE">
      <w:pPr>
        <w:widowControl w:val="0"/>
        <w:overflowPunct w:val="0"/>
        <w:adjustRightInd w:val="0"/>
        <w:jc w:val="both"/>
        <w:rPr>
          <w:rFonts w:cs="Arial"/>
          <w:kern w:val="28"/>
          <w:lang w:val="es-ES"/>
        </w:rPr>
      </w:pPr>
    </w:p>
    <w:p w14:paraId="48F4A1B9" w14:textId="77777777" w:rsidR="001C4EBE" w:rsidRPr="003221C4" w:rsidRDefault="001C4EBE" w:rsidP="00C44A8D">
      <w:pPr>
        <w:widowControl w:val="0"/>
        <w:overflowPunct w:val="0"/>
        <w:adjustRightInd w:val="0"/>
        <w:ind w:left="1134" w:hanging="567"/>
        <w:jc w:val="both"/>
        <w:rPr>
          <w:rFonts w:cs="Arial"/>
          <w:b/>
          <w:kern w:val="28"/>
          <w:szCs w:val="24"/>
          <w:lang w:val="es-ES"/>
        </w:rPr>
      </w:pPr>
      <w:r w:rsidRPr="003221C4">
        <w:rPr>
          <w:rFonts w:cs="Arial"/>
          <w:b/>
          <w:kern w:val="28"/>
          <w:szCs w:val="24"/>
          <w:lang w:val="es-ES"/>
        </w:rPr>
        <w:t>3.3.</w:t>
      </w:r>
      <w:r w:rsidRPr="003221C4">
        <w:rPr>
          <w:rFonts w:cs="Arial"/>
          <w:b/>
          <w:kern w:val="28"/>
          <w:szCs w:val="24"/>
          <w:lang w:val="es-ES"/>
        </w:rPr>
        <w:tab/>
        <w:t>Comisión de Seguros</w:t>
      </w:r>
      <w:r w:rsidR="00A46A87" w:rsidRPr="003221C4">
        <w:rPr>
          <w:rFonts w:cs="Arial"/>
          <w:b/>
          <w:kern w:val="28"/>
          <w:szCs w:val="24"/>
          <w:lang w:val="es-ES"/>
        </w:rPr>
        <w:t xml:space="preserve"> (CS)</w:t>
      </w:r>
    </w:p>
    <w:p w14:paraId="6BED2181" w14:textId="77777777" w:rsidR="00B011F1" w:rsidRPr="003221C4" w:rsidRDefault="00B011F1" w:rsidP="001C4EBE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es-ES"/>
        </w:rPr>
      </w:pPr>
    </w:p>
    <w:p w14:paraId="032B2FE7" w14:textId="019DF583" w:rsidR="00B011F1" w:rsidRPr="003221C4" w:rsidRDefault="00041F7E" w:rsidP="3B7C2A1A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lang w:val="es-ES"/>
        </w:rPr>
      </w:pPr>
      <w:r w:rsidRPr="3B7C2A1A">
        <w:rPr>
          <w:rFonts w:cs="Arial"/>
          <w:kern w:val="28"/>
          <w:lang w:val="es-ES"/>
        </w:rPr>
        <w:t>La Coordinació</w:t>
      </w:r>
      <w:r w:rsidR="00BD103A" w:rsidRPr="3B7C2A1A">
        <w:rPr>
          <w:rFonts w:cs="Arial"/>
          <w:kern w:val="28"/>
          <w:lang w:val="es-ES"/>
        </w:rPr>
        <w:t xml:space="preserve">n Nacional recibió el Acta </w:t>
      </w:r>
      <w:proofErr w:type="spellStart"/>
      <w:r w:rsidR="00BD103A" w:rsidRPr="3B7C2A1A">
        <w:rPr>
          <w:rFonts w:cs="Arial"/>
          <w:kern w:val="28"/>
          <w:lang w:val="es-ES"/>
        </w:rPr>
        <w:t>N°</w:t>
      </w:r>
      <w:proofErr w:type="spellEnd"/>
      <w:r w:rsidR="00BD103A" w:rsidRPr="3B7C2A1A">
        <w:rPr>
          <w:rFonts w:cs="Arial"/>
          <w:kern w:val="28"/>
          <w:lang w:val="es-ES"/>
        </w:rPr>
        <w:t xml:space="preserve"> 0</w:t>
      </w:r>
      <w:r w:rsidR="004C6337" w:rsidRPr="3B7C2A1A">
        <w:rPr>
          <w:rFonts w:cs="Arial"/>
          <w:kern w:val="28"/>
          <w:lang w:val="es-ES"/>
        </w:rPr>
        <w:t>1</w:t>
      </w:r>
      <w:r w:rsidRPr="3B7C2A1A">
        <w:rPr>
          <w:rFonts w:cs="Arial"/>
          <w:kern w:val="28"/>
          <w:lang w:val="es-ES"/>
        </w:rPr>
        <w:t>/2</w:t>
      </w:r>
      <w:r w:rsidR="004C6337" w:rsidRPr="3B7C2A1A">
        <w:rPr>
          <w:rFonts w:cs="Arial"/>
          <w:kern w:val="28"/>
          <w:lang w:val="es-ES"/>
        </w:rPr>
        <w:t>5</w:t>
      </w:r>
      <w:r w:rsidRPr="3B7C2A1A">
        <w:rPr>
          <w:rFonts w:cs="Arial"/>
          <w:kern w:val="28"/>
          <w:lang w:val="es-ES"/>
        </w:rPr>
        <w:t xml:space="preserve"> de la reunión de la Comisión de Seguros, realizada por medio del sistema de videoconferencia, conforme se establece en la Resolución GMC </w:t>
      </w:r>
      <w:proofErr w:type="spellStart"/>
      <w:r w:rsidRPr="3B7C2A1A">
        <w:rPr>
          <w:rFonts w:cs="Arial"/>
          <w:kern w:val="28"/>
          <w:lang w:val="es-ES"/>
        </w:rPr>
        <w:t>N°</w:t>
      </w:r>
      <w:proofErr w:type="spellEnd"/>
      <w:r w:rsidRPr="3B7C2A1A">
        <w:rPr>
          <w:rFonts w:cs="Arial"/>
          <w:kern w:val="28"/>
          <w:lang w:val="es-ES"/>
        </w:rPr>
        <w:t xml:space="preserve"> 19/12 “Reuniones por el sistema de videoconferencia”, los días </w:t>
      </w:r>
      <w:r w:rsidR="004C6337" w:rsidRPr="3B7C2A1A">
        <w:rPr>
          <w:rFonts w:cs="Arial"/>
          <w:kern w:val="28"/>
          <w:lang w:val="es-ES"/>
        </w:rPr>
        <w:t xml:space="preserve">28 </w:t>
      </w:r>
      <w:r w:rsidR="5425BAF4" w:rsidRPr="3B7C2A1A">
        <w:rPr>
          <w:rFonts w:cs="Arial"/>
          <w:kern w:val="28"/>
          <w:lang w:val="es-ES"/>
        </w:rPr>
        <w:t>y 29</w:t>
      </w:r>
      <w:r w:rsidR="004C6337" w:rsidRPr="3B7C2A1A">
        <w:rPr>
          <w:rFonts w:cs="Arial"/>
          <w:kern w:val="28"/>
          <w:lang w:val="es-ES"/>
        </w:rPr>
        <w:t xml:space="preserve"> de abril de 2025</w:t>
      </w:r>
      <w:r w:rsidRPr="3B7C2A1A">
        <w:rPr>
          <w:rFonts w:cs="Arial"/>
          <w:kern w:val="28"/>
          <w:lang w:val="es-ES"/>
        </w:rPr>
        <w:t>. El Acta y los anexos de la reunión constan como</w:t>
      </w:r>
      <w:r w:rsidRPr="3B7C2A1A">
        <w:rPr>
          <w:rFonts w:cs="Arial"/>
          <w:b/>
          <w:bCs/>
          <w:kern w:val="28"/>
          <w:lang w:val="es-ES"/>
        </w:rPr>
        <w:t xml:space="preserve"> </w:t>
      </w:r>
      <w:r w:rsidRPr="00556CAE">
        <w:rPr>
          <w:rFonts w:cs="Arial"/>
          <w:b/>
          <w:bCs/>
          <w:kern w:val="28"/>
          <w:lang w:val="es-ES"/>
        </w:rPr>
        <w:t xml:space="preserve">Anexo </w:t>
      </w:r>
      <w:r w:rsidR="566C71DB" w:rsidRPr="00556CAE">
        <w:rPr>
          <w:rFonts w:cs="Arial"/>
          <w:b/>
          <w:bCs/>
          <w:kern w:val="28"/>
          <w:lang w:val="es-ES"/>
        </w:rPr>
        <w:t>VIII</w:t>
      </w:r>
      <w:r w:rsidRPr="00556CAE">
        <w:rPr>
          <w:rFonts w:cs="Arial"/>
          <w:b/>
          <w:bCs/>
          <w:kern w:val="28"/>
          <w:lang w:val="es-ES"/>
        </w:rPr>
        <w:t>.</w:t>
      </w:r>
    </w:p>
    <w:p w14:paraId="0846046B" w14:textId="06E8A8E3" w:rsidR="3B7C2A1A" w:rsidRDefault="3B7C2A1A" w:rsidP="3B7C2A1A">
      <w:pPr>
        <w:widowControl w:val="0"/>
        <w:jc w:val="both"/>
        <w:rPr>
          <w:rFonts w:cs="Arial"/>
          <w:b/>
          <w:bCs/>
          <w:lang w:val="es-ES"/>
        </w:rPr>
      </w:pPr>
    </w:p>
    <w:p w14:paraId="06E82807" w14:textId="33C42361" w:rsidR="6B51CB65" w:rsidRDefault="6B51CB65" w:rsidP="3B7C2A1A">
      <w:pPr>
        <w:widowControl w:val="0"/>
        <w:jc w:val="both"/>
        <w:rPr>
          <w:rFonts w:cs="Arial"/>
          <w:lang w:val="es-ES"/>
        </w:rPr>
      </w:pPr>
      <w:r w:rsidRPr="3B7C2A1A">
        <w:rPr>
          <w:rFonts w:cs="Arial"/>
          <w:szCs w:val="24"/>
          <w:lang w:val="es-ES"/>
        </w:rPr>
        <w:t>La Coordinación Nacional revisó y elevó a consideración del GMC el Informe Semestral sobre el grado de avance del Programa de Trabajo del período 2025-2026.</w:t>
      </w:r>
    </w:p>
    <w:p w14:paraId="04643799" w14:textId="632E23B9" w:rsidR="3B7C2A1A" w:rsidRDefault="3B7C2A1A" w:rsidP="3B7C2A1A">
      <w:pPr>
        <w:widowControl w:val="0"/>
        <w:jc w:val="both"/>
        <w:rPr>
          <w:rFonts w:cs="Arial"/>
          <w:b/>
          <w:bCs/>
          <w:lang w:val="es-ES"/>
        </w:rPr>
      </w:pPr>
    </w:p>
    <w:p w14:paraId="1DFE3492" w14:textId="77777777" w:rsidR="008B1894" w:rsidRPr="003221C4" w:rsidRDefault="008B1894" w:rsidP="001C4EBE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es-ES"/>
        </w:rPr>
      </w:pPr>
    </w:p>
    <w:p w14:paraId="5C8506A1" w14:textId="79ED5772" w:rsidR="001C4EBE" w:rsidRPr="003221C4" w:rsidRDefault="001C4EBE" w:rsidP="00202838">
      <w:pPr>
        <w:widowControl w:val="0"/>
        <w:overflowPunct w:val="0"/>
        <w:adjustRightInd w:val="0"/>
        <w:ind w:left="1134" w:hanging="567"/>
        <w:jc w:val="both"/>
        <w:rPr>
          <w:rFonts w:cs="Arial"/>
          <w:b/>
          <w:kern w:val="28"/>
          <w:szCs w:val="24"/>
          <w:lang w:val="es-ES"/>
        </w:rPr>
      </w:pPr>
      <w:r w:rsidRPr="003221C4">
        <w:rPr>
          <w:rFonts w:cs="Arial"/>
          <w:b/>
          <w:kern w:val="28"/>
          <w:szCs w:val="24"/>
          <w:lang w:val="es-ES"/>
        </w:rPr>
        <w:t>3.4.</w:t>
      </w:r>
      <w:r w:rsidRPr="003221C4">
        <w:rPr>
          <w:rFonts w:cs="Arial"/>
          <w:b/>
          <w:kern w:val="28"/>
          <w:szCs w:val="24"/>
          <w:lang w:val="es-ES"/>
        </w:rPr>
        <w:tab/>
        <w:t>Comisión del Sistema Bancario</w:t>
      </w:r>
      <w:r w:rsidR="00A46A87" w:rsidRPr="003221C4">
        <w:rPr>
          <w:rFonts w:cs="Arial"/>
          <w:b/>
          <w:kern w:val="28"/>
          <w:szCs w:val="24"/>
          <w:lang w:val="es-ES"/>
        </w:rPr>
        <w:t xml:space="preserve"> (CSB)</w:t>
      </w:r>
      <w:r w:rsidR="00DF0E6D" w:rsidRPr="003221C4">
        <w:rPr>
          <w:rFonts w:cs="Arial"/>
          <w:b/>
          <w:kern w:val="28"/>
          <w:szCs w:val="24"/>
          <w:lang w:val="es-ES"/>
        </w:rPr>
        <w:t xml:space="preserve"> </w:t>
      </w:r>
    </w:p>
    <w:p w14:paraId="765C294C" w14:textId="77777777" w:rsidR="00A46A87" w:rsidRPr="003221C4" w:rsidRDefault="00A46A87" w:rsidP="001C4EBE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es-ES"/>
        </w:rPr>
      </w:pPr>
    </w:p>
    <w:p w14:paraId="48A94E82" w14:textId="7A3CCD84" w:rsidR="00041F7E" w:rsidRPr="003221C4" w:rsidRDefault="00041F7E" w:rsidP="3B7C2A1A">
      <w:pPr>
        <w:jc w:val="both"/>
        <w:rPr>
          <w:rFonts w:cs="Arial"/>
          <w:b/>
          <w:bCs/>
          <w:lang w:val="es-UY"/>
        </w:rPr>
      </w:pPr>
      <w:r w:rsidRPr="3B7C2A1A">
        <w:rPr>
          <w:rFonts w:cs="Arial"/>
          <w:lang w:val="es-UY"/>
        </w:rPr>
        <w:t xml:space="preserve">La Coordinación Nacional recibió el Acta </w:t>
      </w:r>
      <w:proofErr w:type="spellStart"/>
      <w:r w:rsidRPr="3B7C2A1A">
        <w:rPr>
          <w:rFonts w:cs="Arial"/>
          <w:lang w:val="es-UY"/>
        </w:rPr>
        <w:t>N°</w:t>
      </w:r>
      <w:proofErr w:type="spellEnd"/>
      <w:r w:rsidRPr="3B7C2A1A">
        <w:rPr>
          <w:rFonts w:cs="Arial"/>
          <w:lang w:val="es-UY"/>
        </w:rPr>
        <w:t xml:space="preserve"> 0</w:t>
      </w:r>
      <w:r w:rsidR="004C6337" w:rsidRPr="3B7C2A1A">
        <w:rPr>
          <w:rFonts w:cs="Arial"/>
          <w:lang w:val="es-UY"/>
        </w:rPr>
        <w:t>1</w:t>
      </w:r>
      <w:r w:rsidRPr="3B7C2A1A">
        <w:rPr>
          <w:rFonts w:cs="Arial"/>
          <w:lang w:val="es-UY"/>
        </w:rPr>
        <w:t>/2</w:t>
      </w:r>
      <w:r w:rsidR="004C6337" w:rsidRPr="3B7C2A1A">
        <w:rPr>
          <w:rFonts w:cs="Arial"/>
          <w:lang w:val="es-UY"/>
        </w:rPr>
        <w:t>5</w:t>
      </w:r>
      <w:r w:rsidRPr="3B7C2A1A">
        <w:rPr>
          <w:rFonts w:cs="Arial"/>
          <w:lang w:val="es-UY"/>
        </w:rPr>
        <w:t xml:space="preserve"> de la reunión de la Comisión del Sistema Bancario (CSB), realizada por medio del sistema de videoconferencia, conforme se establece en la Resolución GMC </w:t>
      </w:r>
      <w:proofErr w:type="spellStart"/>
      <w:r w:rsidRPr="3B7C2A1A">
        <w:rPr>
          <w:rFonts w:cs="Arial"/>
          <w:lang w:val="es-UY"/>
        </w:rPr>
        <w:t>N°</w:t>
      </w:r>
      <w:proofErr w:type="spellEnd"/>
      <w:r w:rsidRPr="3B7C2A1A">
        <w:rPr>
          <w:rFonts w:cs="Arial"/>
          <w:lang w:val="es-UY"/>
        </w:rPr>
        <w:t xml:space="preserve"> 19/12 “Reuniones por el sistema de videoconferencia”, los días </w:t>
      </w:r>
      <w:r w:rsidR="004C6337" w:rsidRPr="3B7C2A1A">
        <w:rPr>
          <w:rFonts w:cs="Arial"/>
          <w:lang w:val="es-UY"/>
        </w:rPr>
        <w:t>22 y 23 de abril de 2025</w:t>
      </w:r>
      <w:r w:rsidRPr="3B7C2A1A">
        <w:rPr>
          <w:rFonts w:cs="Arial"/>
          <w:lang w:val="es-UY"/>
        </w:rPr>
        <w:t xml:space="preserve">. El Acta y los anexos de la reunión constan </w:t>
      </w:r>
      <w:r w:rsidRPr="00556CAE">
        <w:rPr>
          <w:rFonts w:cs="Arial"/>
          <w:lang w:val="es-UY"/>
        </w:rPr>
        <w:t xml:space="preserve">como </w:t>
      </w:r>
      <w:r w:rsidRPr="00556CAE">
        <w:rPr>
          <w:rFonts w:cs="Arial"/>
          <w:b/>
          <w:bCs/>
          <w:lang w:val="es-UY"/>
        </w:rPr>
        <w:t xml:space="preserve">Anexo </w:t>
      </w:r>
      <w:r w:rsidR="7E091972" w:rsidRPr="00556CAE">
        <w:rPr>
          <w:rFonts w:cs="Arial"/>
          <w:b/>
          <w:bCs/>
          <w:lang w:val="es-UY"/>
        </w:rPr>
        <w:t>IX</w:t>
      </w:r>
      <w:r w:rsidRPr="00556CAE">
        <w:rPr>
          <w:rFonts w:cs="Arial"/>
          <w:b/>
          <w:bCs/>
          <w:lang w:val="es-UY"/>
        </w:rPr>
        <w:t>.</w:t>
      </w:r>
    </w:p>
    <w:p w14:paraId="0FBF0460" w14:textId="7F25957F" w:rsidR="3B7C2A1A" w:rsidRDefault="3B7C2A1A" w:rsidP="3B7C2A1A">
      <w:pPr>
        <w:jc w:val="both"/>
        <w:rPr>
          <w:rFonts w:cs="Arial"/>
          <w:b/>
          <w:bCs/>
          <w:lang w:val="es-UY"/>
        </w:rPr>
      </w:pPr>
    </w:p>
    <w:p w14:paraId="7EA33D76" w14:textId="5506E77F" w:rsidR="44A16941" w:rsidRDefault="44A16941" w:rsidP="3B7C2A1A">
      <w:pPr>
        <w:widowControl w:val="0"/>
        <w:jc w:val="both"/>
        <w:rPr>
          <w:rFonts w:cs="Arial"/>
          <w:lang w:val="es-ES"/>
        </w:rPr>
      </w:pPr>
      <w:r w:rsidRPr="3B7C2A1A">
        <w:rPr>
          <w:rFonts w:cs="Arial"/>
          <w:szCs w:val="24"/>
          <w:lang w:val="es-ES"/>
        </w:rPr>
        <w:t>La Coordinación Nacional revisó y elevó a consideración del GMC el Informe Semestral sobre el grado de avance del Programa de Trabajo del período 2025-2026.</w:t>
      </w:r>
    </w:p>
    <w:p w14:paraId="1707DC35" w14:textId="77777777" w:rsidR="00816A6D" w:rsidRPr="003221C4" w:rsidRDefault="00816A6D" w:rsidP="00041F7E">
      <w:pPr>
        <w:jc w:val="both"/>
        <w:rPr>
          <w:rFonts w:cs="Arial"/>
          <w:b/>
          <w:bCs/>
          <w:szCs w:val="24"/>
          <w:highlight w:val="yellow"/>
          <w:lang w:val="es-UY"/>
        </w:rPr>
      </w:pPr>
    </w:p>
    <w:p w14:paraId="724F7C70" w14:textId="28F42C36" w:rsidR="00816A6D" w:rsidRPr="003221C4" w:rsidRDefault="00816A6D" w:rsidP="001C4EBE">
      <w:pPr>
        <w:widowControl w:val="0"/>
        <w:overflowPunct w:val="0"/>
        <w:adjustRightInd w:val="0"/>
        <w:jc w:val="both"/>
        <w:rPr>
          <w:rFonts w:cs="Arial"/>
          <w:kern w:val="28"/>
          <w:lang w:val="es-ES"/>
        </w:rPr>
      </w:pPr>
      <w:r w:rsidRPr="1C07FC35">
        <w:rPr>
          <w:rFonts w:cs="Arial"/>
          <w:kern w:val="28"/>
          <w:lang w:val="es-ES"/>
        </w:rPr>
        <w:t xml:space="preserve">Asimismo, la Coordinación Nacional recibió los documentos a ser remitidos a la SM/UCIM para su publicación de conformidad a lo establecido en la Resolución </w:t>
      </w:r>
      <w:r w:rsidRPr="1C07FC35">
        <w:rPr>
          <w:rFonts w:cs="Arial"/>
          <w:kern w:val="28"/>
          <w:lang w:val="es-ES"/>
        </w:rPr>
        <w:lastRenderedPageBreak/>
        <w:t xml:space="preserve">GMC </w:t>
      </w:r>
      <w:proofErr w:type="spellStart"/>
      <w:r w:rsidRPr="1C07FC35">
        <w:rPr>
          <w:rFonts w:cs="Arial"/>
          <w:kern w:val="28"/>
          <w:lang w:val="es-ES"/>
        </w:rPr>
        <w:t>N°</w:t>
      </w:r>
      <w:proofErr w:type="spellEnd"/>
      <w:r w:rsidRPr="1C07FC35">
        <w:rPr>
          <w:rFonts w:cs="Arial"/>
          <w:kern w:val="28"/>
          <w:lang w:val="es-ES"/>
        </w:rPr>
        <w:t xml:space="preserve"> 32/22.</w:t>
      </w:r>
    </w:p>
    <w:p w14:paraId="240989E7" w14:textId="1905C89C" w:rsidR="1C07FC35" w:rsidRDefault="1C07FC35" w:rsidP="1C07FC35">
      <w:pPr>
        <w:widowControl w:val="0"/>
        <w:jc w:val="both"/>
        <w:rPr>
          <w:rFonts w:cs="Arial"/>
          <w:lang w:val="es-ES"/>
        </w:rPr>
      </w:pPr>
    </w:p>
    <w:p w14:paraId="0BE0B0D6" w14:textId="77777777" w:rsidR="001C4EBE" w:rsidRPr="003221C4" w:rsidRDefault="001C4EBE" w:rsidP="001C4EBE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es-ES"/>
        </w:rPr>
      </w:pPr>
    </w:p>
    <w:p w14:paraId="45ECB1B2" w14:textId="7BEC6FB1" w:rsidR="001C4EBE" w:rsidRPr="003221C4" w:rsidRDefault="001C4EBE" w:rsidP="00202838">
      <w:pPr>
        <w:widowControl w:val="0"/>
        <w:overflowPunct w:val="0"/>
        <w:adjustRightInd w:val="0"/>
        <w:ind w:left="1134" w:hanging="567"/>
        <w:jc w:val="both"/>
        <w:rPr>
          <w:rFonts w:cs="Arial"/>
          <w:b/>
          <w:kern w:val="28"/>
          <w:szCs w:val="24"/>
          <w:lang w:val="es-ES"/>
        </w:rPr>
      </w:pPr>
      <w:r w:rsidRPr="003221C4">
        <w:rPr>
          <w:rFonts w:cs="Arial"/>
          <w:b/>
          <w:kern w:val="28"/>
          <w:szCs w:val="24"/>
          <w:lang w:val="es-ES"/>
        </w:rPr>
        <w:t>3.5.</w:t>
      </w:r>
      <w:r w:rsidRPr="003221C4">
        <w:rPr>
          <w:rFonts w:cs="Arial"/>
          <w:b/>
          <w:kern w:val="28"/>
          <w:szCs w:val="24"/>
          <w:lang w:val="es-ES"/>
        </w:rPr>
        <w:tab/>
        <w:t>Comisión de Prevención del Lavado de Dinero y Financiamiento del Terrorismo</w:t>
      </w:r>
      <w:r w:rsidR="00A46A87" w:rsidRPr="003221C4">
        <w:rPr>
          <w:rFonts w:cs="Arial"/>
          <w:b/>
          <w:kern w:val="28"/>
          <w:szCs w:val="24"/>
          <w:lang w:val="es-ES"/>
        </w:rPr>
        <w:t xml:space="preserve"> (CPLDFT)</w:t>
      </w:r>
      <w:r w:rsidR="00DF0E6D" w:rsidRPr="003221C4">
        <w:rPr>
          <w:rFonts w:cs="Arial"/>
          <w:b/>
          <w:kern w:val="28"/>
          <w:szCs w:val="24"/>
          <w:lang w:val="es-ES"/>
        </w:rPr>
        <w:t xml:space="preserve"> </w:t>
      </w:r>
    </w:p>
    <w:p w14:paraId="2469DD19" w14:textId="77777777" w:rsidR="00A46A87" w:rsidRPr="003221C4" w:rsidRDefault="00A46A87" w:rsidP="00A46A87">
      <w:pPr>
        <w:widowControl w:val="0"/>
        <w:overflowPunct w:val="0"/>
        <w:adjustRightInd w:val="0"/>
        <w:ind w:left="705" w:hanging="705"/>
        <w:jc w:val="both"/>
        <w:rPr>
          <w:rFonts w:cs="Arial"/>
          <w:b/>
          <w:kern w:val="28"/>
          <w:szCs w:val="24"/>
          <w:lang w:val="es-ES"/>
        </w:rPr>
      </w:pPr>
    </w:p>
    <w:p w14:paraId="0C53BCFC" w14:textId="14B1628A" w:rsidR="00A46A87" w:rsidRPr="003221C4" w:rsidRDefault="002B5CA5" w:rsidP="3B7C2A1A">
      <w:pPr>
        <w:widowControl w:val="0"/>
        <w:overflowPunct w:val="0"/>
        <w:adjustRightInd w:val="0"/>
        <w:jc w:val="both"/>
        <w:rPr>
          <w:rFonts w:cs="Arial"/>
          <w:kern w:val="28"/>
          <w:lang w:val="es-ES"/>
        </w:rPr>
      </w:pPr>
      <w:r w:rsidRPr="3B7C2A1A">
        <w:rPr>
          <w:rFonts w:cs="Arial"/>
          <w:kern w:val="28"/>
          <w:lang w:val="es-ES"/>
        </w:rPr>
        <w:t xml:space="preserve">La Coordinación Nacional recibió el Acta </w:t>
      </w:r>
      <w:proofErr w:type="spellStart"/>
      <w:r w:rsidRPr="3B7C2A1A">
        <w:rPr>
          <w:rFonts w:cs="Arial"/>
          <w:kern w:val="28"/>
          <w:lang w:val="es-ES"/>
        </w:rPr>
        <w:t>N°</w:t>
      </w:r>
      <w:proofErr w:type="spellEnd"/>
      <w:r w:rsidRPr="3B7C2A1A">
        <w:rPr>
          <w:rFonts w:cs="Arial"/>
          <w:kern w:val="28"/>
          <w:lang w:val="es-ES"/>
        </w:rPr>
        <w:t xml:space="preserve"> 0</w:t>
      </w:r>
      <w:r w:rsidR="004C6337" w:rsidRPr="3B7C2A1A">
        <w:rPr>
          <w:rFonts w:cs="Arial"/>
          <w:kern w:val="28"/>
          <w:lang w:val="es-ES"/>
        </w:rPr>
        <w:t>1</w:t>
      </w:r>
      <w:r w:rsidRPr="3B7C2A1A">
        <w:rPr>
          <w:rFonts w:cs="Arial"/>
          <w:kern w:val="28"/>
          <w:lang w:val="es-ES"/>
        </w:rPr>
        <w:t>/2</w:t>
      </w:r>
      <w:r w:rsidR="004C6337" w:rsidRPr="3B7C2A1A">
        <w:rPr>
          <w:rFonts w:cs="Arial"/>
          <w:kern w:val="28"/>
          <w:lang w:val="es-ES"/>
        </w:rPr>
        <w:t>5</w:t>
      </w:r>
      <w:r w:rsidRPr="3B7C2A1A">
        <w:rPr>
          <w:rFonts w:cs="Arial"/>
          <w:kern w:val="28"/>
          <w:lang w:val="es-ES"/>
        </w:rPr>
        <w:t xml:space="preserve"> de la reunión de la Comisión de Prevención del Lavado de Dinero y Financiamiento del Terrorismo</w:t>
      </w:r>
      <w:r w:rsidR="00671F92" w:rsidRPr="3B7C2A1A">
        <w:rPr>
          <w:rFonts w:cs="Arial"/>
          <w:kern w:val="28"/>
          <w:lang w:val="es-ES"/>
        </w:rPr>
        <w:t xml:space="preserve"> (CPLDFT)</w:t>
      </w:r>
      <w:r w:rsidRPr="3B7C2A1A">
        <w:rPr>
          <w:rFonts w:cs="Arial"/>
          <w:kern w:val="28"/>
          <w:lang w:val="es-ES"/>
        </w:rPr>
        <w:t xml:space="preserve">, </w:t>
      </w:r>
      <w:r w:rsidR="00671F92" w:rsidRPr="3B7C2A1A">
        <w:rPr>
          <w:rFonts w:cs="Arial"/>
          <w:kern w:val="28"/>
          <w:lang w:val="es-ES"/>
        </w:rPr>
        <w:t xml:space="preserve">realizada por medio del sistema de videoconferencia, conforme se establece en la Resolución GMC </w:t>
      </w:r>
      <w:proofErr w:type="spellStart"/>
      <w:r w:rsidR="00671F92" w:rsidRPr="3B7C2A1A">
        <w:rPr>
          <w:rFonts w:cs="Arial"/>
          <w:kern w:val="28"/>
          <w:lang w:val="es-ES"/>
        </w:rPr>
        <w:t>N°</w:t>
      </w:r>
      <w:proofErr w:type="spellEnd"/>
      <w:r w:rsidR="00671F92" w:rsidRPr="3B7C2A1A">
        <w:rPr>
          <w:rFonts w:cs="Arial"/>
          <w:kern w:val="28"/>
          <w:lang w:val="es-ES"/>
        </w:rPr>
        <w:t xml:space="preserve"> 19/12 “Reuniones por el sistema de videoconferencia”, los días </w:t>
      </w:r>
      <w:r w:rsidR="004C6337" w:rsidRPr="3B7C2A1A">
        <w:rPr>
          <w:rFonts w:cs="Arial"/>
          <w:kern w:val="28"/>
          <w:lang w:val="es-ES"/>
        </w:rPr>
        <w:t>28 al 30 de abril de 2025</w:t>
      </w:r>
      <w:r w:rsidR="00671F92" w:rsidRPr="3B7C2A1A">
        <w:rPr>
          <w:rFonts w:cs="Arial"/>
          <w:kern w:val="28"/>
          <w:lang w:val="es-ES"/>
        </w:rPr>
        <w:t>. El Acta y los anexos de la reunión constan como</w:t>
      </w:r>
      <w:r w:rsidR="00671F92" w:rsidRPr="3B7C2A1A">
        <w:rPr>
          <w:rFonts w:cs="Arial"/>
          <w:b/>
          <w:bCs/>
          <w:kern w:val="28"/>
          <w:lang w:val="es-ES"/>
        </w:rPr>
        <w:t xml:space="preserve"> </w:t>
      </w:r>
      <w:r w:rsidRPr="00556CAE">
        <w:rPr>
          <w:rFonts w:cs="Arial"/>
          <w:b/>
          <w:bCs/>
          <w:kern w:val="28"/>
          <w:lang w:val="es-ES"/>
        </w:rPr>
        <w:t xml:space="preserve">Anexo </w:t>
      </w:r>
      <w:r w:rsidR="68B177A0" w:rsidRPr="00556CAE">
        <w:rPr>
          <w:rFonts w:cs="Arial"/>
          <w:b/>
          <w:bCs/>
          <w:kern w:val="28"/>
          <w:lang w:val="es-ES"/>
        </w:rPr>
        <w:t>X</w:t>
      </w:r>
      <w:r w:rsidRPr="00556CAE">
        <w:rPr>
          <w:rFonts w:cs="Arial"/>
          <w:kern w:val="28"/>
          <w:lang w:val="es-ES"/>
        </w:rPr>
        <w:t>.</w:t>
      </w:r>
    </w:p>
    <w:p w14:paraId="2283F975" w14:textId="5E1C4CF1" w:rsidR="005360A5" w:rsidRPr="003221C4" w:rsidRDefault="005360A5" w:rsidP="3B7C2A1A">
      <w:pPr>
        <w:widowControl w:val="0"/>
        <w:overflowPunct w:val="0"/>
        <w:adjustRightInd w:val="0"/>
        <w:jc w:val="both"/>
        <w:rPr>
          <w:rFonts w:cs="Arial"/>
          <w:lang w:val="es-ES"/>
        </w:rPr>
      </w:pPr>
    </w:p>
    <w:p w14:paraId="68ED839A" w14:textId="33C42361" w:rsidR="005360A5" w:rsidRPr="003221C4" w:rsidRDefault="02510E92" w:rsidP="3B7C2A1A">
      <w:pPr>
        <w:widowControl w:val="0"/>
        <w:overflowPunct w:val="0"/>
        <w:adjustRightInd w:val="0"/>
        <w:jc w:val="both"/>
        <w:rPr>
          <w:rFonts w:cs="Arial"/>
          <w:lang w:val="es-ES"/>
        </w:rPr>
      </w:pPr>
      <w:r w:rsidRPr="3B7C2A1A">
        <w:rPr>
          <w:rFonts w:cs="Arial"/>
          <w:szCs w:val="24"/>
          <w:lang w:val="es-ES"/>
        </w:rPr>
        <w:t>La Coordinación Nacional revisó y elevó a consideración del GMC el Informe Semestral sobre el grado de avance del Programa de Trabajo del período 2025-2026.</w:t>
      </w:r>
    </w:p>
    <w:p w14:paraId="0076F376" w14:textId="77777777" w:rsidR="001C4EBE" w:rsidRPr="003221C4" w:rsidRDefault="001C4EBE" w:rsidP="001C4EBE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</w:p>
    <w:p w14:paraId="6E66939C" w14:textId="644F9FEB" w:rsidR="001C4EBE" w:rsidRPr="003221C4" w:rsidRDefault="001C4EBE" w:rsidP="00202838">
      <w:pPr>
        <w:widowControl w:val="0"/>
        <w:overflowPunct w:val="0"/>
        <w:adjustRightInd w:val="0"/>
        <w:ind w:left="1134" w:hanging="567"/>
        <w:jc w:val="both"/>
        <w:rPr>
          <w:rFonts w:ascii="Helv" w:eastAsia="Calibri" w:hAnsi="Helv" w:cs="Helv"/>
          <w:b/>
          <w:bCs/>
          <w:szCs w:val="24"/>
          <w:lang w:val="es-UY" w:eastAsia="en-US"/>
        </w:rPr>
      </w:pPr>
      <w:r w:rsidRPr="003221C4">
        <w:rPr>
          <w:rFonts w:cs="Arial"/>
          <w:b/>
          <w:kern w:val="28"/>
          <w:szCs w:val="24"/>
          <w:lang w:val="es-ES"/>
        </w:rPr>
        <w:t>3.6.</w:t>
      </w:r>
      <w:r w:rsidRPr="003221C4">
        <w:rPr>
          <w:rFonts w:cs="Arial"/>
          <w:b/>
          <w:kern w:val="28"/>
          <w:szCs w:val="24"/>
          <w:lang w:val="es-ES"/>
        </w:rPr>
        <w:tab/>
        <w:t xml:space="preserve">Comisión de Sistemas de Pagos Transfronterizos </w:t>
      </w:r>
      <w:r w:rsidR="00A46A87" w:rsidRPr="003221C4">
        <w:rPr>
          <w:rFonts w:ascii="Helv" w:eastAsia="Calibri" w:hAnsi="Helv" w:cs="Helv"/>
          <w:b/>
          <w:bCs/>
          <w:szCs w:val="24"/>
          <w:lang w:val="es-UY" w:eastAsia="en-US"/>
        </w:rPr>
        <w:t>(CSPT)</w:t>
      </w:r>
      <w:r w:rsidR="00FA48F0" w:rsidRPr="003221C4">
        <w:rPr>
          <w:rFonts w:ascii="Helv" w:eastAsia="Calibri" w:hAnsi="Helv" w:cs="Helv"/>
          <w:b/>
          <w:bCs/>
          <w:szCs w:val="24"/>
          <w:lang w:val="es-UY" w:eastAsia="en-US"/>
        </w:rPr>
        <w:t xml:space="preserve"> </w:t>
      </w:r>
    </w:p>
    <w:p w14:paraId="7039CC25" w14:textId="77777777" w:rsidR="00A46A87" w:rsidRPr="003221C4" w:rsidRDefault="00A46A87" w:rsidP="001C4EBE">
      <w:pPr>
        <w:widowControl w:val="0"/>
        <w:overflowPunct w:val="0"/>
        <w:adjustRightInd w:val="0"/>
        <w:jc w:val="both"/>
        <w:rPr>
          <w:rFonts w:ascii="Helv" w:eastAsia="Calibri" w:hAnsi="Helv" w:cs="Helv"/>
          <w:b/>
          <w:bCs/>
          <w:szCs w:val="24"/>
          <w:lang w:val="es-UY" w:eastAsia="en-US"/>
        </w:rPr>
      </w:pPr>
    </w:p>
    <w:p w14:paraId="74599236" w14:textId="522C25BF" w:rsidR="00671F92" w:rsidRPr="00556CAE" w:rsidRDefault="00671F92" w:rsidP="00671F92">
      <w:pPr>
        <w:jc w:val="both"/>
        <w:rPr>
          <w:rFonts w:cs="Arial"/>
          <w:b/>
          <w:lang w:val="es-UY"/>
        </w:rPr>
      </w:pPr>
      <w:r w:rsidRPr="5B07DE86">
        <w:rPr>
          <w:rFonts w:cs="Arial"/>
          <w:lang w:val="es-UY"/>
        </w:rPr>
        <w:t xml:space="preserve">La Coordinación Nacional recibió el Acta </w:t>
      </w:r>
      <w:proofErr w:type="spellStart"/>
      <w:r w:rsidRPr="5B07DE86">
        <w:rPr>
          <w:rFonts w:cs="Arial"/>
          <w:lang w:val="es-UY"/>
        </w:rPr>
        <w:t>N°</w:t>
      </w:r>
      <w:proofErr w:type="spellEnd"/>
      <w:r w:rsidRPr="5B07DE86">
        <w:rPr>
          <w:rFonts w:cs="Arial"/>
          <w:lang w:val="es-UY"/>
        </w:rPr>
        <w:t xml:space="preserve"> 0</w:t>
      </w:r>
      <w:r w:rsidR="004C6337" w:rsidRPr="5B07DE86">
        <w:rPr>
          <w:rFonts w:cs="Arial"/>
          <w:lang w:val="es-UY"/>
        </w:rPr>
        <w:t>1</w:t>
      </w:r>
      <w:r w:rsidRPr="5B07DE86">
        <w:rPr>
          <w:rFonts w:cs="Arial"/>
          <w:lang w:val="es-UY"/>
        </w:rPr>
        <w:t>/2</w:t>
      </w:r>
      <w:r w:rsidR="004C6337" w:rsidRPr="5B07DE86">
        <w:rPr>
          <w:rFonts w:cs="Arial"/>
          <w:lang w:val="es-UY"/>
        </w:rPr>
        <w:t>5</w:t>
      </w:r>
      <w:r w:rsidRPr="5B07DE86">
        <w:rPr>
          <w:rFonts w:cs="Arial"/>
          <w:lang w:val="es-UY"/>
        </w:rPr>
        <w:t xml:space="preserve"> de la reunión de la Comisión de Sistemas de Pagos Transfronterizos (C</w:t>
      </w:r>
      <w:r w:rsidR="00373E50" w:rsidRPr="5B07DE86">
        <w:rPr>
          <w:rFonts w:cs="Arial"/>
          <w:lang w:val="es-UY"/>
        </w:rPr>
        <w:t>S</w:t>
      </w:r>
      <w:r w:rsidRPr="5B07DE86">
        <w:rPr>
          <w:rFonts w:cs="Arial"/>
          <w:lang w:val="es-UY"/>
        </w:rPr>
        <w:t xml:space="preserve">PT), realizada por medio del sistema de videoconferencia, conforme se establece en la Resolución GMC </w:t>
      </w:r>
      <w:proofErr w:type="spellStart"/>
      <w:r w:rsidRPr="5B07DE86">
        <w:rPr>
          <w:rFonts w:cs="Arial"/>
          <w:lang w:val="es-UY"/>
        </w:rPr>
        <w:t>N°</w:t>
      </w:r>
      <w:proofErr w:type="spellEnd"/>
      <w:r w:rsidRPr="5B07DE86">
        <w:rPr>
          <w:rFonts w:cs="Arial"/>
          <w:lang w:val="es-UY"/>
        </w:rPr>
        <w:t xml:space="preserve"> 19/12 “Reuniones por el sistema de videoconferencia”, el día </w:t>
      </w:r>
      <w:r w:rsidR="004C6337" w:rsidRPr="5B07DE86">
        <w:rPr>
          <w:rFonts w:cs="Arial"/>
          <w:lang w:val="es-UY"/>
        </w:rPr>
        <w:t>29 de abril</w:t>
      </w:r>
      <w:r w:rsidRPr="5B07DE86">
        <w:rPr>
          <w:rFonts w:cs="Arial"/>
          <w:lang w:val="es-UY"/>
        </w:rPr>
        <w:t xml:space="preserve"> de 202</w:t>
      </w:r>
      <w:r w:rsidR="004C6337" w:rsidRPr="5B07DE86">
        <w:rPr>
          <w:rFonts w:cs="Arial"/>
          <w:lang w:val="es-UY"/>
        </w:rPr>
        <w:t>5</w:t>
      </w:r>
      <w:r w:rsidRPr="5B07DE86">
        <w:rPr>
          <w:rFonts w:cs="Arial"/>
          <w:lang w:val="es-UY"/>
        </w:rPr>
        <w:t xml:space="preserve">. El Acta y los anexos de la reunión constan </w:t>
      </w:r>
      <w:r w:rsidRPr="00556CAE">
        <w:rPr>
          <w:rFonts w:cs="Arial"/>
          <w:lang w:val="es-UY"/>
        </w:rPr>
        <w:t xml:space="preserve">como </w:t>
      </w:r>
      <w:r w:rsidRPr="00556CAE">
        <w:rPr>
          <w:rFonts w:cs="Arial"/>
          <w:b/>
          <w:lang w:val="es-UY"/>
        </w:rPr>
        <w:t xml:space="preserve">Anexo </w:t>
      </w:r>
      <w:r w:rsidR="3D19B710" w:rsidRPr="00556CAE">
        <w:rPr>
          <w:rFonts w:cs="Arial"/>
          <w:b/>
          <w:bCs/>
          <w:lang w:val="es-UY"/>
        </w:rPr>
        <w:t>XI</w:t>
      </w:r>
      <w:r w:rsidRPr="00556CAE">
        <w:rPr>
          <w:rFonts w:cs="Arial"/>
          <w:b/>
          <w:bCs/>
          <w:lang w:val="es-UY"/>
        </w:rPr>
        <w:t>.</w:t>
      </w:r>
    </w:p>
    <w:p w14:paraId="0F6D5B0E" w14:textId="714AF39C" w:rsidR="00373E50" w:rsidRPr="003221C4" w:rsidRDefault="00373E50" w:rsidP="3B7C2A1A">
      <w:pPr>
        <w:jc w:val="both"/>
        <w:rPr>
          <w:rFonts w:cs="Arial"/>
          <w:b/>
          <w:bCs/>
          <w:lang w:val="es-UY"/>
        </w:rPr>
      </w:pPr>
    </w:p>
    <w:p w14:paraId="5F135BB8" w14:textId="74DC792E" w:rsidR="791BE569" w:rsidRDefault="791BE569" w:rsidP="3B7C2A1A">
      <w:pPr>
        <w:widowControl w:val="0"/>
        <w:jc w:val="both"/>
        <w:rPr>
          <w:rFonts w:cs="Arial"/>
          <w:lang w:val="es-ES"/>
        </w:rPr>
      </w:pPr>
      <w:r w:rsidRPr="3B7C2A1A">
        <w:rPr>
          <w:rFonts w:cs="Arial"/>
          <w:szCs w:val="24"/>
          <w:lang w:val="es-ES"/>
        </w:rPr>
        <w:t>La Coordinación Nacional revisó y elevó a consideración del GMC el Informe Semestral sobre el grado de avance del Programa de Trabajo del período 2025-2026.</w:t>
      </w:r>
    </w:p>
    <w:p w14:paraId="28A16B09" w14:textId="2B5FAC43" w:rsidR="00041F7E" w:rsidRDefault="00041F7E" w:rsidP="1C07FC35">
      <w:pPr>
        <w:widowControl w:val="0"/>
        <w:jc w:val="both"/>
        <w:rPr>
          <w:rFonts w:cs="Arial"/>
          <w:b/>
          <w:lang w:val="es-ES"/>
        </w:rPr>
      </w:pPr>
    </w:p>
    <w:p w14:paraId="30EC03C1" w14:textId="4CADDDF3" w:rsidR="001C4EBE" w:rsidRDefault="001C4EBE" w:rsidP="1C07FC35">
      <w:pPr>
        <w:widowControl w:val="0"/>
        <w:jc w:val="both"/>
        <w:rPr>
          <w:rFonts w:cs="Arial"/>
          <w:b/>
          <w:lang w:val="es-ES"/>
        </w:rPr>
      </w:pPr>
    </w:p>
    <w:p w14:paraId="34F86324" w14:textId="1E4CB4E7" w:rsidR="00964633" w:rsidRPr="003221C4" w:rsidRDefault="00964633" w:rsidP="00202838">
      <w:pPr>
        <w:pStyle w:val="Prrafodelista"/>
        <w:widowControl w:val="0"/>
        <w:numPr>
          <w:ilvl w:val="0"/>
          <w:numId w:val="4"/>
        </w:numPr>
        <w:overflowPunct w:val="0"/>
        <w:adjustRightInd w:val="0"/>
        <w:ind w:left="567" w:hanging="567"/>
        <w:jc w:val="both"/>
        <w:rPr>
          <w:rFonts w:cs="Arial"/>
          <w:b/>
          <w:kern w:val="28"/>
          <w:szCs w:val="24"/>
          <w:lang w:val="es-ES"/>
        </w:rPr>
      </w:pPr>
      <w:r w:rsidRPr="003221C4">
        <w:rPr>
          <w:rFonts w:cs="Arial"/>
          <w:b/>
          <w:kern w:val="28"/>
          <w:szCs w:val="24"/>
          <w:lang w:val="es-ES"/>
        </w:rPr>
        <w:t>INSTRUCCIONES Y RECOMENDACIONES</w:t>
      </w:r>
    </w:p>
    <w:p w14:paraId="7B2CC986" w14:textId="77777777" w:rsidR="00964633" w:rsidRPr="003221C4" w:rsidRDefault="00964633" w:rsidP="00964633">
      <w:pPr>
        <w:pStyle w:val="Prrafodelista"/>
        <w:widowControl w:val="0"/>
        <w:overflowPunct w:val="0"/>
        <w:adjustRightInd w:val="0"/>
        <w:ind w:left="426"/>
        <w:jc w:val="both"/>
        <w:rPr>
          <w:rFonts w:cs="Arial"/>
          <w:b/>
          <w:kern w:val="28"/>
          <w:szCs w:val="24"/>
          <w:lang w:val="es-ES"/>
        </w:rPr>
      </w:pPr>
    </w:p>
    <w:p w14:paraId="6D37B076" w14:textId="14DE137C" w:rsidR="00F237B3" w:rsidRPr="00656299" w:rsidRDefault="6DFE1415" w:rsidP="00202838">
      <w:pPr>
        <w:pStyle w:val="Prrafodelista"/>
        <w:widowControl w:val="0"/>
        <w:numPr>
          <w:ilvl w:val="1"/>
          <w:numId w:val="4"/>
        </w:numPr>
        <w:overflowPunct w:val="0"/>
        <w:adjustRightInd w:val="0"/>
        <w:ind w:left="1134" w:hanging="567"/>
        <w:jc w:val="both"/>
        <w:rPr>
          <w:rFonts w:cs="Arial"/>
          <w:b/>
          <w:kern w:val="28"/>
          <w:lang w:val="es-ES"/>
        </w:rPr>
      </w:pPr>
      <w:r w:rsidRPr="1C07FC35">
        <w:rPr>
          <w:rFonts w:cs="Arial"/>
          <w:b/>
          <w:bCs/>
          <w:kern w:val="28"/>
          <w:lang w:val="es-ES"/>
        </w:rPr>
        <w:t>I</w:t>
      </w:r>
      <w:r w:rsidR="00C5860C" w:rsidRPr="1C07FC35">
        <w:rPr>
          <w:rFonts w:cs="Arial"/>
          <w:b/>
          <w:bCs/>
          <w:kern w:val="28"/>
          <w:lang w:val="es-ES"/>
        </w:rPr>
        <w:t xml:space="preserve">nstrucciones Generales y Específicas del GMC. </w:t>
      </w:r>
    </w:p>
    <w:p w14:paraId="5E1C24CF" w14:textId="03A23B31" w:rsidR="60509F33" w:rsidRDefault="60509F33" w:rsidP="6C9D8B2C">
      <w:pPr>
        <w:spacing w:before="240" w:after="240"/>
        <w:jc w:val="both"/>
        <w:rPr>
          <w:rFonts w:cs="Arial"/>
          <w:lang w:val="es-ES"/>
        </w:rPr>
      </w:pPr>
      <w:r w:rsidRPr="6C9D8B2C">
        <w:rPr>
          <w:rFonts w:cs="Arial"/>
          <w:szCs w:val="24"/>
          <w:lang w:val="es-ES"/>
        </w:rPr>
        <w:t xml:space="preserve">Los Coordinadores Nacionales tomaron nota e informaron a las Comisiones dependientes de la Instrucción impartida en la CXXXIV </w:t>
      </w:r>
      <w:r w:rsidR="003350B7">
        <w:rPr>
          <w:rFonts w:cs="Arial"/>
          <w:szCs w:val="24"/>
          <w:lang w:val="es-ES"/>
        </w:rPr>
        <w:t xml:space="preserve">reunión ordinaria del </w:t>
      </w:r>
      <w:r w:rsidRPr="6C9D8B2C">
        <w:rPr>
          <w:rFonts w:cs="Arial"/>
          <w:szCs w:val="24"/>
          <w:lang w:val="es-ES"/>
        </w:rPr>
        <w:t xml:space="preserve">GMC, ítem 8 del en la cual el GMC reiteró algunas Instrucciones a los órganos y foros de la estructura institucional </w:t>
      </w:r>
      <w:r w:rsidR="003350B7">
        <w:rPr>
          <w:rFonts w:cs="Arial"/>
          <w:szCs w:val="24"/>
          <w:lang w:val="es-ES"/>
        </w:rPr>
        <w:t xml:space="preserve">sobre aquellos foros </w:t>
      </w:r>
      <w:r w:rsidRPr="6C9D8B2C">
        <w:rPr>
          <w:rFonts w:cs="Arial"/>
          <w:szCs w:val="24"/>
          <w:lang w:val="es-ES"/>
        </w:rPr>
        <w:t xml:space="preserve">que deseen publicar contenidos en el Portal Web </w:t>
      </w:r>
      <w:r w:rsidR="00FA3E36">
        <w:rPr>
          <w:rFonts w:cs="Arial"/>
          <w:szCs w:val="24"/>
          <w:lang w:val="es-ES"/>
        </w:rPr>
        <w:t>MERCOSUR,</w:t>
      </w:r>
      <w:r w:rsidRPr="6C9D8B2C">
        <w:rPr>
          <w:rFonts w:cs="Arial"/>
          <w:szCs w:val="24"/>
          <w:lang w:val="es-ES"/>
        </w:rPr>
        <w:t xml:space="preserve"> deben seguir los procedimientos establecidos en la Resolución GMC </w:t>
      </w:r>
      <w:proofErr w:type="spellStart"/>
      <w:r w:rsidRPr="6C9D8B2C">
        <w:rPr>
          <w:rFonts w:cs="Arial"/>
          <w:szCs w:val="24"/>
          <w:lang w:val="es-ES"/>
        </w:rPr>
        <w:t>N°</w:t>
      </w:r>
      <w:proofErr w:type="spellEnd"/>
      <w:r w:rsidRPr="6C9D8B2C">
        <w:rPr>
          <w:rFonts w:cs="Arial"/>
          <w:szCs w:val="24"/>
          <w:lang w:val="es-ES"/>
        </w:rPr>
        <w:t xml:space="preserve"> 32/22.</w:t>
      </w:r>
    </w:p>
    <w:p w14:paraId="3BB565FA" w14:textId="79FEB01B" w:rsidR="60509F33" w:rsidRDefault="60509F33" w:rsidP="6C9D8B2C">
      <w:pPr>
        <w:spacing w:before="240" w:after="240"/>
        <w:jc w:val="both"/>
        <w:rPr>
          <w:rFonts w:cs="Arial"/>
          <w:lang w:val="es-ES"/>
        </w:rPr>
      </w:pPr>
      <w:r w:rsidRPr="6C9D8B2C">
        <w:rPr>
          <w:rFonts w:cs="Arial"/>
          <w:szCs w:val="24"/>
          <w:lang w:val="es-ES"/>
        </w:rPr>
        <w:t xml:space="preserve">Por otra parte, el GMC recordó que la Plataforma </w:t>
      </w:r>
      <w:r w:rsidR="00FA3E36">
        <w:rPr>
          <w:rFonts w:cs="Arial"/>
          <w:szCs w:val="24"/>
          <w:lang w:val="es-ES"/>
        </w:rPr>
        <w:t>MERCOSUR</w:t>
      </w:r>
      <w:r w:rsidRPr="6C9D8B2C">
        <w:rPr>
          <w:rFonts w:cs="Arial"/>
          <w:szCs w:val="24"/>
          <w:lang w:val="es-ES"/>
        </w:rPr>
        <w:t xml:space="preserve"> de Formación centraliza la oferta de formación y capacitación desarrollada por los órganos y foros de la estructura institucional del </w:t>
      </w:r>
      <w:r w:rsidR="00FA3E36">
        <w:rPr>
          <w:rFonts w:cs="Arial"/>
          <w:szCs w:val="24"/>
          <w:lang w:val="es-ES"/>
        </w:rPr>
        <w:t>MERCOSUR</w:t>
      </w:r>
      <w:r w:rsidRPr="6C9D8B2C">
        <w:rPr>
          <w:rFonts w:cs="Arial"/>
          <w:szCs w:val="24"/>
          <w:lang w:val="es-ES"/>
        </w:rPr>
        <w:t>.</w:t>
      </w:r>
    </w:p>
    <w:p w14:paraId="7FF456AA" w14:textId="7FC5A2F6" w:rsidR="60509F33" w:rsidRDefault="60509F33" w:rsidP="6C9D8B2C">
      <w:pPr>
        <w:spacing w:before="240" w:after="240"/>
        <w:jc w:val="both"/>
        <w:rPr>
          <w:rFonts w:cs="Arial"/>
          <w:lang w:val="es-ES"/>
        </w:rPr>
      </w:pPr>
      <w:r w:rsidRPr="6C9D8B2C">
        <w:rPr>
          <w:rFonts w:cs="Arial"/>
          <w:szCs w:val="24"/>
          <w:lang w:val="es-ES"/>
        </w:rPr>
        <w:t xml:space="preserve">Asimismo, indicó que las propuestas de iniciativa de formación y capacitación deben ser remitidas formalmente a consideración de la CRPM, de conformidad con lo dispuesto en la Resolución GMC </w:t>
      </w:r>
      <w:proofErr w:type="spellStart"/>
      <w:r w:rsidRPr="6C9D8B2C">
        <w:rPr>
          <w:rFonts w:cs="Arial"/>
          <w:szCs w:val="24"/>
          <w:lang w:val="es-ES"/>
        </w:rPr>
        <w:t>N°</w:t>
      </w:r>
      <w:proofErr w:type="spellEnd"/>
      <w:r w:rsidRPr="6C9D8B2C">
        <w:rPr>
          <w:rFonts w:cs="Arial"/>
          <w:szCs w:val="24"/>
          <w:lang w:val="es-ES"/>
        </w:rPr>
        <w:t xml:space="preserve"> 33/22. </w:t>
      </w:r>
    </w:p>
    <w:p w14:paraId="752E0705" w14:textId="70A35D69" w:rsidR="005B6BBF" w:rsidRPr="00FA3E36" w:rsidRDefault="00556CAE" w:rsidP="00FA3E36">
      <w:pPr>
        <w:widowControl w:val="0"/>
        <w:overflowPunct w:val="0"/>
        <w:adjustRightInd w:val="0"/>
        <w:spacing w:before="240" w:after="240"/>
        <w:jc w:val="both"/>
        <w:rPr>
          <w:lang w:val="es-ES"/>
        </w:rPr>
      </w:pPr>
      <w:r>
        <w:rPr>
          <w:rFonts w:cs="Arial"/>
          <w:szCs w:val="24"/>
          <w:lang w:val="es-ES"/>
        </w:rPr>
        <w:t>Finalmente</w:t>
      </w:r>
      <w:r w:rsidR="4D7EBF78" w:rsidRPr="6C9D8B2C">
        <w:rPr>
          <w:rFonts w:cs="Arial"/>
          <w:szCs w:val="24"/>
          <w:lang w:val="es-ES"/>
        </w:rPr>
        <w:t>,</w:t>
      </w:r>
      <w:r w:rsidR="60509F33" w:rsidRPr="6C9D8B2C">
        <w:rPr>
          <w:rFonts w:cs="Arial"/>
          <w:szCs w:val="24"/>
          <w:lang w:val="es-ES"/>
        </w:rPr>
        <w:t xml:space="preserve"> el SGT </w:t>
      </w:r>
      <w:proofErr w:type="spellStart"/>
      <w:r w:rsidR="60509F33" w:rsidRPr="6C9D8B2C">
        <w:rPr>
          <w:rFonts w:cs="Arial"/>
          <w:szCs w:val="24"/>
          <w:lang w:val="es-ES"/>
        </w:rPr>
        <w:t>N°</w:t>
      </w:r>
      <w:proofErr w:type="spellEnd"/>
      <w:r w:rsidR="60509F33" w:rsidRPr="6C9D8B2C">
        <w:rPr>
          <w:rFonts w:cs="Arial"/>
          <w:szCs w:val="24"/>
          <w:lang w:val="es-ES"/>
        </w:rPr>
        <w:t xml:space="preserve"> 4 tomó nota de la aprobación de los Informes de Cumplimiento del Programa de Trabajo 2023 - 2024 del SGT </w:t>
      </w:r>
      <w:proofErr w:type="spellStart"/>
      <w:r w:rsidR="60509F33" w:rsidRPr="6C9D8B2C">
        <w:rPr>
          <w:rFonts w:cs="Arial"/>
          <w:szCs w:val="24"/>
          <w:lang w:val="es-ES"/>
        </w:rPr>
        <w:t>N°</w:t>
      </w:r>
      <w:proofErr w:type="spellEnd"/>
      <w:r w:rsidR="60509F33" w:rsidRPr="6C9D8B2C">
        <w:rPr>
          <w:rFonts w:cs="Arial"/>
          <w:szCs w:val="24"/>
          <w:lang w:val="es-ES"/>
        </w:rPr>
        <w:t xml:space="preserve"> 4 (CSB, CS, </w:t>
      </w:r>
      <w:r w:rsidR="60509F33" w:rsidRPr="6C9D8B2C">
        <w:rPr>
          <w:rFonts w:cs="Arial"/>
          <w:szCs w:val="24"/>
          <w:lang w:val="es-ES"/>
        </w:rPr>
        <w:lastRenderedPageBreak/>
        <w:t>CPLDFT, CSPT, CPECSB), y del Programa de</w:t>
      </w:r>
      <w:r w:rsidR="60509F33" w:rsidRPr="6C9D8B2C">
        <w:rPr>
          <w:lang w:val="es-ES"/>
        </w:rPr>
        <w:t xml:space="preserve"> Trabajo 2025 - 2026 SGT </w:t>
      </w:r>
      <w:proofErr w:type="spellStart"/>
      <w:r w:rsidR="60509F33" w:rsidRPr="6C9D8B2C">
        <w:rPr>
          <w:lang w:val="es-ES"/>
        </w:rPr>
        <w:t>N°</w:t>
      </w:r>
      <w:proofErr w:type="spellEnd"/>
      <w:r w:rsidR="60509F33" w:rsidRPr="6C9D8B2C">
        <w:rPr>
          <w:lang w:val="es-ES"/>
        </w:rPr>
        <w:t xml:space="preserve"> 4 (CMV, CSB, CS, CPLDFT, CSPT, CPECSB).</w:t>
      </w:r>
    </w:p>
    <w:p w14:paraId="435BE59C" w14:textId="5CB074DF" w:rsidR="001C4EBE" w:rsidRPr="00656299" w:rsidRDefault="53532FF4" w:rsidP="00FA3E36">
      <w:pPr>
        <w:pStyle w:val="Prrafodelista"/>
        <w:widowControl w:val="0"/>
        <w:numPr>
          <w:ilvl w:val="1"/>
          <w:numId w:val="4"/>
        </w:numPr>
        <w:tabs>
          <w:tab w:val="left" w:pos="567"/>
        </w:tabs>
        <w:overflowPunct w:val="0"/>
        <w:adjustRightInd w:val="0"/>
        <w:ind w:left="1134" w:hanging="567"/>
        <w:jc w:val="both"/>
        <w:rPr>
          <w:rFonts w:cs="Arial"/>
          <w:b/>
          <w:kern w:val="28"/>
          <w:lang w:val="es-ES"/>
        </w:rPr>
      </w:pPr>
      <w:r w:rsidRPr="1C07FC35">
        <w:rPr>
          <w:rFonts w:cs="Arial"/>
          <w:b/>
          <w:bCs/>
          <w:kern w:val="28"/>
          <w:lang w:val="es-ES"/>
        </w:rPr>
        <w:t>I</w:t>
      </w:r>
      <w:r w:rsidR="089A9EF5" w:rsidRPr="1C07FC35">
        <w:rPr>
          <w:rFonts w:cs="Arial"/>
          <w:b/>
          <w:bCs/>
          <w:kern w:val="28"/>
          <w:lang w:val="es-ES"/>
        </w:rPr>
        <w:t>nstrucciones y Recomendaciones de la Coordinación Nacional a las Comisiones</w:t>
      </w:r>
    </w:p>
    <w:p w14:paraId="32109B5A" w14:textId="017505EA" w:rsidR="005373BC" w:rsidRPr="00656299" w:rsidRDefault="005373BC" w:rsidP="00964633">
      <w:pPr>
        <w:pStyle w:val="Prrafodelista"/>
        <w:widowControl w:val="0"/>
        <w:overflowPunct w:val="0"/>
        <w:adjustRightInd w:val="0"/>
        <w:ind w:left="1065"/>
        <w:jc w:val="both"/>
        <w:rPr>
          <w:rFonts w:cs="Arial"/>
          <w:bCs/>
          <w:kern w:val="28"/>
          <w:szCs w:val="24"/>
          <w:lang w:val="es-ES"/>
        </w:rPr>
      </w:pPr>
    </w:p>
    <w:p w14:paraId="5BDCE766" w14:textId="671F2D10" w:rsidR="00D50381" w:rsidRPr="00656299" w:rsidRDefault="00671F92" w:rsidP="004275DA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  <w:r w:rsidRPr="00656299">
        <w:rPr>
          <w:rFonts w:cs="Arial"/>
          <w:bCs/>
          <w:kern w:val="28"/>
          <w:szCs w:val="24"/>
          <w:lang w:val="es-ES"/>
        </w:rPr>
        <w:t xml:space="preserve">Los Coordinadores Nacionales </w:t>
      </w:r>
      <w:r w:rsidR="004275DA" w:rsidRPr="00656299">
        <w:rPr>
          <w:rFonts w:cs="Arial"/>
          <w:bCs/>
          <w:kern w:val="28"/>
          <w:szCs w:val="24"/>
          <w:lang w:val="es-ES"/>
        </w:rPr>
        <w:t>recomendaron</w:t>
      </w:r>
      <w:r w:rsidRPr="00656299">
        <w:rPr>
          <w:rFonts w:cs="Arial"/>
          <w:bCs/>
          <w:kern w:val="28"/>
          <w:szCs w:val="24"/>
          <w:lang w:val="es-ES"/>
        </w:rPr>
        <w:t xml:space="preserve"> a las Comisione</w:t>
      </w:r>
      <w:r w:rsidR="004275DA" w:rsidRPr="00656299">
        <w:rPr>
          <w:rFonts w:cs="Arial"/>
          <w:bCs/>
          <w:kern w:val="28"/>
          <w:szCs w:val="24"/>
          <w:lang w:val="es-ES"/>
        </w:rPr>
        <w:t>s</w:t>
      </w:r>
      <w:r w:rsidR="00D50381" w:rsidRPr="00656299">
        <w:rPr>
          <w:rFonts w:cs="Arial"/>
          <w:bCs/>
          <w:kern w:val="28"/>
          <w:szCs w:val="24"/>
          <w:lang w:val="es-ES"/>
        </w:rPr>
        <w:t xml:space="preserve"> que:</w:t>
      </w:r>
    </w:p>
    <w:p w14:paraId="31E8966F" w14:textId="77777777" w:rsidR="00D50381" w:rsidRPr="00656299" w:rsidRDefault="00D50381" w:rsidP="004275DA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</w:p>
    <w:p w14:paraId="244C324C" w14:textId="25D2CAED" w:rsidR="004275DA" w:rsidRPr="00656299" w:rsidRDefault="00D50381" w:rsidP="00D50381">
      <w:pPr>
        <w:pStyle w:val="Prrafodelista"/>
        <w:widowControl w:val="0"/>
        <w:numPr>
          <w:ilvl w:val="0"/>
          <w:numId w:val="3"/>
        </w:numPr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  <w:r w:rsidRPr="00656299">
        <w:rPr>
          <w:rFonts w:cs="Arial"/>
          <w:bCs/>
          <w:kern w:val="28"/>
          <w:szCs w:val="24"/>
          <w:lang w:val="es-ES"/>
        </w:rPr>
        <w:t>Manten</w:t>
      </w:r>
      <w:r w:rsidR="009C202C" w:rsidRPr="00656299">
        <w:rPr>
          <w:rFonts w:cs="Arial"/>
          <w:bCs/>
          <w:kern w:val="28"/>
          <w:szCs w:val="24"/>
          <w:lang w:val="es-ES"/>
        </w:rPr>
        <w:t>gan</w:t>
      </w:r>
      <w:r w:rsidRPr="00656299">
        <w:rPr>
          <w:rFonts w:cs="Arial"/>
          <w:bCs/>
          <w:kern w:val="28"/>
          <w:szCs w:val="24"/>
          <w:lang w:val="es-ES"/>
        </w:rPr>
        <w:t xml:space="preserve"> la </w:t>
      </w:r>
      <w:proofErr w:type="gramStart"/>
      <w:r w:rsidR="004275DA" w:rsidRPr="00656299">
        <w:rPr>
          <w:rFonts w:cs="Arial"/>
          <w:bCs/>
          <w:kern w:val="28"/>
          <w:szCs w:val="24"/>
          <w:lang w:val="es-ES"/>
        </w:rPr>
        <w:t>participación</w:t>
      </w:r>
      <w:r w:rsidR="00556CAE">
        <w:rPr>
          <w:rFonts w:cs="Arial"/>
          <w:bCs/>
          <w:kern w:val="28"/>
          <w:szCs w:val="24"/>
          <w:lang w:val="es-ES"/>
        </w:rPr>
        <w:t xml:space="preserve"> </w:t>
      </w:r>
      <w:r w:rsidR="004275DA" w:rsidRPr="00656299">
        <w:rPr>
          <w:rFonts w:cs="Arial"/>
          <w:bCs/>
          <w:kern w:val="28"/>
          <w:szCs w:val="24"/>
          <w:lang w:val="es-ES"/>
        </w:rPr>
        <w:t>activa</w:t>
      </w:r>
      <w:proofErr w:type="gramEnd"/>
      <w:r w:rsidR="004275DA" w:rsidRPr="00656299">
        <w:rPr>
          <w:rFonts w:cs="Arial"/>
          <w:bCs/>
          <w:kern w:val="28"/>
          <w:szCs w:val="24"/>
          <w:lang w:val="es-ES"/>
        </w:rPr>
        <w:t xml:space="preserve"> en las reuniones compartiendo las novedades y experiencias para los puntos estipulados en sus agendas, siempre que sea posible, para que los debates sean enriquecedores.</w:t>
      </w:r>
      <w:r w:rsidR="00D83347" w:rsidRPr="00656299">
        <w:rPr>
          <w:rFonts w:cs="Arial"/>
          <w:bCs/>
          <w:kern w:val="28"/>
          <w:szCs w:val="24"/>
          <w:lang w:val="es-ES"/>
        </w:rPr>
        <w:t xml:space="preserve"> </w:t>
      </w:r>
    </w:p>
    <w:p w14:paraId="65C95C1D" w14:textId="77777777" w:rsidR="00A54ED8" w:rsidRPr="00656299" w:rsidRDefault="00A54ED8" w:rsidP="00A54ED8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</w:p>
    <w:p w14:paraId="22CCF29E" w14:textId="33612BA7" w:rsidR="00A54ED8" w:rsidRDefault="00067410">
      <w:pPr>
        <w:pStyle w:val="Prrafodelista"/>
        <w:widowControl w:val="0"/>
        <w:numPr>
          <w:ilvl w:val="0"/>
          <w:numId w:val="5"/>
        </w:numPr>
        <w:overflowPunct w:val="0"/>
        <w:adjustRightInd w:val="0"/>
        <w:jc w:val="both"/>
        <w:rPr>
          <w:rFonts w:cs="Arial"/>
          <w:kern w:val="28"/>
          <w:lang w:val="es-ES"/>
        </w:rPr>
      </w:pPr>
      <w:r w:rsidRPr="71CAE472">
        <w:rPr>
          <w:rFonts w:cs="Arial"/>
          <w:kern w:val="28"/>
          <w:lang w:val="es-ES"/>
        </w:rPr>
        <w:t>S</w:t>
      </w:r>
      <w:r w:rsidR="00A54ED8" w:rsidRPr="71CAE472">
        <w:rPr>
          <w:rFonts w:cs="Arial"/>
          <w:kern w:val="28"/>
          <w:lang w:val="es-ES"/>
        </w:rPr>
        <w:t>in perjuicio de l</w:t>
      </w:r>
      <w:r w:rsidR="00385AA8">
        <w:rPr>
          <w:rFonts w:cs="Arial"/>
          <w:kern w:val="28"/>
          <w:lang w:val="es-ES"/>
        </w:rPr>
        <w:t>a</w:t>
      </w:r>
      <w:r w:rsidR="00A54ED8" w:rsidRPr="71CAE472">
        <w:rPr>
          <w:rFonts w:cs="Arial"/>
          <w:kern w:val="28"/>
          <w:lang w:val="es-ES"/>
        </w:rPr>
        <w:t xml:space="preserve"> importan</w:t>
      </w:r>
      <w:r w:rsidR="00385AA8">
        <w:rPr>
          <w:rFonts w:cs="Arial"/>
          <w:kern w:val="28"/>
          <w:lang w:val="es-ES"/>
        </w:rPr>
        <w:t>cia</w:t>
      </w:r>
      <w:r w:rsidR="00A54ED8" w:rsidRPr="71CAE472">
        <w:rPr>
          <w:rFonts w:cs="Arial"/>
          <w:kern w:val="28"/>
          <w:lang w:val="es-ES"/>
        </w:rPr>
        <w:t xml:space="preserve"> de compartir experiencias, sigan buscando ámbitos para la integración y armonización del sistema financiero del </w:t>
      </w:r>
      <w:r w:rsidR="00FA3E36">
        <w:rPr>
          <w:rFonts w:cs="Arial"/>
          <w:kern w:val="28"/>
          <w:lang w:val="es-ES"/>
        </w:rPr>
        <w:t>MERCOSUR</w:t>
      </w:r>
      <w:r w:rsidR="00A54ED8" w:rsidRPr="71CAE472">
        <w:rPr>
          <w:rFonts w:cs="Arial"/>
          <w:kern w:val="28"/>
          <w:lang w:val="es-ES"/>
        </w:rPr>
        <w:t>.</w:t>
      </w:r>
    </w:p>
    <w:p w14:paraId="7DE34149" w14:textId="77777777" w:rsidR="00FC4BD6" w:rsidRDefault="00FC4BD6" w:rsidP="00FC4BD6">
      <w:pPr>
        <w:pStyle w:val="Prrafodelista"/>
        <w:widowControl w:val="0"/>
        <w:overflowPunct w:val="0"/>
        <w:adjustRightInd w:val="0"/>
        <w:jc w:val="both"/>
        <w:rPr>
          <w:rFonts w:cs="Arial"/>
          <w:kern w:val="28"/>
          <w:lang w:val="es-ES"/>
        </w:rPr>
      </w:pPr>
    </w:p>
    <w:p w14:paraId="36C4C331" w14:textId="37005542" w:rsidR="007E6153" w:rsidRPr="00656299" w:rsidRDefault="00FD66A1">
      <w:pPr>
        <w:pStyle w:val="Prrafodelista"/>
        <w:widowControl w:val="0"/>
        <w:numPr>
          <w:ilvl w:val="0"/>
          <w:numId w:val="5"/>
        </w:numPr>
        <w:overflowPunct w:val="0"/>
        <w:adjustRightInd w:val="0"/>
        <w:jc w:val="both"/>
        <w:rPr>
          <w:rFonts w:cs="Arial"/>
          <w:kern w:val="28"/>
          <w:lang w:val="es-ES"/>
        </w:rPr>
      </w:pPr>
      <w:r>
        <w:rPr>
          <w:rFonts w:cs="Arial"/>
          <w:kern w:val="28"/>
          <w:lang w:val="es-ES"/>
        </w:rPr>
        <w:t>A partir de la próxima reunión, u</w:t>
      </w:r>
      <w:r w:rsidR="0031583D">
        <w:rPr>
          <w:rFonts w:cs="Arial"/>
          <w:kern w:val="28"/>
          <w:lang w:val="es-ES"/>
        </w:rPr>
        <w:t>tilicen</w:t>
      </w:r>
      <w:r w:rsidR="00840E76" w:rsidRPr="2070D9A4">
        <w:rPr>
          <w:rFonts w:cs="Arial"/>
          <w:kern w:val="28"/>
          <w:lang w:val="es-ES"/>
        </w:rPr>
        <w:t xml:space="preserve"> la plantilla carátula para los documentos a ser publicados en el </w:t>
      </w:r>
      <w:r w:rsidR="00FA3E36">
        <w:rPr>
          <w:rFonts w:cs="Arial"/>
          <w:kern w:val="28"/>
          <w:lang w:val="es-ES"/>
        </w:rPr>
        <w:t>Portal Web</w:t>
      </w:r>
      <w:r w:rsidR="00840E76" w:rsidRPr="2070D9A4">
        <w:rPr>
          <w:rFonts w:cs="Arial"/>
          <w:kern w:val="28"/>
          <w:lang w:val="es-ES"/>
        </w:rPr>
        <w:t xml:space="preserve"> del </w:t>
      </w:r>
      <w:r w:rsidR="00FA3E36">
        <w:rPr>
          <w:rFonts w:cs="Arial"/>
          <w:kern w:val="28"/>
          <w:lang w:val="es-ES"/>
        </w:rPr>
        <w:t>MERCOSUR</w:t>
      </w:r>
      <w:r w:rsidR="00840E76" w:rsidRPr="2070D9A4">
        <w:rPr>
          <w:rFonts w:cs="Arial"/>
          <w:kern w:val="28"/>
          <w:lang w:val="es-ES"/>
        </w:rPr>
        <w:t xml:space="preserve"> </w:t>
      </w:r>
      <w:r w:rsidR="003C2BA5">
        <w:rPr>
          <w:rFonts w:cs="Arial"/>
          <w:kern w:val="28"/>
          <w:lang w:val="es-ES"/>
        </w:rPr>
        <w:t xml:space="preserve">aprobada en el punto </w:t>
      </w:r>
      <w:r w:rsidR="002557D2">
        <w:rPr>
          <w:rFonts w:cs="Arial"/>
          <w:kern w:val="28"/>
          <w:lang w:val="es-ES"/>
        </w:rPr>
        <w:t xml:space="preserve">6.2 de la </w:t>
      </w:r>
      <w:r w:rsidR="003A7744">
        <w:rPr>
          <w:rFonts w:cs="Arial"/>
          <w:kern w:val="28"/>
          <w:lang w:val="es-ES"/>
        </w:rPr>
        <w:t>presente Acta</w:t>
      </w:r>
      <w:r w:rsidR="000D0CC9">
        <w:rPr>
          <w:rFonts w:cs="Arial"/>
          <w:b/>
          <w:bCs/>
          <w:lang w:val="es-ES"/>
        </w:rPr>
        <w:t>.</w:t>
      </w:r>
    </w:p>
    <w:p w14:paraId="1D24B60C" w14:textId="0F0251AB" w:rsidR="001555FE" w:rsidRDefault="001555FE" w:rsidP="00CA0577">
      <w:pPr>
        <w:widowControl w:val="0"/>
        <w:overflowPunct w:val="0"/>
        <w:adjustRightInd w:val="0"/>
        <w:jc w:val="both"/>
        <w:rPr>
          <w:rFonts w:cs="Arial"/>
          <w:kern w:val="28"/>
          <w:szCs w:val="24"/>
          <w:lang w:val="es-ES"/>
        </w:rPr>
      </w:pPr>
    </w:p>
    <w:p w14:paraId="75E66F74" w14:textId="77777777" w:rsidR="00FA3E36" w:rsidRPr="003221C4" w:rsidRDefault="00FA3E36" w:rsidP="00CA0577">
      <w:pPr>
        <w:widowControl w:val="0"/>
        <w:overflowPunct w:val="0"/>
        <w:adjustRightInd w:val="0"/>
        <w:jc w:val="both"/>
        <w:rPr>
          <w:rFonts w:cs="Arial"/>
          <w:kern w:val="28"/>
          <w:szCs w:val="24"/>
          <w:lang w:val="es-ES"/>
        </w:rPr>
      </w:pPr>
    </w:p>
    <w:p w14:paraId="32E7D857" w14:textId="244EA6F5" w:rsidR="009759E2" w:rsidRPr="003221C4" w:rsidRDefault="00946D78" w:rsidP="00202838">
      <w:pPr>
        <w:pStyle w:val="Prrafodelista"/>
        <w:widowControl w:val="0"/>
        <w:numPr>
          <w:ilvl w:val="0"/>
          <w:numId w:val="4"/>
        </w:numPr>
        <w:overflowPunct w:val="0"/>
        <w:adjustRightInd w:val="0"/>
        <w:ind w:left="567" w:hanging="567"/>
        <w:jc w:val="both"/>
        <w:rPr>
          <w:rFonts w:cs="Arial"/>
          <w:b/>
          <w:bCs/>
          <w:kern w:val="28"/>
          <w:szCs w:val="24"/>
          <w:lang w:val="es-ES"/>
        </w:rPr>
      </w:pPr>
      <w:r w:rsidRPr="003221C4">
        <w:rPr>
          <w:rFonts w:cs="Arial"/>
          <w:b/>
          <w:bCs/>
          <w:kern w:val="28"/>
          <w:szCs w:val="24"/>
          <w:lang w:val="es-ES"/>
        </w:rPr>
        <w:t>PRESENTACIÓN</w:t>
      </w:r>
      <w:r w:rsidR="00E0042B">
        <w:rPr>
          <w:rFonts w:cs="Arial"/>
          <w:b/>
          <w:bCs/>
          <w:kern w:val="28"/>
          <w:szCs w:val="24"/>
          <w:lang w:val="es-ES"/>
        </w:rPr>
        <w:t xml:space="preserve">: COLABORACIÓN INTERNACIONAL EN LA SUPERVISIÓN BANCARIA DE TERCERAS PARTES PROVEEDORAS DE SERVICIOS </w:t>
      </w:r>
      <w:r w:rsidRPr="003221C4">
        <w:rPr>
          <w:rFonts w:cs="Arial"/>
          <w:b/>
          <w:bCs/>
          <w:kern w:val="28"/>
          <w:szCs w:val="24"/>
          <w:lang w:val="es-ES"/>
        </w:rPr>
        <w:t xml:space="preserve"> </w:t>
      </w:r>
    </w:p>
    <w:p w14:paraId="38C8639C" w14:textId="73DE1C19" w:rsidR="002A7685" w:rsidRPr="003221C4" w:rsidRDefault="002A7685" w:rsidP="00946D78">
      <w:pPr>
        <w:pStyle w:val="Prrafodelista"/>
        <w:widowControl w:val="0"/>
        <w:overflowPunct w:val="0"/>
        <w:adjustRightInd w:val="0"/>
        <w:ind w:left="705"/>
        <w:jc w:val="both"/>
        <w:rPr>
          <w:rFonts w:cs="Arial"/>
          <w:b/>
          <w:kern w:val="28"/>
          <w:lang w:val="es-ES"/>
        </w:rPr>
      </w:pPr>
    </w:p>
    <w:p w14:paraId="614055E0" w14:textId="6E4951F4" w:rsidR="002A7685" w:rsidRDefault="00014336" w:rsidP="002970D0">
      <w:pPr>
        <w:pStyle w:val="Prrafodelista"/>
        <w:widowControl w:val="0"/>
        <w:overflowPunct w:val="0"/>
        <w:adjustRightInd w:val="0"/>
        <w:ind w:left="0"/>
        <w:jc w:val="both"/>
        <w:rPr>
          <w:rFonts w:cs="Arial"/>
          <w:lang w:val="es-ES"/>
        </w:rPr>
      </w:pPr>
      <w:r w:rsidRPr="2070D9A4">
        <w:rPr>
          <w:rFonts w:cs="Arial"/>
          <w:kern w:val="28"/>
          <w:lang w:val="es-ES"/>
        </w:rPr>
        <w:t xml:space="preserve">La </w:t>
      </w:r>
      <w:r w:rsidR="009961DC" w:rsidRPr="2070D9A4">
        <w:rPr>
          <w:rFonts w:cs="Arial"/>
          <w:kern w:val="28"/>
          <w:lang w:val="es-ES"/>
        </w:rPr>
        <w:t xml:space="preserve">delegación de </w:t>
      </w:r>
      <w:r w:rsidR="00E0042B" w:rsidRPr="2070D9A4">
        <w:rPr>
          <w:rFonts w:cs="Arial"/>
          <w:kern w:val="28"/>
          <w:lang w:val="es-ES"/>
        </w:rPr>
        <w:t>Argentin</w:t>
      </w:r>
      <w:r w:rsidR="4799F000" w:rsidRPr="2070D9A4">
        <w:rPr>
          <w:rFonts w:cs="Arial"/>
          <w:kern w:val="28"/>
          <w:lang w:val="es-ES"/>
        </w:rPr>
        <w:t>a realizó una presentación</w:t>
      </w:r>
      <w:r w:rsidR="00432951">
        <w:rPr>
          <w:rFonts w:cs="Arial"/>
          <w:kern w:val="28"/>
          <w:lang w:val="es-ES"/>
        </w:rPr>
        <w:t xml:space="preserve"> </w:t>
      </w:r>
      <w:r w:rsidR="00796887">
        <w:rPr>
          <w:rFonts w:cs="Arial"/>
          <w:kern w:val="28"/>
          <w:lang w:val="es-ES"/>
        </w:rPr>
        <w:t xml:space="preserve">sobre la </w:t>
      </w:r>
      <w:r w:rsidR="009E67BA" w:rsidRPr="009E67BA">
        <w:rPr>
          <w:rFonts w:cs="Arial"/>
          <w:kern w:val="28"/>
          <w:lang w:val="es-ES"/>
        </w:rPr>
        <w:t xml:space="preserve">Colaboración Internacional </w:t>
      </w:r>
      <w:r w:rsidR="00171A39">
        <w:rPr>
          <w:rFonts w:cs="Arial"/>
          <w:kern w:val="28"/>
          <w:lang w:val="es-ES"/>
        </w:rPr>
        <w:t>e</w:t>
      </w:r>
      <w:r w:rsidR="009E67BA" w:rsidRPr="009E67BA">
        <w:rPr>
          <w:rFonts w:cs="Arial"/>
          <w:kern w:val="28"/>
          <w:lang w:val="es-ES"/>
        </w:rPr>
        <w:t xml:space="preserve">n </w:t>
      </w:r>
      <w:r w:rsidR="00171A39">
        <w:rPr>
          <w:rFonts w:cs="Arial"/>
          <w:kern w:val="28"/>
          <w:lang w:val="es-ES"/>
        </w:rPr>
        <w:t>l</w:t>
      </w:r>
      <w:r w:rsidR="009E67BA" w:rsidRPr="009E67BA">
        <w:rPr>
          <w:rFonts w:cs="Arial"/>
          <w:kern w:val="28"/>
          <w:lang w:val="es-ES"/>
        </w:rPr>
        <w:t xml:space="preserve">a Supervisión Bancaria </w:t>
      </w:r>
      <w:r w:rsidR="00171A39">
        <w:rPr>
          <w:rFonts w:cs="Arial"/>
          <w:kern w:val="28"/>
          <w:lang w:val="es-ES"/>
        </w:rPr>
        <w:t>d</w:t>
      </w:r>
      <w:r w:rsidR="009E67BA" w:rsidRPr="009E67BA">
        <w:rPr>
          <w:rFonts w:cs="Arial"/>
          <w:kern w:val="28"/>
          <w:lang w:val="es-ES"/>
        </w:rPr>
        <w:t xml:space="preserve">e Terceras Partes Proveedoras </w:t>
      </w:r>
      <w:r w:rsidR="00171A39">
        <w:rPr>
          <w:rFonts w:cs="Arial"/>
          <w:kern w:val="28"/>
          <w:lang w:val="es-ES"/>
        </w:rPr>
        <w:t>d</w:t>
      </w:r>
      <w:r w:rsidR="009E67BA" w:rsidRPr="009E67BA">
        <w:rPr>
          <w:rFonts w:cs="Arial"/>
          <w:kern w:val="28"/>
          <w:lang w:val="es-ES"/>
        </w:rPr>
        <w:t>e Servicios</w:t>
      </w:r>
      <w:r w:rsidR="00030B94">
        <w:rPr>
          <w:rFonts w:cs="Arial"/>
          <w:kern w:val="28"/>
          <w:lang w:val="es-ES"/>
        </w:rPr>
        <w:t xml:space="preserve">. </w:t>
      </w:r>
      <w:r w:rsidR="00AA7BF5">
        <w:rPr>
          <w:rFonts w:cs="Arial"/>
          <w:kern w:val="28"/>
          <w:lang w:val="es-ES"/>
        </w:rPr>
        <w:t>En la misma</w:t>
      </w:r>
      <w:r w:rsidR="00126B6A">
        <w:rPr>
          <w:rFonts w:cs="Arial"/>
          <w:kern w:val="28"/>
          <w:lang w:val="es-ES"/>
        </w:rPr>
        <w:t>,</w:t>
      </w:r>
      <w:r w:rsidR="00AA7BF5">
        <w:rPr>
          <w:rFonts w:cs="Arial"/>
          <w:kern w:val="28"/>
          <w:lang w:val="es-ES"/>
        </w:rPr>
        <w:t xml:space="preserve"> se hizo un abordaje general del tema a nivel internacional y local</w:t>
      </w:r>
      <w:r w:rsidR="00593294">
        <w:rPr>
          <w:rFonts w:cs="Arial"/>
          <w:kern w:val="28"/>
          <w:lang w:val="es-ES"/>
        </w:rPr>
        <w:t xml:space="preserve">; y se compartieron los resultados de la encuesta que se había remitido previamente sobre </w:t>
      </w:r>
      <w:r w:rsidR="00166EF1">
        <w:rPr>
          <w:rFonts w:cs="Arial"/>
          <w:kern w:val="28"/>
          <w:lang w:val="es-ES"/>
        </w:rPr>
        <w:t>normativa de tercerización de servicios</w:t>
      </w:r>
      <w:r w:rsidR="00D54ED4">
        <w:rPr>
          <w:rFonts w:cs="Arial"/>
          <w:kern w:val="28"/>
          <w:lang w:val="es-ES"/>
        </w:rPr>
        <w:t xml:space="preserve"> para tener un acercamiento de</w:t>
      </w:r>
      <w:r w:rsidR="00A21361">
        <w:rPr>
          <w:rFonts w:cs="Arial"/>
          <w:kern w:val="28"/>
          <w:lang w:val="es-ES"/>
        </w:rPr>
        <w:t xml:space="preserve"> </w:t>
      </w:r>
      <w:r w:rsidR="00D54ED4">
        <w:rPr>
          <w:rFonts w:cs="Arial"/>
          <w:kern w:val="28"/>
          <w:lang w:val="es-ES"/>
        </w:rPr>
        <w:t>l</w:t>
      </w:r>
      <w:r w:rsidR="00A21361">
        <w:rPr>
          <w:rFonts w:cs="Arial"/>
          <w:kern w:val="28"/>
          <w:lang w:val="es-ES"/>
        </w:rPr>
        <w:t>a</w:t>
      </w:r>
      <w:r w:rsidR="00D54ED4">
        <w:rPr>
          <w:rFonts w:cs="Arial"/>
          <w:kern w:val="28"/>
          <w:lang w:val="es-ES"/>
        </w:rPr>
        <w:t xml:space="preserve"> tem</w:t>
      </w:r>
      <w:r w:rsidR="00A21361">
        <w:rPr>
          <w:rFonts w:cs="Arial"/>
          <w:kern w:val="28"/>
          <w:lang w:val="es-ES"/>
        </w:rPr>
        <w:t>ática</w:t>
      </w:r>
      <w:r w:rsidR="00D54ED4">
        <w:rPr>
          <w:rFonts w:cs="Arial"/>
          <w:kern w:val="28"/>
          <w:lang w:val="es-ES"/>
        </w:rPr>
        <w:t xml:space="preserve"> a nivel regional.</w:t>
      </w:r>
      <w:r w:rsidR="002970D0">
        <w:rPr>
          <w:rFonts w:cs="Arial"/>
          <w:kern w:val="28"/>
          <w:lang w:val="es-ES"/>
        </w:rPr>
        <w:t xml:space="preserve"> </w:t>
      </w:r>
      <w:r w:rsidR="002970D0">
        <w:rPr>
          <w:rFonts w:cs="Arial"/>
          <w:lang w:val="es-ES"/>
        </w:rPr>
        <w:t>Las delegaciones intercambiaron comentarios, consultas y opiniones sobre el tema.</w:t>
      </w:r>
    </w:p>
    <w:p w14:paraId="7CB8B28F" w14:textId="77777777" w:rsidR="002970D0" w:rsidRPr="002970D0" w:rsidRDefault="002970D0" w:rsidP="002970D0">
      <w:pPr>
        <w:pStyle w:val="Prrafodelista"/>
        <w:widowControl w:val="0"/>
        <w:overflowPunct w:val="0"/>
        <w:adjustRightInd w:val="0"/>
        <w:ind w:left="0"/>
        <w:jc w:val="both"/>
        <w:rPr>
          <w:rFonts w:cs="Arial"/>
          <w:lang w:val="es-ES"/>
        </w:rPr>
      </w:pPr>
    </w:p>
    <w:p w14:paraId="5EA64D53" w14:textId="1501D2C1" w:rsidR="00EF7D3C" w:rsidRPr="00457F9F" w:rsidRDefault="002B003B" w:rsidP="2070D9A4">
      <w:pPr>
        <w:pStyle w:val="Prrafodelista"/>
        <w:widowControl w:val="0"/>
        <w:overflowPunct w:val="0"/>
        <w:adjustRightInd w:val="0"/>
        <w:ind w:left="0"/>
        <w:jc w:val="both"/>
        <w:rPr>
          <w:rFonts w:cs="Arial"/>
          <w:lang w:val="es-ES"/>
        </w:rPr>
      </w:pPr>
      <w:r w:rsidRPr="00457F9F">
        <w:rPr>
          <w:rFonts w:cs="Arial"/>
          <w:lang w:val="es-ES"/>
        </w:rPr>
        <w:t xml:space="preserve">Dado el interés </w:t>
      </w:r>
      <w:r w:rsidR="00FC2316" w:rsidRPr="00457F9F">
        <w:rPr>
          <w:rFonts w:cs="Arial"/>
          <w:lang w:val="es-ES"/>
        </w:rPr>
        <w:t>suscitado</w:t>
      </w:r>
      <w:r w:rsidR="002970D0" w:rsidRPr="00457F9F">
        <w:rPr>
          <w:rFonts w:cs="Arial"/>
          <w:lang w:val="es-ES"/>
        </w:rPr>
        <w:t xml:space="preserve"> </w:t>
      </w:r>
      <w:r w:rsidR="00FC2316" w:rsidRPr="00457F9F">
        <w:rPr>
          <w:rFonts w:cs="Arial"/>
          <w:lang w:val="es-ES"/>
        </w:rPr>
        <w:t xml:space="preserve">sobre </w:t>
      </w:r>
      <w:r w:rsidR="00174CDD" w:rsidRPr="00457F9F">
        <w:rPr>
          <w:rFonts w:cs="Arial"/>
          <w:lang w:val="es-ES"/>
        </w:rPr>
        <w:t xml:space="preserve">la tercerización de servicios </w:t>
      </w:r>
      <w:r w:rsidR="00363EC4">
        <w:rPr>
          <w:rFonts w:cs="Arial"/>
          <w:lang w:val="es-ES"/>
        </w:rPr>
        <w:t>en otras jurisdicciones</w:t>
      </w:r>
      <w:r w:rsidR="00363EC4" w:rsidRPr="00457F9F">
        <w:rPr>
          <w:rFonts w:cs="Arial"/>
          <w:lang w:val="es-ES"/>
        </w:rPr>
        <w:t xml:space="preserve"> </w:t>
      </w:r>
      <w:r w:rsidR="00174CDD" w:rsidRPr="00457F9F">
        <w:rPr>
          <w:rFonts w:cs="Arial"/>
          <w:lang w:val="es-ES"/>
        </w:rPr>
        <w:t>por parte de las entidades financieras</w:t>
      </w:r>
      <w:r w:rsidR="00FC2316" w:rsidRPr="00457F9F">
        <w:rPr>
          <w:rFonts w:cs="Arial"/>
          <w:lang w:val="es-ES"/>
        </w:rPr>
        <w:t xml:space="preserve">, </w:t>
      </w:r>
      <w:r w:rsidR="00DA03AE" w:rsidRPr="00457F9F">
        <w:rPr>
          <w:rFonts w:cs="Arial"/>
          <w:lang w:val="es-ES"/>
        </w:rPr>
        <w:t xml:space="preserve">las delegaciones acordaron </w:t>
      </w:r>
      <w:r w:rsidR="00B06AED">
        <w:rPr>
          <w:rFonts w:cs="Arial"/>
          <w:lang w:val="es-ES"/>
        </w:rPr>
        <w:t>realizar un seguimiento de</w:t>
      </w:r>
      <w:r w:rsidR="00DA03AE" w:rsidRPr="00457F9F">
        <w:rPr>
          <w:rFonts w:cs="Arial"/>
          <w:lang w:val="es-ES"/>
        </w:rPr>
        <w:t xml:space="preserve"> la temática en la próxima reunión</w:t>
      </w:r>
      <w:r w:rsidR="002970D0" w:rsidRPr="00457F9F">
        <w:rPr>
          <w:rFonts w:cs="Arial"/>
          <w:lang w:val="es-ES"/>
        </w:rPr>
        <w:t xml:space="preserve"> de la Coordinación Nacional.</w:t>
      </w:r>
    </w:p>
    <w:p w14:paraId="166CCE69" w14:textId="53F87424" w:rsidR="2070D9A4" w:rsidRPr="00457F9F" w:rsidRDefault="2070D9A4" w:rsidP="2070D9A4">
      <w:pPr>
        <w:pStyle w:val="Prrafodelista"/>
        <w:widowControl w:val="0"/>
        <w:ind w:left="0"/>
        <w:jc w:val="both"/>
        <w:rPr>
          <w:rFonts w:cs="Arial"/>
          <w:lang w:val="es-ES"/>
        </w:rPr>
      </w:pPr>
    </w:p>
    <w:p w14:paraId="4F87D360" w14:textId="782600D7" w:rsidR="00014336" w:rsidRPr="003221C4" w:rsidRDefault="00014336" w:rsidP="002A7685">
      <w:pPr>
        <w:pStyle w:val="Prrafodelista"/>
        <w:widowControl w:val="0"/>
        <w:overflowPunct w:val="0"/>
        <w:adjustRightInd w:val="0"/>
        <w:ind w:left="0"/>
        <w:jc w:val="both"/>
        <w:rPr>
          <w:rFonts w:cs="Arial"/>
          <w:b/>
          <w:kern w:val="28"/>
          <w:lang w:val="es-ES"/>
        </w:rPr>
      </w:pPr>
      <w:r w:rsidRPr="00457F9F">
        <w:rPr>
          <w:rFonts w:cs="Arial"/>
          <w:kern w:val="28"/>
          <w:lang w:val="es-ES"/>
        </w:rPr>
        <w:t xml:space="preserve">Se incorpora la presentación </w:t>
      </w:r>
      <w:r w:rsidRPr="004C111D">
        <w:rPr>
          <w:rFonts w:cs="Arial"/>
          <w:kern w:val="28"/>
          <w:lang w:val="es-ES"/>
        </w:rPr>
        <w:t xml:space="preserve">como </w:t>
      </w:r>
      <w:r w:rsidRPr="004C111D">
        <w:rPr>
          <w:rFonts w:cs="Arial"/>
          <w:b/>
          <w:kern w:val="28"/>
          <w:lang w:val="es-ES"/>
        </w:rPr>
        <w:t>A</w:t>
      </w:r>
      <w:r w:rsidR="00A80FB7" w:rsidRPr="004C111D">
        <w:rPr>
          <w:rFonts w:cs="Arial"/>
          <w:b/>
          <w:kern w:val="28"/>
          <w:lang w:val="es-ES"/>
        </w:rPr>
        <w:t>nexo</w:t>
      </w:r>
      <w:r w:rsidRPr="004C111D">
        <w:rPr>
          <w:rFonts w:cs="Arial"/>
          <w:b/>
          <w:kern w:val="28"/>
          <w:lang w:val="es-ES"/>
        </w:rPr>
        <w:t xml:space="preserve"> </w:t>
      </w:r>
      <w:r w:rsidRPr="004C111D">
        <w:rPr>
          <w:rFonts w:cs="Arial"/>
          <w:b/>
          <w:bCs/>
          <w:kern w:val="28"/>
          <w:lang w:val="es-ES"/>
        </w:rPr>
        <w:t>X</w:t>
      </w:r>
      <w:r w:rsidR="00BE7CC7" w:rsidRPr="004C111D">
        <w:rPr>
          <w:rFonts w:cs="Arial"/>
          <w:b/>
          <w:bCs/>
          <w:kern w:val="28"/>
          <w:lang w:val="es-ES"/>
        </w:rPr>
        <w:t>II</w:t>
      </w:r>
      <w:r w:rsidR="00457F9F" w:rsidRPr="004C111D">
        <w:rPr>
          <w:rFonts w:cs="Arial"/>
          <w:b/>
          <w:bCs/>
          <w:kern w:val="28"/>
          <w:lang w:val="es-ES"/>
        </w:rPr>
        <w:t>.</w:t>
      </w:r>
    </w:p>
    <w:p w14:paraId="089D095F" w14:textId="0B7D4819" w:rsidR="002A7685" w:rsidRPr="003221C4" w:rsidRDefault="002A7685" w:rsidP="002A7685">
      <w:pPr>
        <w:pStyle w:val="Prrafodelista"/>
        <w:widowControl w:val="0"/>
        <w:overflowPunct w:val="0"/>
        <w:adjustRightInd w:val="0"/>
        <w:ind w:left="0"/>
        <w:jc w:val="both"/>
        <w:rPr>
          <w:rFonts w:cs="Arial"/>
          <w:bCs/>
          <w:kern w:val="28"/>
          <w:szCs w:val="24"/>
          <w:lang w:val="es-ES"/>
        </w:rPr>
      </w:pPr>
    </w:p>
    <w:p w14:paraId="7C0B5331" w14:textId="77777777" w:rsidR="00A80FB7" w:rsidRPr="003221C4" w:rsidRDefault="00A80FB7" w:rsidP="001C4EBE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</w:p>
    <w:p w14:paraId="2A9F9DC5" w14:textId="7867DB8B" w:rsidR="001C4EBE" w:rsidRDefault="00E0042B" w:rsidP="00202838">
      <w:pPr>
        <w:pStyle w:val="Prrafodelista"/>
        <w:widowControl w:val="0"/>
        <w:numPr>
          <w:ilvl w:val="0"/>
          <w:numId w:val="4"/>
        </w:numPr>
        <w:overflowPunct w:val="0"/>
        <w:adjustRightInd w:val="0"/>
        <w:ind w:left="567" w:hanging="567"/>
        <w:jc w:val="both"/>
        <w:rPr>
          <w:rFonts w:cs="Arial"/>
          <w:b/>
          <w:kern w:val="28"/>
          <w:szCs w:val="24"/>
          <w:lang w:val="es-ES"/>
        </w:rPr>
      </w:pPr>
      <w:r>
        <w:rPr>
          <w:rFonts w:cs="Arial"/>
          <w:b/>
          <w:kern w:val="28"/>
          <w:szCs w:val="24"/>
          <w:lang w:val="es-ES"/>
        </w:rPr>
        <w:t xml:space="preserve">SECCIÓN DE ASUNTOS FINANCIEROS EN EL </w:t>
      </w:r>
      <w:r w:rsidR="00FA3E36">
        <w:rPr>
          <w:rFonts w:cs="Arial"/>
          <w:b/>
          <w:kern w:val="28"/>
          <w:szCs w:val="24"/>
          <w:lang w:val="es-ES"/>
        </w:rPr>
        <w:t>PORTAL WEB</w:t>
      </w:r>
      <w:r>
        <w:rPr>
          <w:rFonts w:cs="Arial"/>
          <w:b/>
          <w:kern w:val="28"/>
          <w:szCs w:val="24"/>
          <w:lang w:val="es-ES"/>
        </w:rPr>
        <w:t xml:space="preserve"> DEL </w:t>
      </w:r>
      <w:r w:rsidR="00FA3E36">
        <w:rPr>
          <w:rFonts w:cs="Arial"/>
          <w:b/>
          <w:kern w:val="28"/>
          <w:szCs w:val="24"/>
          <w:lang w:val="es-ES"/>
        </w:rPr>
        <w:t>MERCOSUR</w:t>
      </w:r>
    </w:p>
    <w:p w14:paraId="35950CF5" w14:textId="77777777" w:rsidR="005218CE" w:rsidRPr="003221C4" w:rsidRDefault="005218CE" w:rsidP="005218CE">
      <w:pPr>
        <w:pStyle w:val="Prrafodelista"/>
        <w:widowControl w:val="0"/>
        <w:overflowPunct w:val="0"/>
        <w:adjustRightInd w:val="0"/>
        <w:ind w:left="567"/>
        <w:jc w:val="both"/>
        <w:rPr>
          <w:rFonts w:cs="Arial"/>
          <w:b/>
          <w:kern w:val="28"/>
          <w:szCs w:val="24"/>
          <w:lang w:val="es-ES"/>
        </w:rPr>
      </w:pPr>
    </w:p>
    <w:p w14:paraId="31247A01" w14:textId="5B565472" w:rsidR="001C4EBE" w:rsidRPr="003221C4" w:rsidRDefault="00AA63E3" w:rsidP="00202838">
      <w:pPr>
        <w:widowControl w:val="0"/>
        <w:overflowPunct w:val="0"/>
        <w:adjustRightInd w:val="0"/>
        <w:ind w:left="1134" w:hanging="567"/>
        <w:jc w:val="both"/>
        <w:rPr>
          <w:rFonts w:cs="Arial"/>
          <w:b/>
          <w:kern w:val="28"/>
          <w:szCs w:val="24"/>
          <w:lang w:val="es-ES"/>
        </w:rPr>
      </w:pPr>
      <w:r w:rsidRPr="003221C4">
        <w:rPr>
          <w:rFonts w:cs="Arial"/>
          <w:b/>
          <w:kern w:val="28"/>
          <w:szCs w:val="24"/>
          <w:lang w:val="es-ES"/>
        </w:rPr>
        <w:t>6</w:t>
      </w:r>
      <w:r w:rsidR="001C4EBE" w:rsidRPr="003221C4">
        <w:rPr>
          <w:rFonts w:cs="Arial"/>
          <w:b/>
          <w:kern w:val="28"/>
          <w:szCs w:val="24"/>
          <w:lang w:val="es-ES"/>
        </w:rPr>
        <w:t>.1.</w:t>
      </w:r>
      <w:r w:rsidR="001C4EBE" w:rsidRPr="003221C4">
        <w:rPr>
          <w:rFonts w:cs="Arial"/>
          <w:b/>
          <w:kern w:val="28"/>
          <w:szCs w:val="24"/>
          <w:lang w:val="es-ES"/>
        </w:rPr>
        <w:tab/>
      </w:r>
      <w:r w:rsidR="00E0042B">
        <w:rPr>
          <w:rFonts w:cs="Arial"/>
          <w:b/>
          <w:kern w:val="28"/>
          <w:szCs w:val="24"/>
          <w:lang w:val="es-ES"/>
        </w:rPr>
        <w:t>Contenido de la Sección de Asuntos Financieros</w:t>
      </w:r>
    </w:p>
    <w:p w14:paraId="5F693880" w14:textId="77777777" w:rsidR="00671F92" w:rsidRPr="003221C4" w:rsidRDefault="00671F92" w:rsidP="00671F92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es-ES"/>
        </w:rPr>
      </w:pPr>
    </w:p>
    <w:p w14:paraId="6E6444B3" w14:textId="539E5EF1" w:rsidR="004416A6" w:rsidRDefault="005373BC" w:rsidP="00671F92">
      <w:pPr>
        <w:widowControl w:val="0"/>
        <w:overflowPunct w:val="0"/>
        <w:adjustRightInd w:val="0"/>
        <w:jc w:val="both"/>
        <w:rPr>
          <w:rFonts w:cs="Arial"/>
          <w:kern w:val="28"/>
          <w:lang w:val="es-ES"/>
        </w:rPr>
      </w:pPr>
      <w:r w:rsidRPr="2686DC8F">
        <w:rPr>
          <w:rFonts w:cs="Arial"/>
          <w:kern w:val="28"/>
          <w:lang w:val="es-ES"/>
        </w:rPr>
        <w:t>Los Coordinadores Nac</w:t>
      </w:r>
      <w:r w:rsidR="00370B51" w:rsidRPr="2686DC8F">
        <w:rPr>
          <w:rFonts w:cs="Arial"/>
          <w:kern w:val="28"/>
          <w:lang w:val="es-ES"/>
        </w:rPr>
        <w:t>io</w:t>
      </w:r>
      <w:r w:rsidR="007C4E6F" w:rsidRPr="2686DC8F">
        <w:rPr>
          <w:rFonts w:cs="Arial"/>
          <w:kern w:val="28"/>
          <w:lang w:val="es-ES"/>
        </w:rPr>
        <w:t>nale</w:t>
      </w:r>
      <w:r w:rsidR="00370B51" w:rsidRPr="2686DC8F">
        <w:rPr>
          <w:rFonts w:cs="Arial"/>
          <w:kern w:val="28"/>
          <w:lang w:val="es-ES"/>
        </w:rPr>
        <w:t xml:space="preserve">s, junto a la </w:t>
      </w:r>
      <w:r w:rsidR="00375E10" w:rsidRPr="2686DC8F">
        <w:rPr>
          <w:rFonts w:cs="Arial"/>
          <w:kern w:val="28"/>
          <w:lang w:val="es-ES"/>
        </w:rPr>
        <w:t>Secretar</w:t>
      </w:r>
      <w:r w:rsidR="004D172C" w:rsidRPr="2686DC8F">
        <w:rPr>
          <w:rFonts w:cs="Arial"/>
          <w:kern w:val="28"/>
          <w:lang w:val="es-ES"/>
        </w:rPr>
        <w:t>í</w:t>
      </w:r>
      <w:r w:rsidR="00375E10" w:rsidRPr="2686DC8F">
        <w:rPr>
          <w:rFonts w:cs="Arial"/>
          <w:kern w:val="28"/>
          <w:lang w:val="es-ES"/>
        </w:rPr>
        <w:t>a</w:t>
      </w:r>
      <w:r w:rsidR="00370B51" w:rsidRPr="2686DC8F">
        <w:rPr>
          <w:rFonts w:cs="Arial"/>
          <w:kern w:val="28"/>
          <w:lang w:val="es-ES"/>
        </w:rPr>
        <w:t xml:space="preserve"> del </w:t>
      </w:r>
      <w:r w:rsidR="00FA3E36">
        <w:rPr>
          <w:rFonts w:cs="Arial"/>
          <w:kern w:val="28"/>
          <w:lang w:val="es-ES"/>
        </w:rPr>
        <w:t>MERCOSUR</w:t>
      </w:r>
      <w:r w:rsidR="00370B51" w:rsidRPr="2686DC8F">
        <w:rPr>
          <w:rFonts w:cs="Arial"/>
          <w:kern w:val="28"/>
          <w:lang w:val="es-ES"/>
        </w:rPr>
        <w:t xml:space="preserve">, repasaron la documentación que se </w:t>
      </w:r>
      <w:r w:rsidR="00577A58" w:rsidRPr="2686DC8F">
        <w:rPr>
          <w:rFonts w:cs="Arial"/>
          <w:kern w:val="28"/>
          <w:lang w:val="es-ES"/>
        </w:rPr>
        <w:t xml:space="preserve">encuentra pendiente de publicación en el </w:t>
      </w:r>
      <w:r w:rsidR="00FA3E36">
        <w:rPr>
          <w:rFonts w:cs="Arial"/>
          <w:kern w:val="28"/>
          <w:lang w:val="es-ES"/>
        </w:rPr>
        <w:t>Portal Web</w:t>
      </w:r>
      <w:r w:rsidR="00577A58" w:rsidRPr="2686DC8F">
        <w:rPr>
          <w:rFonts w:cs="Arial"/>
          <w:kern w:val="28"/>
          <w:lang w:val="es-ES"/>
        </w:rPr>
        <w:t xml:space="preserve"> del </w:t>
      </w:r>
      <w:r w:rsidR="00FA3E36">
        <w:rPr>
          <w:rFonts w:cs="Arial"/>
          <w:kern w:val="28"/>
          <w:lang w:val="es-ES"/>
        </w:rPr>
        <w:t>MERCOSUR</w:t>
      </w:r>
      <w:r w:rsidR="00577A58" w:rsidRPr="2686DC8F">
        <w:rPr>
          <w:rFonts w:cs="Arial"/>
          <w:kern w:val="28"/>
          <w:lang w:val="es-ES"/>
        </w:rPr>
        <w:t xml:space="preserve">/Asuntos Financieros. En ese sentido, la Secretaría del </w:t>
      </w:r>
      <w:r w:rsidR="00FA3E36">
        <w:rPr>
          <w:rFonts w:cs="Arial"/>
          <w:kern w:val="28"/>
          <w:lang w:val="es-ES"/>
        </w:rPr>
        <w:t>MERCOSUR</w:t>
      </w:r>
      <w:r w:rsidR="00577A58" w:rsidRPr="2686DC8F">
        <w:rPr>
          <w:rFonts w:cs="Arial"/>
          <w:kern w:val="28"/>
          <w:lang w:val="es-ES"/>
        </w:rPr>
        <w:t xml:space="preserve"> informó que ya se encuentran publicadas las Actas del período </w:t>
      </w:r>
      <w:r w:rsidR="00577A58" w:rsidRPr="2686DC8F">
        <w:rPr>
          <w:rFonts w:cs="Arial"/>
          <w:kern w:val="28"/>
          <w:lang w:val="es-ES"/>
        </w:rPr>
        <w:lastRenderedPageBreak/>
        <w:t>1994 a 200</w:t>
      </w:r>
      <w:r w:rsidR="009E1397">
        <w:rPr>
          <w:rFonts w:cs="Arial"/>
          <w:kern w:val="28"/>
          <w:lang w:val="es-ES"/>
        </w:rPr>
        <w:t>4</w:t>
      </w:r>
      <w:r w:rsidR="00577A58" w:rsidRPr="2686DC8F">
        <w:rPr>
          <w:rFonts w:cs="Arial"/>
          <w:kern w:val="28"/>
          <w:lang w:val="es-ES"/>
        </w:rPr>
        <w:t xml:space="preserve">, </w:t>
      </w:r>
      <w:r w:rsidR="0007600B" w:rsidRPr="2686DC8F">
        <w:rPr>
          <w:rFonts w:cs="Arial"/>
          <w:kern w:val="28"/>
          <w:lang w:val="es-ES"/>
        </w:rPr>
        <w:t xml:space="preserve">a excepción de algunas actas </w:t>
      </w:r>
      <w:r w:rsidR="004B40E8">
        <w:rPr>
          <w:rFonts w:cs="Arial"/>
          <w:kern w:val="28"/>
          <w:lang w:val="es-ES"/>
        </w:rPr>
        <w:t xml:space="preserve">sobre las cuales </w:t>
      </w:r>
      <w:r w:rsidR="005B765A">
        <w:rPr>
          <w:rFonts w:cs="Arial"/>
          <w:kern w:val="28"/>
          <w:lang w:val="es-ES"/>
        </w:rPr>
        <w:t xml:space="preserve">las delegaciones se comprometieron a </w:t>
      </w:r>
      <w:r w:rsidR="004D246B">
        <w:rPr>
          <w:rFonts w:cs="Arial"/>
          <w:kern w:val="28"/>
          <w:lang w:val="es-ES"/>
        </w:rPr>
        <w:t>verificar</w:t>
      </w:r>
      <w:r w:rsidR="001738CA">
        <w:rPr>
          <w:rFonts w:cs="Arial"/>
          <w:kern w:val="28"/>
          <w:lang w:val="es-ES"/>
        </w:rPr>
        <w:t xml:space="preserve"> (por ejemplo, </w:t>
      </w:r>
      <w:r w:rsidR="00B76FC4">
        <w:rPr>
          <w:rFonts w:cs="Arial"/>
          <w:kern w:val="28"/>
          <w:lang w:val="es-ES"/>
        </w:rPr>
        <w:t>Actas CN</w:t>
      </w:r>
      <w:r w:rsidR="00223D72">
        <w:rPr>
          <w:rFonts w:cs="Arial"/>
          <w:kern w:val="28"/>
          <w:lang w:val="es-ES"/>
        </w:rPr>
        <w:t xml:space="preserve"> </w:t>
      </w:r>
      <w:r w:rsidR="00447BFF">
        <w:rPr>
          <w:rFonts w:cs="Arial"/>
          <w:kern w:val="28"/>
          <w:lang w:val="es-ES"/>
        </w:rPr>
        <w:t xml:space="preserve">PPTA </w:t>
      </w:r>
      <w:r w:rsidR="00223D72">
        <w:rPr>
          <w:rFonts w:cs="Arial"/>
          <w:kern w:val="28"/>
          <w:lang w:val="es-ES"/>
        </w:rPr>
        <w:t>2002</w:t>
      </w:r>
      <w:r w:rsidR="00BA6880">
        <w:rPr>
          <w:rFonts w:cs="Arial"/>
          <w:kern w:val="28"/>
          <w:lang w:val="es-ES"/>
        </w:rPr>
        <w:t xml:space="preserve"> y </w:t>
      </w:r>
      <w:r w:rsidR="00447BFF">
        <w:rPr>
          <w:rFonts w:cs="Arial"/>
          <w:kern w:val="28"/>
          <w:lang w:val="es-ES"/>
        </w:rPr>
        <w:t xml:space="preserve">PPTB </w:t>
      </w:r>
      <w:r w:rsidR="00223D72">
        <w:rPr>
          <w:rFonts w:cs="Arial"/>
          <w:kern w:val="28"/>
          <w:lang w:val="es-ES"/>
        </w:rPr>
        <w:t>2004</w:t>
      </w:r>
      <w:r w:rsidR="00447BFF">
        <w:rPr>
          <w:rFonts w:cs="Arial"/>
          <w:kern w:val="28"/>
          <w:lang w:val="es-ES"/>
        </w:rPr>
        <w:t>)</w:t>
      </w:r>
      <w:r w:rsidR="00911E33">
        <w:rPr>
          <w:rFonts w:cs="Arial"/>
          <w:kern w:val="28"/>
          <w:lang w:val="es-ES"/>
        </w:rPr>
        <w:t>.</w:t>
      </w:r>
    </w:p>
    <w:p w14:paraId="4D5A3BCF" w14:textId="77777777" w:rsidR="004416A6" w:rsidRDefault="004416A6" w:rsidP="00671F92">
      <w:pPr>
        <w:widowControl w:val="0"/>
        <w:overflowPunct w:val="0"/>
        <w:adjustRightInd w:val="0"/>
        <w:jc w:val="both"/>
        <w:rPr>
          <w:rFonts w:cs="Arial"/>
          <w:kern w:val="28"/>
          <w:lang w:val="es-ES"/>
        </w:rPr>
      </w:pPr>
    </w:p>
    <w:p w14:paraId="406B55D6" w14:textId="61A7ED0B" w:rsidR="00A00389" w:rsidRDefault="00A00389" w:rsidP="00671F92">
      <w:pPr>
        <w:widowControl w:val="0"/>
        <w:overflowPunct w:val="0"/>
        <w:adjustRightInd w:val="0"/>
        <w:jc w:val="both"/>
        <w:rPr>
          <w:rFonts w:cs="Arial"/>
          <w:kern w:val="28"/>
          <w:lang w:val="es-ES"/>
        </w:rPr>
      </w:pPr>
      <w:r w:rsidRPr="28BCDE9A">
        <w:rPr>
          <w:rFonts w:cs="Arial"/>
          <w:kern w:val="28"/>
          <w:lang w:val="es-ES"/>
        </w:rPr>
        <w:t xml:space="preserve">Por </w:t>
      </w:r>
      <w:r w:rsidR="00447BFF">
        <w:rPr>
          <w:rFonts w:cs="Arial"/>
          <w:kern w:val="28"/>
          <w:lang w:val="es-ES"/>
        </w:rPr>
        <w:t>otra parte</w:t>
      </w:r>
      <w:r w:rsidRPr="28BCDE9A">
        <w:rPr>
          <w:rFonts w:cs="Arial"/>
          <w:kern w:val="28"/>
          <w:lang w:val="es-ES"/>
        </w:rPr>
        <w:t>, las delegaciones sugi</w:t>
      </w:r>
      <w:r w:rsidR="00C45C91" w:rsidRPr="28BCDE9A">
        <w:rPr>
          <w:rFonts w:cs="Arial"/>
          <w:kern w:val="28"/>
          <w:lang w:val="es-ES"/>
        </w:rPr>
        <w:t xml:space="preserve">rieron a la Secretaría del </w:t>
      </w:r>
      <w:r w:rsidR="00FA3E36">
        <w:rPr>
          <w:rFonts w:cs="Arial"/>
          <w:kern w:val="28"/>
          <w:lang w:val="es-ES"/>
        </w:rPr>
        <w:t>MERCOSUR</w:t>
      </w:r>
      <w:r w:rsidR="00C45C91" w:rsidRPr="28BCDE9A">
        <w:rPr>
          <w:rFonts w:cs="Arial"/>
          <w:kern w:val="28"/>
          <w:lang w:val="es-ES"/>
        </w:rPr>
        <w:t xml:space="preserve"> que sería conveniente </w:t>
      </w:r>
      <w:r w:rsidR="00EB5A84" w:rsidRPr="28BCDE9A">
        <w:rPr>
          <w:rFonts w:cs="Arial"/>
          <w:kern w:val="28"/>
          <w:lang w:val="es-ES"/>
        </w:rPr>
        <w:t>incluir un filtro</w:t>
      </w:r>
      <w:r w:rsidR="00EA0811" w:rsidRPr="28BCDE9A">
        <w:rPr>
          <w:rFonts w:cs="Arial"/>
          <w:kern w:val="28"/>
          <w:lang w:val="es-ES"/>
        </w:rPr>
        <w:t xml:space="preserve"> en la sección </w:t>
      </w:r>
      <w:r w:rsidR="00C67C85">
        <w:rPr>
          <w:rFonts w:cs="Arial"/>
          <w:kern w:val="28"/>
          <w:lang w:val="es-ES"/>
        </w:rPr>
        <w:t>Publicaciones</w:t>
      </w:r>
      <w:r w:rsidR="00EA0811" w:rsidRPr="28BCDE9A">
        <w:rPr>
          <w:rFonts w:cs="Arial"/>
          <w:kern w:val="28"/>
          <w:lang w:val="es-ES"/>
        </w:rPr>
        <w:t xml:space="preserve"> del </w:t>
      </w:r>
      <w:r w:rsidR="00FA3E36">
        <w:rPr>
          <w:rFonts w:cs="Arial"/>
          <w:kern w:val="28"/>
          <w:lang w:val="es-ES"/>
        </w:rPr>
        <w:t>Portal Web</w:t>
      </w:r>
      <w:r w:rsidR="00EA0811" w:rsidRPr="28BCDE9A">
        <w:rPr>
          <w:rFonts w:cs="Arial"/>
          <w:kern w:val="28"/>
          <w:lang w:val="es-ES"/>
        </w:rPr>
        <w:t xml:space="preserve"> del </w:t>
      </w:r>
      <w:r w:rsidR="00FA3E36">
        <w:rPr>
          <w:rFonts w:cs="Arial"/>
          <w:kern w:val="28"/>
          <w:lang w:val="es-ES"/>
        </w:rPr>
        <w:t>MERCOSUR</w:t>
      </w:r>
      <w:r w:rsidR="00EB5A84" w:rsidRPr="28BCDE9A">
        <w:rPr>
          <w:rFonts w:cs="Arial"/>
          <w:kern w:val="28"/>
          <w:lang w:val="es-ES"/>
        </w:rPr>
        <w:t xml:space="preserve"> que permita identificar las </w:t>
      </w:r>
      <w:r w:rsidR="009A0864">
        <w:rPr>
          <w:rFonts w:cs="Arial"/>
          <w:kern w:val="28"/>
          <w:lang w:val="es-ES"/>
        </w:rPr>
        <w:t>publicaciones</w:t>
      </w:r>
      <w:r w:rsidR="00EB5A84" w:rsidRPr="28BCDE9A">
        <w:rPr>
          <w:rFonts w:cs="Arial"/>
          <w:kern w:val="28"/>
          <w:lang w:val="es-ES"/>
        </w:rPr>
        <w:t xml:space="preserve"> correspondientes </w:t>
      </w:r>
      <w:r w:rsidR="00995364" w:rsidRPr="28BCDE9A">
        <w:rPr>
          <w:rFonts w:cs="Arial"/>
          <w:kern w:val="28"/>
          <w:lang w:val="es-ES"/>
        </w:rPr>
        <w:t>a cada grupo de t</w:t>
      </w:r>
      <w:r w:rsidR="00D347FB" w:rsidRPr="28BCDE9A">
        <w:rPr>
          <w:rFonts w:cs="Arial"/>
          <w:kern w:val="28"/>
          <w:lang w:val="es-ES"/>
        </w:rPr>
        <w:t>rabajo</w:t>
      </w:r>
      <w:r w:rsidR="004D172C" w:rsidRPr="28BCDE9A">
        <w:rPr>
          <w:rFonts w:cs="Arial"/>
          <w:kern w:val="28"/>
          <w:lang w:val="es-ES"/>
        </w:rPr>
        <w:t xml:space="preserve"> (por ejemplo, el SGT</w:t>
      </w:r>
      <w:r w:rsidR="00FA3E36">
        <w:rPr>
          <w:rFonts w:cs="Arial"/>
          <w:kern w:val="28"/>
          <w:lang w:val="es-ES"/>
        </w:rPr>
        <w:t xml:space="preserve"> </w:t>
      </w:r>
      <w:proofErr w:type="spellStart"/>
      <w:r w:rsidR="00FA3E36">
        <w:rPr>
          <w:rFonts w:cs="Arial"/>
          <w:kern w:val="28"/>
          <w:lang w:val="es-ES"/>
        </w:rPr>
        <w:t>N°</w:t>
      </w:r>
      <w:proofErr w:type="spellEnd"/>
      <w:r w:rsidR="00FA3E36">
        <w:rPr>
          <w:rFonts w:cs="Arial"/>
          <w:kern w:val="28"/>
          <w:lang w:val="es-ES"/>
        </w:rPr>
        <w:t xml:space="preserve"> </w:t>
      </w:r>
      <w:r w:rsidR="004D172C" w:rsidRPr="28BCDE9A">
        <w:rPr>
          <w:rFonts w:cs="Arial"/>
          <w:kern w:val="28"/>
          <w:lang w:val="es-ES"/>
        </w:rPr>
        <w:t>4).</w:t>
      </w:r>
    </w:p>
    <w:p w14:paraId="422A9586" w14:textId="77777777" w:rsidR="0020003F" w:rsidRDefault="0020003F" w:rsidP="00671F92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</w:p>
    <w:p w14:paraId="1E6CF6DA" w14:textId="7BE0A8F3" w:rsidR="001555FE" w:rsidRPr="003221C4" w:rsidRDefault="00AA63E3" w:rsidP="00202838">
      <w:pPr>
        <w:widowControl w:val="0"/>
        <w:overflowPunct w:val="0"/>
        <w:adjustRightInd w:val="0"/>
        <w:ind w:left="1134" w:hanging="567"/>
        <w:jc w:val="both"/>
        <w:rPr>
          <w:rFonts w:cs="Arial"/>
          <w:b/>
          <w:kern w:val="28"/>
          <w:szCs w:val="24"/>
          <w:lang w:val="es-ES"/>
        </w:rPr>
      </w:pPr>
      <w:r w:rsidRPr="003221C4">
        <w:rPr>
          <w:rFonts w:cs="Arial"/>
          <w:b/>
          <w:kern w:val="28"/>
          <w:szCs w:val="24"/>
          <w:lang w:val="es-ES"/>
        </w:rPr>
        <w:t>6</w:t>
      </w:r>
      <w:r w:rsidR="001C4EBE" w:rsidRPr="003221C4">
        <w:rPr>
          <w:rFonts w:cs="Arial"/>
          <w:b/>
          <w:kern w:val="28"/>
          <w:szCs w:val="24"/>
          <w:lang w:val="es-ES"/>
        </w:rPr>
        <w:t>.2.</w:t>
      </w:r>
      <w:r w:rsidR="001555FE" w:rsidRPr="003221C4">
        <w:rPr>
          <w:rFonts w:cs="Arial"/>
          <w:b/>
          <w:kern w:val="28"/>
          <w:szCs w:val="24"/>
          <w:lang w:val="es-ES"/>
        </w:rPr>
        <w:t xml:space="preserve">   </w:t>
      </w:r>
      <w:r w:rsidRPr="003221C4">
        <w:rPr>
          <w:rFonts w:cs="Arial"/>
          <w:b/>
          <w:kern w:val="28"/>
          <w:szCs w:val="24"/>
          <w:lang w:val="es-ES"/>
        </w:rPr>
        <w:t>P</w:t>
      </w:r>
      <w:r w:rsidR="00E0042B">
        <w:rPr>
          <w:rFonts w:cs="Arial"/>
          <w:b/>
          <w:kern w:val="28"/>
          <w:szCs w:val="24"/>
          <w:lang w:val="es-ES"/>
        </w:rPr>
        <w:t xml:space="preserve">lantilla Carátula para documentos a ser publicados en el </w:t>
      </w:r>
      <w:r w:rsidR="00FA3E36">
        <w:rPr>
          <w:rFonts w:cs="Arial"/>
          <w:b/>
          <w:kern w:val="28"/>
          <w:szCs w:val="24"/>
          <w:lang w:val="es-ES"/>
        </w:rPr>
        <w:t>Portal Web</w:t>
      </w:r>
      <w:r w:rsidR="00E0042B">
        <w:rPr>
          <w:rFonts w:cs="Arial"/>
          <w:b/>
          <w:kern w:val="28"/>
          <w:szCs w:val="24"/>
          <w:lang w:val="es-ES"/>
        </w:rPr>
        <w:t xml:space="preserve"> del </w:t>
      </w:r>
      <w:r w:rsidR="00FA3E36">
        <w:rPr>
          <w:rFonts w:cs="Arial"/>
          <w:b/>
          <w:kern w:val="28"/>
          <w:szCs w:val="24"/>
          <w:lang w:val="es-ES"/>
        </w:rPr>
        <w:t>MERCOSUR</w:t>
      </w:r>
      <w:r w:rsidR="00E0042B">
        <w:rPr>
          <w:rFonts w:cs="Arial"/>
          <w:b/>
          <w:kern w:val="28"/>
          <w:szCs w:val="24"/>
          <w:lang w:val="es-ES"/>
        </w:rPr>
        <w:t>.</w:t>
      </w:r>
    </w:p>
    <w:p w14:paraId="54EA2A2B" w14:textId="77777777" w:rsidR="001555FE" w:rsidRPr="003221C4" w:rsidRDefault="001555FE" w:rsidP="00534B45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</w:p>
    <w:p w14:paraId="3798852A" w14:textId="0361BEBE" w:rsidR="005373BC" w:rsidRDefault="00E0042B" w:rsidP="45CAD804">
      <w:pPr>
        <w:widowControl w:val="0"/>
        <w:jc w:val="both"/>
        <w:rPr>
          <w:rFonts w:cs="Arial"/>
          <w:b/>
          <w:bCs/>
          <w:lang w:val="es-ES"/>
        </w:rPr>
      </w:pPr>
      <w:r w:rsidRPr="2070D9A4">
        <w:rPr>
          <w:rFonts w:cs="Arial"/>
          <w:kern w:val="28"/>
          <w:lang w:val="es-ES"/>
        </w:rPr>
        <w:t>La</w:t>
      </w:r>
      <w:r w:rsidR="2B809FBB" w:rsidRPr="2070D9A4">
        <w:rPr>
          <w:rFonts w:cs="Arial"/>
          <w:kern w:val="28"/>
          <w:lang w:val="es-ES"/>
        </w:rPr>
        <w:t>s</w:t>
      </w:r>
      <w:r w:rsidRPr="2070D9A4">
        <w:rPr>
          <w:rFonts w:cs="Arial"/>
          <w:kern w:val="28"/>
          <w:lang w:val="es-ES"/>
        </w:rPr>
        <w:t xml:space="preserve"> delegaci</w:t>
      </w:r>
      <w:r w:rsidR="43655AE5" w:rsidRPr="2070D9A4">
        <w:rPr>
          <w:rFonts w:cs="Arial"/>
          <w:kern w:val="28"/>
          <w:lang w:val="es-ES"/>
        </w:rPr>
        <w:t>ones aprobaron el uso de la</w:t>
      </w:r>
      <w:r w:rsidRPr="2070D9A4">
        <w:rPr>
          <w:rFonts w:cs="Arial"/>
          <w:kern w:val="28"/>
          <w:lang w:val="es-ES"/>
        </w:rPr>
        <w:t xml:space="preserve"> plantilla carátula para los documentos a ser </w:t>
      </w:r>
      <w:r w:rsidR="00546F7D">
        <w:rPr>
          <w:rFonts w:cs="Arial"/>
          <w:kern w:val="28"/>
          <w:lang w:val="es-ES"/>
        </w:rPr>
        <w:t>divulgados</w:t>
      </w:r>
      <w:r w:rsidR="00B0040B">
        <w:rPr>
          <w:rFonts w:cs="Arial"/>
          <w:kern w:val="28"/>
          <w:lang w:val="es-ES"/>
        </w:rPr>
        <w:t xml:space="preserve"> en el apartado “Publicaciones”</w:t>
      </w:r>
      <w:r w:rsidRPr="2070D9A4">
        <w:rPr>
          <w:rFonts w:cs="Arial"/>
          <w:kern w:val="28"/>
          <w:lang w:val="es-ES"/>
        </w:rPr>
        <w:t xml:space="preserve"> en el </w:t>
      </w:r>
      <w:r w:rsidR="00FA3E36">
        <w:rPr>
          <w:rFonts w:cs="Arial"/>
          <w:kern w:val="28"/>
          <w:lang w:val="es-ES"/>
        </w:rPr>
        <w:t>Portal Web</w:t>
      </w:r>
      <w:r w:rsidRPr="2070D9A4">
        <w:rPr>
          <w:rFonts w:cs="Arial"/>
          <w:kern w:val="28"/>
          <w:lang w:val="es-ES"/>
        </w:rPr>
        <w:t xml:space="preserve"> del </w:t>
      </w:r>
      <w:r w:rsidR="00FA3E36">
        <w:rPr>
          <w:rFonts w:cs="Arial"/>
          <w:kern w:val="28"/>
          <w:lang w:val="es-ES"/>
        </w:rPr>
        <w:t>MERCOSUR</w:t>
      </w:r>
      <w:r w:rsidR="73AB5CD8" w:rsidRPr="2070D9A4">
        <w:rPr>
          <w:rFonts w:cs="Arial"/>
          <w:kern w:val="28"/>
          <w:lang w:val="es-ES"/>
        </w:rPr>
        <w:t xml:space="preserve"> que fue presentada por la delegación de Argentina.</w:t>
      </w:r>
      <w:r w:rsidR="07F4A07A" w:rsidRPr="2070D9A4">
        <w:rPr>
          <w:rFonts w:cs="Arial"/>
          <w:kern w:val="28"/>
          <w:lang w:val="es-ES"/>
        </w:rPr>
        <w:t xml:space="preserve"> </w:t>
      </w:r>
      <w:r w:rsidR="07F4A07A" w:rsidRPr="45CAD804">
        <w:rPr>
          <w:rFonts w:cs="Arial"/>
          <w:lang w:val="es-ES"/>
        </w:rPr>
        <w:t xml:space="preserve">Se incorpora la </w:t>
      </w:r>
      <w:r w:rsidR="07F4A07A" w:rsidRPr="591F7200">
        <w:rPr>
          <w:rFonts w:cs="Arial"/>
          <w:lang w:val="es-ES"/>
        </w:rPr>
        <w:t>pla</w:t>
      </w:r>
      <w:r w:rsidR="5805A0D3" w:rsidRPr="591F7200">
        <w:rPr>
          <w:rFonts w:cs="Arial"/>
          <w:lang w:val="es-ES"/>
        </w:rPr>
        <w:t>n</w:t>
      </w:r>
      <w:r w:rsidR="07F4A07A" w:rsidRPr="591F7200">
        <w:rPr>
          <w:rFonts w:cs="Arial"/>
          <w:lang w:val="es-ES"/>
        </w:rPr>
        <w:t>tilla</w:t>
      </w:r>
      <w:r w:rsidR="07F4A07A" w:rsidRPr="6250BC0D">
        <w:rPr>
          <w:rFonts w:cs="Arial"/>
          <w:lang w:val="es-ES"/>
        </w:rPr>
        <w:t xml:space="preserve"> </w:t>
      </w:r>
      <w:r w:rsidR="07F4A07A" w:rsidRPr="5E4B4431">
        <w:rPr>
          <w:rFonts w:cs="Arial"/>
          <w:lang w:val="es-ES"/>
        </w:rPr>
        <w:t>carátula</w:t>
      </w:r>
      <w:r w:rsidR="07F4A07A" w:rsidRPr="45CAD804">
        <w:rPr>
          <w:rFonts w:cs="Arial"/>
          <w:lang w:val="es-ES"/>
        </w:rPr>
        <w:t xml:space="preserve"> como </w:t>
      </w:r>
      <w:r w:rsidR="07F4A07A" w:rsidRPr="004C111D">
        <w:rPr>
          <w:rFonts w:cs="Arial"/>
          <w:b/>
          <w:bCs/>
          <w:lang w:val="es-ES"/>
        </w:rPr>
        <w:t>Anexo XIII.</w:t>
      </w:r>
    </w:p>
    <w:p w14:paraId="55E807BC" w14:textId="4489710B" w:rsidR="005373BC" w:rsidRDefault="005373BC" w:rsidP="232196D3">
      <w:pPr>
        <w:jc w:val="both"/>
        <w:rPr>
          <w:rFonts w:cs="Arial"/>
          <w:kern w:val="28"/>
          <w:lang w:val="es-ES"/>
        </w:rPr>
      </w:pPr>
    </w:p>
    <w:p w14:paraId="41110111" w14:textId="4D05B372" w:rsidR="001C4EBE" w:rsidRPr="0020003F" w:rsidRDefault="005373BC" w:rsidP="0020003F">
      <w:pPr>
        <w:widowControl w:val="0"/>
        <w:overflowPunct w:val="0"/>
        <w:adjustRightInd w:val="0"/>
        <w:ind w:left="1134" w:hanging="567"/>
        <w:jc w:val="both"/>
        <w:rPr>
          <w:lang w:val="es-ES"/>
        </w:rPr>
      </w:pPr>
      <w:r w:rsidRPr="003221C4">
        <w:rPr>
          <w:rFonts w:cs="Arial"/>
          <w:b/>
          <w:kern w:val="28"/>
          <w:szCs w:val="24"/>
          <w:lang w:val="es-ES"/>
        </w:rPr>
        <w:t xml:space="preserve">6.3.   </w:t>
      </w:r>
      <w:r w:rsidR="002C68F4" w:rsidRPr="003221C4">
        <w:rPr>
          <w:rFonts w:cs="Arial"/>
          <w:b/>
          <w:kern w:val="28"/>
          <w:szCs w:val="24"/>
          <w:lang w:val="es-ES"/>
        </w:rPr>
        <w:t xml:space="preserve">Noticias y Publicaciones en el </w:t>
      </w:r>
      <w:r w:rsidR="00FA3E36">
        <w:rPr>
          <w:rFonts w:cs="Arial"/>
          <w:b/>
          <w:kern w:val="28"/>
          <w:szCs w:val="24"/>
          <w:lang w:val="es-ES"/>
        </w:rPr>
        <w:t>P</w:t>
      </w:r>
      <w:r w:rsidR="002C68F4" w:rsidRPr="003221C4">
        <w:rPr>
          <w:rFonts w:cs="Arial"/>
          <w:b/>
          <w:kern w:val="28"/>
          <w:szCs w:val="24"/>
          <w:lang w:val="es-ES"/>
        </w:rPr>
        <w:t xml:space="preserve">ortal </w:t>
      </w:r>
      <w:r w:rsidR="00FA3E36">
        <w:rPr>
          <w:rFonts w:cs="Arial"/>
          <w:b/>
          <w:kern w:val="28"/>
          <w:szCs w:val="24"/>
          <w:lang w:val="es-ES"/>
        </w:rPr>
        <w:t>W</w:t>
      </w:r>
      <w:r w:rsidR="002C68F4" w:rsidRPr="003221C4">
        <w:rPr>
          <w:rFonts w:cs="Arial"/>
          <w:b/>
          <w:kern w:val="28"/>
          <w:szCs w:val="24"/>
          <w:lang w:val="es-ES"/>
        </w:rPr>
        <w:t xml:space="preserve">eb del </w:t>
      </w:r>
      <w:r w:rsidR="00FA3E36">
        <w:rPr>
          <w:rFonts w:cs="Arial"/>
          <w:b/>
          <w:kern w:val="28"/>
          <w:szCs w:val="24"/>
          <w:lang w:val="es-ES"/>
        </w:rPr>
        <w:t>MERCOSUR</w:t>
      </w:r>
      <w:r w:rsidR="001C4EBE" w:rsidRPr="003221C4">
        <w:rPr>
          <w:rFonts w:cs="Arial"/>
          <w:b/>
          <w:kern w:val="28"/>
          <w:szCs w:val="24"/>
          <w:lang w:val="es-ES"/>
        </w:rPr>
        <w:t xml:space="preserve"> </w:t>
      </w:r>
    </w:p>
    <w:p w14:paraId="4462C796" w14:textId="77777777" w:rsidR="00671F92" w:rsidRPr="003221C4" w:rsidRDefault="00671F92" w:rsidP="001C4EBE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es-ES"/>
        </w:rPr>
      </w:pPr>
    </w:p>
    <w:p w14:paraId="5DD74009" w14:textId="252B59D6" w:rsidR="00F02261" w:rsidRPr="003221C4" w:rsidRDefault="00671F92" w:rsidP="001C4EBE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es-ES"/>
        </w:rPr>
      </w:pPr>
      <w:r w:rsidRPr="003221C4">
        <w:rPr>
          <w:rFonts w:cs="Arial"/>
          <w:bCs/>
          <w:kern w:val="28"/>
          <w:szCs w:val="24"/>
          <w:lang w:val="es-ES"/>
        </w:rPr>
        <w:t xml:space="preserve">Los Coordinadores Nacionales, utilizando como base la información proporcionada por las Comisiones, elaboraron la nota de prensa con las principales novedades desde la última reunión del SGT </w:t>
      </w:r>
      <w:proofErr w:type="spellStart"/>
      <w:r w:rsidRPr="003221C4">
        <w:rPr>
          <w:rFonts w:cs="Arial"/>
          <w:bCs/>
          <w:kern w:val="28"/>
          <w:szCs w:val="24"/>
          <w:lang w:val="es-ES"/>
        </w:rPr>
        <w:t>N°</w:t>
      </w:r>
      <w:proofErr w:type="spellEnd"/>
      <w:r w:rsidRPr="003221C4">
        <w:rPr>
          <w:rFonts w:cs="Arial"/>
          <w:bCs/>
          <w:kern w:val="28"/>
          <w:szCs w:val="24"/>
          <w:lang w:val="es-ES"/>
        </w:rPr>
        <w:t xml:space="preserve"> 4. Dicha Nota será enviada a la SM/UCIM solicitando su publicación en </w:t>
      </w:r>
      <w:r w:rsidR="002C68F4" w:rsidRPr="003221C4">
        <w:rPr>
          <w:rFonts w:cs="Arial"/>
          <w:bCs/>
          <w:kern w:val="28"/>
          <w:szCs w:val="24"/>
          <w:lang w:val="es-ES"/>
        </w:rPr>
        <w:t xml:space="preserve">el </w:t>
      </w:r>
      <w:r w:rsidR="00FA3E36">
        <w:rPr>
          <w:rFonts w:cs="Arial"/>
          <w:bCs/>
          <w:kern w:val="28"/>
          <w:szCs w:val="24"/>
          <w:lang w:val="es-ES"/>
        </w:rPr>
        <w:t>P</w:t>
      </w:r>
      <w:r w:rsidR="002C68F4" w:rsidRPr="003221C4">
        <w:rPr>
          <w:rFonts w:cs="Arial"/>
          <w:bCs/>
          <w:kern w:val="28"/>
          <w:szCs w:val="24"/>
          <w:lang w:val="es-ES"/>
        </w:rPr>
        <w:t xml:space="preserve">ortal </w:t>
      </w:r>
      <w:r w:rsidR="00FA3E36">
        <w:rPr>
          <w:rFonts w:cs="Arial"/>
          <w:bCs/>
          <w:kern w:val="28"/>
          <w:szCs w:val="24"/>
          <w:lang w:val="es-ES"/>
        </w:rPr>
        <w:t>W</w:t>
      </w:r>
      <w:r w:rsidR="002C68F4" w:rsidRPr="003221C4">
        <w:rPr>
          <w:rFonts w:cs="Arial"/>
          <w:bCs/>
          <w:kern w:val="28"/>
          <w:szCs w:val="24"/>
          <w:lang w:val="es-ES"/>
        </w:rPr>
        <w:t>eb</w:t>
      </w:r>
      <w:r w:rsidRPr="003221C4">
        <w:rPr>
          <w:rFonts w:cs="Arial"/>
          <w:bCs/>
          <w:kern w:val="28"/>
          <w:szCs w:val="24"/>
          <w:lang w:val="es-ES"/>
        </w:rPr>
        <w:t xml:space="preserve"> del </w:t>
      </w:r>
      <w:r w:rsidR="00FA3E36">
        <w:rPr>
          <w:rFonts w:cs="Arial"/>
          <w:bCs/>
          <w:kern w:val="28"/>
          <w:szCs w:val="24"/>
          <w:lang w:val="es-ES"/>
        </w:rPr>
        <w:t>MERCOSUR</w:t>
      </w:r>
      <w:r w:rsidRPr="003221C4">
        <w:rPr>
          <w:rFonts w:cs="Arial"/>
          <w:bCs/>
          <w:kern w:val="28"/>
          <w:szCs w:val="24"/>
          <w:lang w:val="es-ES"/>
        </w:rPr>
        <w:t xml:space="preserve">. La </w:t>
      </w:r>
      <w:r w:rsidR="000209BB" w:rsidRPr="003221C4">
        <w:rPr>
          <w:rFonts w:cs="Arial"/>
          <w:bCs/>
          <w:kern w:val="28"/>
          <w:szCs w:val="24"/>
          <w:lang w:val="es-ES"/>
        </w:rPr>
        <w:t>nota de prensa</w:t>
      </w:r>
      <w:r w:rsidRPr="003221C4">
        <w:rPr>
          <w:rFonts w:cs="Arial"/>
          <w:bCs/>
          <w:kern w:val="28"/>
          <w:szCs w:val="24"/>
          <w:lang w:val="es-ES"/>
        </w:rPr>
        <w:t xml:space="preserve"> consta </w:t>
      </w:r>
      <w:r w:rsidRPr="004C111D">
        <w:rPr>
          <w:rFonts w:cs="Arial"/>
          <w:bCs/>
          <w:kern w:val="28"/>
          <w:szCs w:val="24"/>
          <w:lang w:val="es-ES"/>
        </w:rPr>
        <w:t>como</w:t>
      </w:r>
      <w:r w:rsidRPr="004C111D">
        <w:rPr>
          <w:rFonts w:cs="Arial"/>
          <w:b/>
          <w:kern w:val="28"/>
          <w:szCs w:val="24"/>
          <w:lang w:val="es-ES"/>
        </w:rPr>
        <w:t xml:space="preserve"> Anex</w:t>
      </w:r>
      <w:r w:rsidR="0020003F" w:rsidRPr="004C111D">
        <w:rPr>
          <w:rFonts w:cs="Arial"/>
          <w:b/>
          <w:kern w:val="28"/>
          <w:szCs w:val="24"/>
          <w:lang w:val="es-ES"/>
        </w:rPr>
        <w:t xml:space="preserve">o </w:t>
      </w:r>
      <w:r w:rsidR="00756F5A" w:rsidRPr="004C111D">
        <w:rPr>
          <w:rFonts w:cs="Arial"/>
          <w:b/>
          <w:kern w:val="28"/>
          <w:szCs w:val="24"/>
          <w:lang w:val="es-ES"/>
        </w:rPr>
        <w:t>X</w:t>
      </w:r>
      <w:r w:rsidR="00FA3E36" w:rsidRPr="004C111D">
        <w:rPr>
          <w:rFonts w:cs="Arial"/>
          <w:b/>
          <w:kern w:val="28"/>
          <w:szCs w:val="24"/>
          <w:lang w:val="es-ES"/>
        </w:rPr>
        <w:t>IV.</w:t>
      </w:r>
      <w:r w:rsidR="00F02261" w:rsidRPr="003221C4">
        <w:rPr>
          <w:rFonts w:cs="Arial"/>
          <w:b/>
          <w:kern w:val="28"/>
          <w:szCs w:val="24"/>
          <w:lang w:val="es-ES"/>
        </w:rPr>
        <w:t xml:space="preserve"> </w:t>
      </w:r>
    </w:p>
    <w:p w14:paraId="668DB97F" w14:textId="77777777" w:rsidR="00F02261" w:rsidRPr="003221C4" w:rsidRDefault="00F02261" w:rsidP="001C4EBE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es-ES"/>
        </w:rPr>
      </w:pPr>
    </w:p>
    <w:p w14:paraId="4C0395D3" w14:textId="77777777" w:rsidR="0020003F" w:rsidRDefault="00F02261" w:rsidP="001C4EBE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  <w:r w:rsidRPr="003221C4">
        <w:rPr>
          <w:rFonts w:cs="Arial"/>
          <w:bCs/>
          <w:kern w:val="28"/>
          <w:szCs w:val="24"/>
          <w:lang w:val="es-ES"/>
        </w:rPr>
        <w:t>Asimismo, enviarán para su publicación los siguientes contenidos sustantivos</w:t>
      </w:r>
      <w:r w:rsidR="0020003F">
        <w:rPr>
          <w:rFonts w:cs="Arial"/>
          <w:bCs/>
          <w:kern w:val="28"/>
          <w:szCs w:val="24"/>
          <w:lang w:val="es-ES"/>
        </w:rPr>
        <w:t>:</w:t>
      </w:r>
      <w:r w:rsidRPr="003221C4">
        <w:rPr>
          <w:rFonts w:cs="Arial"/>
          <w:bCs/>
          <w:kern w:val="28"/>
          <w:szCs w:val="24"/>
          <w:lang w:val="es-ES"/>
        </w:rPr>
        <w:t xml:space="preserve"> </w:t>
      </w:r>
    </w:p>
    <w:p w14:paraId="119AD773" w14:textId="77777777" w:rsidR="0020003F" w:rsidRDefault="0020003F" w:rsidP="001C4EBE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</w:p>
    <w:p w14:paraId="5B24365C" w14:textId="32E7440F" w:rsidR="00391110" w:rsidRPr="0020003F" w:rsidRDefault="0020003F" w:rsidP="2070D9A4">
      <w:pPr>
        <w:pStyle w:val="Prrafodelista"/>
        <w:widowControl w:val="0"/>
        <w:numPr>
          <w:ilvl w:val="0"/>
          <w:numId w:val="6"/>
        </w:numPr>
        <w:overflowPunct w:val="0"/>
        <w:adjustRightInd w:val="0"/>
        <w:jc w:val="both"/>
        <w:rPr>
          <w:rFonts w:cs="Arial"/>
          <w:kern w:val="28"/>
          <w:lang w:val="es-ES"/>
        </w:rPr>
      </w:pPr>
      <w:r w:rsidRPr="2070D9A4">
        <w:rPr>
          <w:rFonts w:cs="Arial"/>
          <w:kern w:val="28"/>
          <w:lang w:val="es-ES"/>
        </w:rPr>
        <w:t>E</w:t>
      </w:r>
      <w:r w:rsidR="00F02261" w:rsidRPr="2070D9A4">
        <w:rPr>
          <w:rFonts w:cs="Arial"/>
          <w:kern w:val="28"/>
          <w:lang w:val="es-ES"/>
        </w:rPr>
        <w:t>laborado por la Comisión de</w:t>
      </w:r>
      <w:r w:rsidR="5A398C05" w:rsidRPr="2070D9A4">
        <w:rPr>
          <w:rFonts w:cs="Arial"/>
          <w:kern w:val="28"/>
          <w:lang w:val="es-ES"/>
        </w:rPr>
        <w:t>l</w:t>
      </w:r>
      <w:r w:rsidR="00F02261" w:rsidRPr="2070D9A4">
        <w:rPr>
          <w:rFonts w:cs="Arial"/>
          <w:kern w:val="28"/>
          <w:lang w:val="es-ES"/>
        </w:rPr>
        <w:t xml:space="preserve"> Sistema Bancario:</w:t>
      </w:r>
      <w:r w:rsidRPr="2070D9A4">
        <w:rPr>
          <w:rFonts w:cs="Arial"/>
          <w:kern w:val="28"/>
          <w:lang w:val="es-ES"/>
        </w:rPr>
        <w:t xml:space="preserve"> </w:t>
      </w:r>
      <w:r w:rsidR="00391110" w:rsidRPr="2070D9A4">
        <w:rPr>
          <w:rFonts w:cs="Arial"/>
          <w:kern w:val="28"/>
        </w:rPr>
        <w:t>C</w:t>
      </w:r>
      <w:r w:rsidR="206EB652" w:rsidRPr="2070D9A4">
        <w:rPr>
          <w:rFonts w:cs="Arial"/>
          <w:kern w:val="28"/>
        </w:rPr>
        <w:t>uadro</w:t>
      </w:r>
      <w:r w:rsidR="00693965">
        <w:rPr>
          <w:rFonts w:cs="Arial"/>
          <w:kern w:val="28"/>
        </w:rPr>
        <w:t xml:space="preserve"> Comparativo de Normas.</w:t>
      </w:r>
    </w:p>
    <w:p w14:paraId="47E14662" w14:textId="77777777" w:rsidR="0020003F" w:rsidRPr="0020003F" w:rsidRDefault="0020003F" w:rsidP="0020003F">
      <w:pPr>
        <w:pStyle w:val="Prrafodelista"/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</w:p>
    <w:p w14:paraId="3BC9ED09" w14:textId="753E2C88" w:rsidR="0020003F" w:rsidRPr="0020003F" w:rsidRDefault="0020003F" w:rsidP="0020003F">
      <w:pPr>
        <w:pStyle w:val="Prrafodelista"/>
        <w:widowControl w:val="0"/>
        <w:numPr>
          <w:ilvl w:val="0"/>
          <w:numId w:val="6"/>
        </w:numPr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  <w:r w:rsidRPr="0020003F">
        <w:rPr>
          <w:rFonts w:cs="Arial"/>
          <w:bCs/>
          <w:kern w:val="28"/>
          <w:szCs w:val="24"/>
          <w:lang w:val="es-ES"/>
        </w:rPr>
        <w:t>Elaborado por la Comisión del Mercado de Valores:</w:t>
      </w:r>
      <w:r>
        <w:rPr>
          <w:rFonts w:cs="Arial"/>
          <w:bCs/>
          <w:kern w:val="28"/>
          <w:szCs w:val="24"/>
          <w:lang w:val="es-ES"/>
        </w:rPr>
        <w:t xml:space="preserve"> Cuadro</w:t>
      </w:r>
      <w:r w:rsidR="005E5054">
        <w:rPr>
          <w:rFonts w:cs="Arial"/>
          <w:bCs/>
          <w:kern w:val="28"/>
          <w:szCs w:val="24"/>
          <w:lang w:val="es-ES"/>
        </w:rPr>
        <w:t xml:space="preserve"> </w:t>
      </w:r>
      <w:r w:rsidR="005E5054" w:rsidRPr="005E5054">
        <w:rPr>
          <w:rFonts w:cs="Arial"/>
          <w:kern w:val="28"/>
        </w:rPr>
        <w:t xml:space="preserve">Consolidado de las Estadísticas del Mercado Financiero de los socios del </w:t>
      </w:r>
      <w:r w:rsidR="00FA3E36">
        <w:rPr>
          <w:rFonts w:cs="Arial"/>
          <w:kern w:val="28"/>
        </w:rPr>
        <w:t>MERCOSUR</w:t>
      </w:r>
      <w:r w:rsidR="001B1276">
        <w:rPr>
          <w:rFonts w:cs="Arial"/>
          <w:kern w:val="28"/>
        </w:rPr>
        <w:t>.</w:t>
      </w:r>
    </w:p>
    <w:p w14:paraId="6CE4773C" w14:textId="3027AB4D" w:rsidR="00AA63E3" w:rsidRPr="003221C4" w:rsidRDefault="00AA63E3" w:rsidP="001C4EBE">
      <w:pPr>
        <w:widowControl w:val="0"/>
        <w:overflowPunct w:val="0"/>
        <w:adjustRightInd w:val="0"/>
        <w:jc w:val="both"/>
        <w:rPr>
          <w:rFonts w:cs="Arial"/>
          <w:kern w:val="28"/>
          <w:lang w:val="es-ES"/>
        </w:rPr>
      </w:pPr>
    </w:p>
    <w:p w14:paraId="452C8CE4" w14:textId="3F459C2F" w:rsidR="002C68F4" w:rsidRDefault="002C68F4" w:rsidP="001C4EBE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</w:rPr>
      </w:pPr>
      <w:r w:rsidRPr="003221C4">
        <w:rPr>
          <w:rFonts w:cs="Arial"/>
          <w:bCs/>
          <w:kern w:val="28"/>
          <w:szCs w:val="24"/>
          <w:lang w:val="es-ES"/>
        </w:rPr>
        <w:t>Todas la</w:t>
      </w:r>
      <w:r w:rsidR="005D248A" w:rsidRPr="003221C4">
        <w:rPr>
          <w:rFonts w:cs="Arial"/>
          <w:bCs/>
          <w:kern w:val="28"/>
          <w:szCs w:val="24"/>
          <w:lang w:val="es-ES"/>
        </w:rPr>
        <w:t>s solicitudes de</w:t>
      </w:r>
      <w:r w:rsidRPr="003221C4">
        <w:rPr>
          <w:rFonts w:cs="Arial"/>
          <w:bCs/>
          <w:kern w:val="28"/>
          <w:szCs w:val="24"/>
          <w:lang w:val="es-ES"/>
        </w:rPr>
        <w:t xml:space="preserve"> publicaci</w:t>
      </w:r>
      <w:r w:rsidR="005D248A" w:rsidRPr="003221C4">
        <w:rPr>
          <w:rFonts w:cs="Arial"/>
          <w:bCs/>
          <w:kern w:val="28"/>
          <w:szCs w:val="24"/>
          <w:lang w:val="es-ES"/>
        </w:rPr>
        <w:t xml:space="preserve">ón </w:t>
      </w:r>
      <w:r w:rsidR="005D248A" w:rsidRPr="003221C4">
        <w:rPr>
          <w:rFonts w:cs="Arial"/>
          <w:bCs/>
          <w:kern w:val="28"/>
          <w:szCs w:val="24"/>
        </w:rPr>
        <w:t xml:space="preserve">se presentarán acompañadas de los formularios establecidos en la Decisión CMC </w:t>
      </w:r>
      <w:proofErr w:type="spellStart"/>
      <w:r w:rsidR="005D248A" w:rsidRPr="003221C4">
        <w:rPr>
          <w:rFonts w:cs="Arial"/>
          <w:bCs/>
          <w:kern w:val="28"/>
          <w:szCs w:val="24"/>
        </w:rPr>
        <w:t>Nº</w:t>
      </w:r>
      <w:proofErr w:type="spellEnd"/>
      <w:r w:rsidR="005D248A" w:rsidRPr="003221C4">
        <w:rPr>
          <w:rFonts w:cs="Arial"/>
          <w:bCs/>
          <w:kern w:val="28"/>
          <w:szCs w:val="24"/>
        </w:rPr>
        <w:t xml:space="preserve"> 26/21 y la Resolución GMC </w:t>
      </w:r>
      <w:proofErr w:type="spellStart"/>
      <w:r w:rsidR="005D248A" w:rsidRPr="003221C4">
        <w:rPr>
          <w:rFonts w:cs="Arial"/>
          <w:bCs/>
          <w:kern w:val="28"/>
          <w:szCs w:val="24"/>
        </w:rPr>
        <w:t>Nº</w:t>
      </w:r>
      <w:proofErr w:type="spellEnd"/>
      <w:r w:rsidR="005D248A" w:rsidRPr="003221C4">
        <w:rPr>
          <w:rFonts w:cs="Arial"/>
          <w:bCs/>
          <w:kern w:val="28"/>
          <w:szCs w:val="24"/>
        </w:rPr>
        <w:t xml:space="preserve"> 32/22 (reglamentación de la </w:t>
      </w:r>
      <w:proofErr w:type="spellStart"/>
      <w:r w:rsidR="005D248A" w:rsidRPr="003221C4">
        <w:rPr>
          <w:rFonts w:cs="Arial"/>
          <w:bCs/>
          <w:kern w:val="28"/>
          <w:szCs w:val="24"/>
        </w:rPr>
        <w:t>Dec</w:t>
      </w:r>
      <w:proofErr w:type="spellEnd"/>
      <w:r w:rsidR="005D248A" w:rsidRPr="003221C4">
        <w:rPr>
          <w:rFonts w:cs="Arial"/>
          <w:bCs/>
          <w:kern w:val="28"/>
          <w:szCs w:val="24"/>
        </w:rPr>
        <w:t xml:space="preserve">. CMC </w:t>
      </w:r>
      <w:proofErr w:type="spellStart"/>
      <w:r w:rsidR="005D248A" w:rsidRPr="003221C4">
        <w:rPr>
          <w:rFonts w:cs="Arial"/>
          <w:bCs/>
          <w:kern w:val="28"/>
          <w:szCs w:val="24"/>
        </w:rPr>
        <w:t>Nº</w:t>
      </w:r>
      <w:proofErr w:type="spellEnd"/>
      <w:r w:rsidR="005D248A" w:rsidRPr="003221C4">
        <w:rPr>
          <w:rFonts w:cs="Arial"/>
          <w:bCs/>
          <w:kern w:val="28"/>
          <w:szCs w:val="24"/>
        </w:rPr>
        <w:t xml:space="preserve"> 26/21).</w:t>
      </w:r>
    </w:p>
    <w:p w14:paraId="153B134A" w14:textId="77777777" w:rsidR="0020003F" w:rsidRDefault="0020003F" w:rsidP="001C4EBE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</w:rPr>
      </w:pPr>
    </w:p>
    <w:p w14:paraId="15F5C96E" w14:textId="77777777" w:rsidR="00FA3E36" w:rsidRDefault="00FA3E36" w:rsidP="001C4EBE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</w:rPr>
      </w:pPr>
    </w:p>
    <w:p w14:paraId="7379A1AE" w14:textId="706FADBB" w:rsidR="0020003F" w:rsidRDefault="0020003F" w:rsidP="00FA3E36">
      <w:pPr>
        <w:pStyle w:val="Prrafodelista"/>
        <w:widowControl w:val="0"/>
        <w:numPr>
          <w:ilvl w:val="0"/>
          <w:numId w:val="4"/>
        </w:numPr>
        <w:overflowPunct w:val="0"/>
        <w:adjustRightInd w:val="0"/>
        <w:ind w:left="567" w:hanging="567"/>
        <w:jc w:val="both"/>
        <w:rPr>
          <w:rFonts w:cs="Arial"/>
          <w:b/>
          <w:kern w:val="28"/>
          <w:szCs w:val="24"/>
          <w:lang w:val="es-ES"/>
        </w:rPr>
      </w:pPr>
      <w:r w:rsidRPr="0020003F">
        <w:rPr>
          <w:rFonts w:cs="Arial"/>
          <w:b/>
          <w:kern w:val="28"/>
          <w:szCs w:val="24"/>
          <w:lang w:val="es-ES"/>
        </w:rPr>
        <w:t>OTROS TEMAS</w:t>
      </w:r>
    </w:p>
    <w:p w14:paraId="2F220827" w14:textId="77777777" w:rsidR="0020003F" w:rsidRDefault="0020003F" w:rsidP="0020003F">
      <w:pPr>
        <w:pStyle w:val="Prrafodelista"/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es-ES"/>
        </w:rPr>
      </w:pPr>
    </w:p>
    <w:p w14:paraId="1C5C7C63" w14:textId="5CAA1ECB" w:rsidR="0020003F" w:rsidRDefault="0020003F" w:rsidP="00FA3E36">
      <w:pPr>
        <w:pStyle w:val="Prrafodelista"/>
        <w:widowControl w:val="0"/>
        <w:overflowPunct w:val="0"/>
        <w:adjustRightInd w:val="0"/>
        <w:ind w:left="1134" w:hanging="567"/>
        <w:jc w:val="both"/>
        <w:rPr>
          <w:rFonts w:cs="Arial"/>
          <w:b/>
          <w:bCs/>
          <w:kern w:val="28"/>
          <w:lang w:val="es-ES"/>
        </w:rPr>
      </w:pPr>
      <w:r w:rsidRPr="3B7C2A1A">
        <w:rPr>
          <w:rFonts w:cs="Arial"/>
          <w:b/>
          <w:bCs/>
          <w:kern w:val="28"/>
          <w:lang w:val="es-ES"/>
        </w:rPr>
        <w:t>7.</w:t>
      </w:r>
      <w:r w:rsidR="0DA6D165" w:rsidRPr="3B7C2A1A">
        <w:rPr>
          <w:rFonts w:cs="Arial"/>
          <w:b/>
          <w:bCs/>
          <w:kern w:val="28"/>
          <w:lang w:val="es-ES"/>
        </w:rPr>
        <w:t>1</w:t>
      </w:r>
      <w:r w:rsidRPr="3B7C2A1A">
        <w:rPr>
          <w:rFonts w:cs="Arial"/>
          <w:b/>
          <w:bCs/>
          <w:kern w:val="28"/>
          <w:lang w:val="es-ES"/>
        </w:rPr>
        <w:t xml:space="preserve"> Informe</w:t>
      </w:r>
      <w:r w:rsidR="1A97F316" w:rsidRPr="3B7C2A1A">
        <w:rPr>
          <w:rFonts w:cs="Arial"/>
          <w:b/>
          <w:bCs/>
          <w:kern w:val="28"/>
          <w:lang w:val="es-ES"/>
        </w:rPr>
        <w:t>s</w:t>
      </w:r>
      <w:r w:rsidRPr="3B7C2A1A">
        <w:rPr>
          <w:rFonts w:cs="Arial"/>
          <w:b/>
          <w:bCs/>
          <w:kern w:val="28"/>
          <w:lang w:val="es-ES"/>
        </w:rPr>
        <w:t xml:space="preserve"> de Grado de Avance Semestral del Programa de Trabajo</w:t>
      </w:r>
      <w:r w:rsidR="00C81F67">
        <w:rPr>
          <w:rFonts w:cs="Arial"/>
          <w:b/>
          <w:bCs/>
          <w:kern w:val="28"/>
          <w:lang w:val="es-ES"/>
        </w:rPr>
        <w:t xml:space="preserve"> </w:t>
      </w:r>
      <w:r w:rsidRPr="3B7C2A1A">
        <w:rPr>
          <w:rFonts w:cs="Arial"/>
          <w:b/>
          <w:bCs/>
          <w:kern w:val="28"/>
          <w:lang w:val="es-ES"/>
        </w:rPr>
        <w:t>2025-2026</w:t>
      </w:r>
      <w:r w:rsidR="58EA5110" w:rsidRPr="3B7C2A1A">
        <w:rPr>
          <w:rFonts w:cs="Arial"/>
          <w:b/>
          <w:bCs/>
          <w:kern w:val="28"/>
          <w:lang w:val="es-ES"/>
        </w:rPr>
        <w:t>.</w:t>
      </w:r>
    </w:p>
    <w:p w14:paraId="5FD057A0" w14:textId="27E52C7F" w:rsidR="0020003F" w:rsidRPr="0020003F" w:rsidRDefault="58EA5110" w:rsidP="66645BB3">
      <w:pPr>
        <w:widowControl w:val="0"/>
        <w:overflowPunct w:val="0"/>
        <w:adjustRightInd w:val="0"/>
        <w:spacing w:before="240" w:after="240"/>
        <w:jc w:val="both"/>
        <w:rPr>
          <w:rFonts w:cs="Arial"/>
          <w:kern w:val="28"/>
          <w:lang w:val="es-ES"/>
        </w:rPr>
      </w:pPr>
      <w:r w:rsidRPr="0AA7AACA">
        <w:rPr>
          <w:rFonts w:cs="Arial"/>
          <w:lang w:val="es-ES"/>
        </w:rPr>
        <w:t xml:space="preserve">Los Coordinadores Nacionales elaboraron su informe semestral sobre el grado de avance del Programa de Trabajo del período 2025-2026. Asimismo, revisaron los Informes semestrales sobre el grado de avance de los Programas de Trabajo del período 2025-2026 de las Comisiones. Estos informes se elevaron a consideración del GMC conforme a lo establecido en el Anexo III de la </w:t>
      </w:r>
      <w:proofErr w:type="spellStart"/>
      <w:r w:rsidRPr="0AA7AACA">
        <w:rPr>
          <w:rFonts w:cs="Arial"/>
          <w:lang w:val="es-ES"/>
        </w:rPr>
        <w:t>Dec</w:t>
      </w:r>
      <w:proofErr w:type="spellEnd"/>
      <w:r w:rsidRPr="0AA7AACA">
        <w:rPr>
          <w:rFonts w:cs="Arial"/>
          <w:lang w:val="es-ES"/>
        </w:rPr>
        <w:t xml:space="preserve">. CMC </w:t>
      </w:r>
      <w:proofErr w:type="spellStart"/>
      <w:r w:rsidRPr="0AA7AACA">
        <w:rPr>
          <w:rFonts w:cs="Arial"/>
          <w:lang w:val="es-ES"/>
        </w:rPr>
        <w:t>Nº</w:t>
      </w:r>
      <w:proofErr w:type="spellEnd"/>
      <w:r w:rsidRPr="0AA7AACA">
        <w:rPr>
          <w:rFonts w:cs="Arial"/>
          <w:lang w:val="es-ES"/>
        </w:rPr>
        <w:t xml:space="preserve"> 36/10.</w:t>
      </w:r>
      <w:r w:rsidR="5D5F6D3E" w:rsidRPr="6201BE00">
        <w:rPr>
          <w:rFonts w:cs="Arial"/>
          <w:lang w:val="es-ES"/>
        </w:rPr>
        <w:t xml:space="preserve"> </w:t>
      </w:r>
      <w:r w:rsidRPr="66645BB3">
        <w:rPr>
          <w:rFonts w:cs="Arial"/>
          <w:lang w:val="es-ES"/>
        </w:rPr>
        <w:t>Dicho</w:t>
      </w:r>
      <w:r w:rsidR="4E91B071" w:rsidRPr="66645BB3">
        <w:rPr>
          <w:rFonts w:cs="Arial"/>
          <w:lang w:val="es-ES"/>
        </w:rPr>
        <w:t>s</w:t>
      </w:r>
      <w:r w:rsidRPr="66645BB3">
        <w:rPr>
          <w:rFonts w:cs="Arial"/>
          <w:lang w:val="es-ES"/>
        </w:rPr>
        <w:t xml:space="preserve"> informes constan como </w:t>
      </w:r>
      <w:r w:rsidRPr="004C111D">
        <w:rPr>
          <w:rFonts w:cs="Arial"/>
          <w:b/>
          <w:lang w:val="es-ES"/>
        </w:rPr>
        <w:t xml:space="preserve">Anexo </w:t>
      </w:r>
      <w:r w:rsidR="007E04A4" w:rsidRPr="004C111D">
        <w:rPr>
          <w:rFonts w:cs="Arial"/>
          <w:b/>
          <w:lang w:val="es-ES"/>
        </w:rPr>
        <w:t>XV.</w:t>
      </w:r>
    </w:p>
    <w:p w14:paraId="49B08693" w14:textId="77777777" w:rsidR="00E44944" w:rsidRDefault="00E44944" w:rsidP="00E44944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</w:p>
    <w:p w14:paraId="312A8C40" w14:textId="77777777" w:rsidR="00556CAE" w:rsidRPr="003221C4" w:rsidRDefault="00556CAE" w:rsidP="00E44944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</w:p>
    <w:p w14:paraId="4D306960" w14:textId="77777777" w:rsidR="00E44944" w:rsidRPr="003221C4" w:rsidRDefault="00E44944" w:rsidP="00E44944">
      <w:pPr>
        <w:suppressAutoHyphens/>
        <w:jc w:val="both"/>
        <w:rPr>
          <w:rFonts w:cs="Arial"/>
          <w:b/>
          <w:szCs w:val="24"/>
          <w:lang w:val="es-UY" w:eastAsia="ar-SA"/>
        </w:rPr>
      </w:pPr>
      <w:r w:rsidRPr="003221C4">
        <w:rPr>
          <w:rFonts w:cs="Arial"/>
          <w:b/>
          <w:szCs w:val="24"/>
          <w:lang w:val="es-UY" w:eastAsia="ar-SA"/>
        </w:rPr>
        <w:lastRenderedPageBreak/>
        <w:t>AGRADECIMIENTO</w:t>
      </w:r>
    </w:p>
    <w:p w14:paraId="554767A2" w14:textId="77777777" w:rsidR="00E44944" w:rsidRPr="003221C4" w:rsidRDefault="00E44944" w:rsidP="00E44944">
      <w:pPr>
        <w:suppressAutoHyphens/>
        <w:jc w:val="both"/>
        <w:rPr>
          <w:rFonts w:cs="Arial"/>
          <w:b/>
          <w:szCs w:val="24"/>
          <w:highlight w:val="yellow"/>
          <w:lang w:val="es-UY" w:eastAsia="ar-SA"/>
        </w:rPr>
      </w:pPr>
    </w:p>
    <w:p w14:paraId="00480DED" w14:textId="2FC6A026" w:rsidR="00E44944" w:rsidRPr="003221C4" w:rsidRDefault="005373BC" w:rsidP="00E44944">
      <w:pPr>
        <w:widowControl w:val="0"/>
        <w:tabs>
          <w:tab w:val="left" w:pos="425"/>
        </w:tabs>
        <w:overflowPunct w:val="0"/>
        <w:adjustRightInd w:val="0"/>
        <w:jc w:val="both"/>
        <w:rPr>
          <w:rFonts w:cs="Arial"/>
          <w:b/>
          <w:bCs/>
          <w:kern w:val="28"/>
          <w:szCs w:val="24"/>
          <w:highlight w:val="yellow"/>
          <w:lang w:val="es-ES"/>
        </w:rPr>
      </w:pPr>
      <w:r w:rsidRPr="003221C4">
        <w:rPr>
          <w:rFonts w:cs="Arial"/>
          <w:bCs/>
          <w:kern w:val="28"/>
          <w:szCs w:val="24"/>
          <w:lang w:val="es-ES"/>
        </w:rPr>
        <w:t>Las delegaciones agradecieron a la PPT</w:t>
      </w:r>
      <w:r w:rsidR="0020003F">
        <w:rPr>
          <w:rFonts w:cs="Arial"/>
          <w:bCs/>
          <w:kern w:val="28"/>
          <w:szCs w:val="24"/>
          <w:lang w:val="es-ES"/>
        </w:rPr>
        <w:t>A</w:t>
      </w:r>
      <w:r w:rsidR="00202838" w:rsidRPr="003221C4">
        <w:rPr>
          <w:rFonts w:cs="Arial"/>
          <w:bCs/>
          <w:kern w:val="28"/>
          <w:szCs w:val="24"/>
          <w:lang w:val="es-ES"/>
        </w:rPr>
        <w:t xml:space="preserve"> por la organización de la reunión y a la</w:t>
      </w:r>
      <w:r w:rsidRPr="003221C4">
        <w:rPr>
          <w:rFonts w:cs="Arial"/>
          <w:bCs/>
          <w:kern w:val="28"/>
          <w:szCs w:val="24"/>
          <w:lang w:val="es-ES"/>
        </w:rPr>
        <w:t xml:space="preserve"> Secretaría del </w:t>
      </w:r>
      <w:r w:rsidR="00FA3E36">
        <w:rPr>
          <w:rFonts w:cs="Arial"/>
          <w:bCs/>
          <w:kern w:val="28"/>
          <w:szCs w:val="24"/>
          <w:lang w:val="es-ES"/>
        </w:rPr>
        <w:t>MERCOSUR</w:t>
      </w:r>
      <w:r w:rsidRPr="003221C4">
        <w:rPr>
          <w:rFonts w:cs="Arial"/>
          <w:bCs/>
          <w:kern w:val="28"/>
          <w:szCs w:val="24"/>
          <w:lang w:val="es-ES"/>
        </w:rPr>
        <w:t xml:space="preserve"> por la colaboración prestada</w:t>
      </w:r>
      <w:r w:rsidR="00F74421" w:rsidRPr="003221C4">
        <w:rPr>
          <w:rFonts w:cs="Arial"/>
          <w:bCs/>
          <w:kern w:val="28"/>
          <w:szCs w:val="24"/>
          <w:lang w:val="es-ES"/>
        </w:rPr>
        <w:t>.</w:t>
      </w:r>
    </w:p>
    <w:p w14:paraId="4853E753" w14:textId="77777777" w:rsidR="00FB1784" w:rsidRPr="003221C4" w:rsidRDefault="00FB1784" w:rsidP="00E44944">
      <w:pPr>
        <w:widowControl w:val="0"/>
        <w:tabs>
          <w:tab w:val="left" w:pos="425"/>
        </w:tabs>
        <w:overflowPunct w:val="0"/>
        <w:adjustRightInd w:val="0"/>
        <w:jc w:val="both"/>
        <w:rPr>
          <w:rFonts w:cs="Arial"/>
          <w:b/>
          <w:bCs/>
          <w:kern w:val="28"/>
          <w:szCs w:val="24"/>
          <w:highlight w:val="yellow"/>
          <w:lang w:val="es-ES"/>
        </w:rPr>
      </w:pPr>
    </w:p>
    <w:p w14:paraId="3DEE2C41" w14:textId="294358EA" w:rsidR="00E44944" w:rsidRPr="00AA607E" w:rsidRDefault="00E44944" w:rsidP="00AA607E">
      <w:pPr>
        <w:widowControl w:val="0"/>
        <w:tabs>
          <w:tab w:val="left" w:pos="425"/>
        </w:tabs>
        <w:overflowPunct w:val="0"/>
        <w:adjustRightInd w:val="0"/>
        <w:jc w:val="both"/>
        <w:rPr>
          <w:rFonts w:cs="Arial"/>
          <w:b/>
          <w:bCs/>
          <w:kern w:val="28"/>
          <w:szCs w:val="24"/>
          <w:lang w:val="es-ES"/>
        </w:rPr>
      </w:pPr>
      <w:r w:rsidRPr="003221C4">
        <w:rPr>
          <w:rFonts w:cs="Arial"/>
          <w:b/>
          <w:bCs/>
          <w:kern w:val="28"/>
          <w:szCs w:val="24"/>
          <w:lang w:val="es-ES"/>
        </w:rPr>
        <w:t>PRÓXIMA REUNIÓN</w:t>
      </w:r>
    </w:p>
    <w:p w14:paraId="7524836A" w14:textId="77777777" w:rsidR="00E44944" w:rsidRPr="003221C4" w:rsidRDefault="00E44944" w:rsidP="00671F92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  <w:r w:rsidRPr="003221C4">
        <w:rPr>
          <w:rFonts w:cs="Arial"/>
          <w:bCs/>
          <w:kern w:val="28"/>
          <w:szCs w:val="24"/>
          <w:lang w:val="es-ES"/>
        </w:rPr>
        <w:t>La próxima reunión ordinaria del</w:t>
      </w:r>
      <w:r w:rsidR="00CD6F69" w:rsidRPr="003221C4">
        <w:rPr>
          <w:rFonts w:cs="Arial"/>
          <w:bCs/>
          <w:kern w:val="28"/>
          <w:szCs w:val="24"/>
          <w:lang w:val="es-ES"/>
        </w:rPr>
        <w:t xml:space="preserve"> </w:t>
      </w:r>
      <w:r w:rsidR="00671F92" w:rsidRPr="003221C4">
        <w:rPr>
          <w:rFonts w:cs="Arial"/>
          <w:bCs/>
          <w:kern w:val="28"/>
          <w:szCs w:val="24"/>
          <w:lang w:val="es-ES"/>
        </w:rPr>
        <w:t xml:space="preserve">SGT </w:t>
      </w:r>
      <w:proofErr w:type="spellStart"/>
      <w:r w:rsidR="00671F92" w:rsidRPr="003221C4">
        <w:rPr>
          <w:rFonts w:cs="Arial"/>
          <w:bCs/>
          <w:kern w:val="28"/>
          <w:szCs w:val="24"/>
          <w:lang w:val="es-ES"/>
        </w:rPr>
        <w:t>N°</w:t>
      </w:r>
      <w:proofErr w:type="spellEnd"/>
      <w:r w:rsidR="00671F92" w:rsidRPr="003221C4">
        <w:rPr>
          <w:rFonts w:cs="Arial"/>
          <w:bCs/>
          <w:kern w:val="28"/>
          <w:szCs w:val="24"/>
          <w:lang w:val="es-ES"/>
        </w:rPr>
        <w:t xml:space="preserve"> 4, será convocada oportunamente por la PPT.</w:t>
      </w:r>
    </w:p>
    <w:p w14:paraId="4A2325C4" w14:textId="67D2EA5E" w:rsidR="00F74421" w:rsidRPr="003221C4" w:rsidRDefault="00F74421" w:rsidP="3B7C2A1A">
      <w:pPr>
        <w:widowControl w:val="0"/>
        <w:overflowPunct w:val="0"/>
        <w:adjustRightInd w:val="0"/>
        <w:jc w:val="both"/>
        <w:rPr>
          <w:rFonts w:cs="Arial"/>
          <w:kern w:val="28"/>
          <w:highlight w:val="yellow"/>
          <w:lang w:val="es-ES"/>
        </w:rPr>
      </w:pPr>
    </w:p>
    <w:p w14:paraId="53DDB96B" w14:textId="31446E2C" w:rsidR="00E44944" w:rsidRPr="00AA607E" w:rsidRDefault="00E44944" w:rsidP="00E44944">
      <w:pPr>
        <w:widowControl w:val="0"/>
        <w:tabs>
          <w:tab w:val="left" w:pos="425"/>
        </w:tabs>
        <w:overflowPunct w:val="0"/>
        <w:adjustRightInd w:val="0"/>
        <w:jc w:val="both"/>
        <w:rPr>
          <w:rFonts w:cs="Arial"/>
          <w:b/>
          <w:kern w:val="28"/>
          <w:szCs w:val="24"/>
          <w:lang w:val="es-ES"/>
        </w:rPr>
      </w:pPr>
      <w:r w:rsidRPr="003221C4">
        <w:rPr>
          <w:rFonts w:cs="Arial"/>
          <w:b/>
          <w:kern w:val="28"/>
          <w:szCs w:val="24"/>
          <w:lang w:val="es-ES"/>
        </w:rPr>
        <w:t>ANEXOS</w:t>
      </w:r>
    </w:p>
    <w:p w14:paraId="3ACA8AAE" w14:textId="77777777" w:rsidR="00556CAE" w:rsidRDefault="00556CAE" w:rsidP="00E44944">
      <w:pPr>
        <w:widowControl w:val="0"/>
        <w:tabs>
          <w:tab w:val="left" w:pos="425"/>
        </w:tabs>
        <w:overflowPunct w:val="0"/>
        <w:adjustRightInd w:val="0"/>
        <w:jc w:val="both"/>
        <w:rPr>
          <w:rFonts w:cs="Arial"/>
          <w:kern w:val="28"/>
          <w:szCs w:val="24"/>
          <w:lang w:val="es-ES"/>
        </w:rPr>
      </w:pPr>
    </w:p>
    <w:p w14:paraId="7C1F0D84" w14:textId="485332A4" w:rsidR="00E44944" w:rsidRPr="003221C4" w:rsidRDefault="00E44944" w:rsidP="00E44944">
      <w:pPr>
        <w:widowControl w:val="0"/>
        <w:tabs>
          <w:tab w:val="left" w:pos="425"/>
        </w:tabs>
        <w:overflowPunct w:val="0"/>
        <w:adjustRightInd w:val="0"/>
        <w:jc w:val="both"/>
        <w:rPr>
          <w:rFonts w:cs="Arial"/>
          <w:kern w:val="28"/>
          <w:szCs w:val="24"/>
          <w:lang w:val="es-ES"/>
        </w:rPr>
      </w:pPr>
      <w:r w:rsidRPr="003221C4">
        <w:rPr>
          <w:rFonts w:cs="Arial"/>
          <w:kern w:val="28"/>
          <w:szCs w:val="24"/>
          <w:lang w:val="es-ES"/>
        </w:rPr>
        <w:t xml:space="preserve">Los Anexos que forman parte de la presente Acta son los siguientes:  </w:t>
      </w:r>
    </w:p>
    <w:p w14:paraId="4E568460" w14:textId="77777777" w:rsidR="00E44944" w:rsidRPr="003221C4" w:rsidRDefault="00E44944" w:rsidP="00E44944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szCs w:val="24"/>
          <w:highlight w:val="yellow"/>
          <w:lang w:val="es-ES"/>
        </w:rPr>
      </w:pPr>
    </w:p>
    <w:tbl>
      <w:tblPr>
        <w:tblW w:w="9214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560"/>
        <w:gridCol w:w="7654"/>
      </w:tblGrid>
      <w:tr w:rsidR="003221C4" w:rsidRPr="003221C4" w14:paraId="311B4DE2" w14:textId="77777777" w:rsidTr="16462731">
        <w:trPr>
          <w:trHeight w:val="283"/>
        </w:trPr>
        <w:tc>
          <w:tcPr>
            <w:tcW w:w="1560" w:type="dxa"/>
            <w:hideMark/>
          </w:tcPr>
          <w:p w14:paraId="682147CA" w14:textId="77777777" w:rsidR="00E44944" w:rsidRPr="003221C4" w:rsidRDefault="00E44944" w:rsidP="00E44944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"/>
              </w:rPr>
            </w:pPr>
            <w:r w:rsidRPr="003221C4">
              <w:rPr>
                <w:rFonts w:cs="Arial"/>
                <w:b/>
                <w:bCs/>
                <w:kern w:val="28"/>
                <w:szCs w:val="24"/>
                <w:lang w:val="es-ES_tradnl"/>
              </w:rPr>
              <w:t xml:space="preserve">Anexo I </w:t>
            </w:r>
            <w:r w:rsidRPr="003221C4">
              <w:rPr>
                <w:rFonts w:cs="Arial"/>
                <w:b/>
                <w:bCs/>
                <w:kern w:val="28"/>
                <w:szCs w:val="24"/>
                <w:lang w:val="es-ES_tradnl"/>
              </w:rPr>
              <w:tab/>
            </w:r>
          </w:p>
        </w:tc>
        <w:tc>
          <w:tcPr>
            <w:tcW w:w="7654" w:type="dxa"/>
            <w:hideMark/>
          </w:tcPr>
          <w:p w14:paraId="5FCC0651" w14:textId="116182CD" w:rsidR="00E44944" w:rsidRPr="003221C4" w:rsidRDefault="00E44944" w:rsidP="00E44944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_tradnl"/>
              </w:rPr>
            </w:pPr>
            <w:r w:rsidRPr="003221C4">
              <w:rPr>
                <w:rFonts w:cs="Arial"/>
                <w:kern w:val="28"/>
                <w:szCs w:val="24"/>
                <w:lang w:val="es-ES_tradnl"/>
              </w:rPr>
              <w:t>Lista de Participantes</w:t>
            </w:r>
            <w:r w:rsidR="004C111D">
              <w:rPr>
                <w:rFonts w:cs="Arial"/>
                <w:kern w:val="28"/>
                <w:szCs w:val="24"/>
                <w:lang w:val="es-ES_tradnl"/>
              </w:rPr>
              <w:t>.</w:t>
            </w:r>
          </w:p>
        </w:tc>
      </w:tr>
      <w:tr w:rsidR="003221C4" w:rsidRPr="003221C4" w14:paraId="5246F1AE" w14:textId="77777777" w:rsidTr="16462731">
        <w:trPr>
          <w:trHeight w:val="283"/>
        </w:trPr>
        <w:tc>
          <w:tcPr>
            <w:tcW w:w="1560" w:type="dxa"/>
            <w:hideMark/>
          </w:tcPr>
          <w:p w14:paraId="7F87A59F" w14:textId="77777777" w:rsidR="00E44944" w:rsidRPr="003221C4" w:rsidRDefault="00E44944" w:rsidP="00E44944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"/>
              </w:rPr>
            </w:pPr>
            <w:r w:rsidRPr="003221C4">
              <w:rPr>
                <w:rFonts w:cs="Arial"/>
                <w:b/>
                <w:bCs/>
                <w:kern w:val="28"/>
                <w:szCs w:val="24"/>
                <w:lang w:val="es-ES_tradnl"/>
              </w:rPr>
              <w:t xml:space="preserve">Anexo II </w:t>
            </w:r>
          </w:p>
        </w:tc>
        <w:tc>
          <w:tcPr>
            <w:tcW w:w="7654" w:type="dxa"/>
            <w:hideMark/>
          </w:tcPr>
          <w:p w14:paraId="11E9D2C1" w14:textId="53C03FEE" w:rsidR="00E44944" w:rsidRPr="003221C4" w:rsidRDefault="00E44944" w:rsidP="00E44944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_tradnl"/>
              </w:rPr>
            </w:pPr>
            <w:r w:rsidRPr="003221C4">
              <w:rPr>
                <w:rFonts w:cs="Arial"/>
                <w:kern w:val="28"/>
                <w:szCs w:val="24"/>
                <w:lang w:val="es-ES_tradnl"/>
              </w:rPr>
              <w:t>Agenda</w:t>
            </w:r>
            <w:r w:rsidR="004C111D">
              <w:rPr>
                <w:rFonts w:cs="Arial"/>
                <w:kern w:val="28"/>
                <w:szCs w:val="24"/>
                <w:lang w:val="es-ES_tradnl"/>
              </w:rPr>
              <w:t>.</w:t>
            </w:r>
            <w:r w:rsidRPr="003221C4">
              <w:rPr>
                <w:rFonts w:cs="Arial"/>
                <w:kern w:val="28"/>
                <w:szCs w:val="24"/>
                <w:lang w:val="es-ES_tradnl"/>
              </w:rPr>
              <w:t xml:space="preserve"> </w:t>
            </w:r>
          </w:p>
        </w:tc>
      </w:tr>
      <w:tr w:rsidR="003221C4" w:rsidRPr="003221C4" w14:paraId="57B49972" w14:textId="77777777" w:rsidTr="16462731">
        <w:trPr>
          <w:trHeight w:val="283"/>
        </w:trPr>
        <w:tc>
          <w:tcPr>
            <w:tcW w:w="1560" w:type="dxa"/>
            <w:hideMark/>
          </w:tcPr>
          <w:p w14:paraId="65C21D79" w14:textId="77777777" w:rsidR="00556CAE" w:rsidRDefault="00556CAE" w:rsidP="00E44944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</w:p>
          <w:p w14:paraId="06B28990" w14:textId="07370B88" w:rsidR="00E44944" w:rsidRPr="003221C4" w:rsidRDefault="00E44944" w:rsidP="00E44944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"/>
              </w:rPr>
            </w:pPr>
            <w:r w:rsidRPr="003221C4">
              <w:rPr>
                <w:rFonts w:cs="Arial"/>
                <w:b/>
                <w:bCs/>
                <w:kern w:val="28"/>
                <w:szCs w:val="24"/>
                <w:lang w:val="es-ES_tradnl"/>
              </w:rPr>
              <w:t>Anexo III</w:t>
            </w:r>
          </w:p>
        </w:tc>
        <w:tc>
          <w:tcPr>
            <w:tcW w:w="7654" w:type="dxa"/>
            <w:hideMark/>
          </w:tcPr>
          <w:p w14:paraId="66B6F552" w14:textId="77777777" w:rsidR="00556CAE" w:rsidRDefault="00556CAE" w:rsidP="00E44944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"/>
              </w:rPr>
            </w:pPr>
          </w:p>
          <w:p w14:paraId="0A541BA1" w14:textId="34058B5D" w:rsidR="00E44944" w:rsidRPr="003221C4" w:rsidRDefault="00E44944" w:rsidP="00E44944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"/>
              </w:rPr>
            </w:pPr>
            <w:r w:rsidRPr="003221C4">
              <w:rPr>
                <w:rFonts w:cs="Arial"/>
                <w:kern w:val="28"/>
                <w:szCs w:val="24"/>
                <w:lang w:val="es-ES"/>
              </w:rPr>
              <w:t>Resumen del Acta</w:t>
            </w:r>
            <w:r w:rsidR="004C111D">
              <w:rPr>
                <w:rFonts w:cs="Arial"/>
                <w:kern w:val="28"/>
                <w:szCs w:val="24"/>
                <w:lang w:val="es-ES"/>
              </w:rPr>
              <w:t>.</w:t>
            </w:r>
          </w:p>
        </w:tc>
      </w:tr>
      <w:tr w:rsidR="003221C4" w:rsidRPr="003221C4" w14:paraId="6EBE98AC" w14:textId="77777777" w:rsidTr="16462731">
        <w:trPr>
          <w:trHeight w:val="283"/>
        </w:trPr>
        <w:tc>
          <w:tcPr>
            <w:tcW w:w="1560" w:type="dxa"/>
            <w:hideMark/>
          </w:tcPr>
          <w:p w14:paraId="37722770" w14:textId="77777777" w:rsidR="00556CAE" w:rsidRDefault="00556CAE" w:rsidP="26AF20F8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lang w:val="es-ES"/>
              </w:rPr>
            </w:pPr>
          </w:p>
          <w:p w14:paraId="466F9FD4" w14:textId="13EE48F9" w:rsidR="00E44944" w:rsidRPr="003221C4" w:rsidRDefault="00E44944" w:rsidP="26AF20F8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lang w:val="es-ES"/>
              </w:rPr>
            </w:pPr>
            <w:r w:rsidRPr="26AF20F8">
              <w:rPr>
                <w:rFonts w:cs="Arial"/>
                <w:b/>
                <w:bCs/>
                <w:kern w:val="28"/>
                <w:lang w:val="es-ES"/>
              </w:rPr>
              <w:t>Anexo IV</w:t>
            </w:r>
            <w:r w:rsidR="2310807E" w:rsidRPr="26AF20F8">
              <w:rPr>
                <w:rFonts w:cs="Arial"/>
                <w:b/>
                <w:bCs/>
                <w:kern w:val="28"/>
                <w:lang w:val="es-ES"/>
              </w:rPr>
              <w:t xml:space="preserve"> </w:t>
            </w:r>
          </w:p>
        </w:tc>
        <w:tc>
          <w:tcPr>
            <w:tcW w:w="7654" w:type="dxa"/>
          </w:tcPr>
          <w:p w14:paraId="42B8AD16" w14:textId="77777777" w:rsidR="00556CAE" w:rsidRDefault="00556CAE" w:rsidP="26AF20F8">
            <w:pPr>
              <w:pStyle w:val="Textocomentario"/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14:paraId="435353B1" w14:textId="76B90BC5" w:rsidR="00E44944" w:rsidRPr="003221C4" w:rsidRDefault="2310807E" w:rsidP="26AF20F8">
            <w:pPr>
              <w:pStyle w:val="Textocomentario"/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lang w:val="es-ES"/>
              </w:rPr>
            </w:pPr>
            <w:r w:rsidRPr="26AF20F8">
              <w:rPr>
                <w:rFonts w:cs="Arial"/>
                <w:b/>
                <w:bCs/>
                <w:sz w:val="24"/>
                <w:szCs w:val="24"/>
                <w:lang w:val="es-ES"/>
              </w:rPr>
              <w:t>RESERVADO -</w:t>
            </w:r>
            <w:r w:rsidRPr="26AF20F8">
              <w:rPr>
                <w:rFonts w:cs="Arial"/>
                <w:sz w:val="24"/>
                <w:szCs w:val="24"/>
                <w:lang w:val="es-ES"/>
              </w:rPr>
              <w:t xml:space="preserve"> “Protocolo sobre Pagos y Transferencias Corrientes y Movimientos de Capital en el </w:t>
            </w:r>
            <w:r w:rsidR="00FA3E36">
              <w:rPr>
                <w:rFonts w:cs="Arial"/>
                <w:sz w:val="24"/>
                <w:szCs w:val="24"/>
                <w:lang w:val="es-ES"/>
              </w:rPr>
              <w:t>MERCOSUR</w:t>
            </w:r>
            <w:r w:rsidRPr="26AF20F8">
              <w:rPr>
                <w:rFonts w:cs="Arial"/>
                <w:sz w:val="24"/>
                <w:szCs w:val="24"/>
                <w:lang w:val="es-ES"/>
              </w:rPr>
              <w:t>”</w:t>
            </w:r>
            <w:r w:rsidR="004C111D">
              <w:rPr>
                <w:rFonts w:cs="Arial"/>
                <w:sz w:val="24"/>
                <w:szCs w:val="24"/>
                <w:lang w:val="es-ES"/>
              </w:rPr>
              <w:t>.</w:t>
            </w:r>
          </w:p>
        </w:tc>
      </w:tr>
      <w:tr w:rsidR="003221C4" w:rsidRPr="003221C4" w14:paraId="6FE74EBF" w14:textId="77777777" w:rsidTr="16462731">
        <w:trPr>
          <w:trHeight w:val="283"/>
        </w:trPr>
        <w:tc>
          <w:tcPr>
            <w:tcW w:w="1560" w:type="dxa"/>
            <w:hideMark/>
          </w:tcPr>
          <w:p w14:paraId="23E4DBAE" w14:textId="77777777" w:rsidR="00556CAE" w:rsidRDefault="00556CAE" w:rsidP="00381FF2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</w:p>
          <w:p w14:paraId="20F3E37D" w14:textId="41D5031A" w:rsidR="00381FF2" w:rsidRPr="003221C4" w:rsidRDefault="00381FF2" w:rsidP="00381FF2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highlight w:val="yellow"/>
                <w:lang w:val="es-ES_tradnl"/>
              </w:rPr>
            </w:pPr>
            <w:r w:rsidRPr="003221C4">
              <w:rPr>
                <w:rFonts w:cs="Arial"/>
                <w:b/>
                <w:bCs/>
                <w:kern w:val="28"/>
                <w:szCs w:val="24"/>
                <w:lang w:val="es-ES_tradnl"/>
              </w:rPr>
              <w:t>Anexo V</w:t>
            </w:r>
          </w:p>
        </w:tc>
        <w:tc>
          <w:tcPr>
            <w:tcW w:w="7654" w:type="dxa"/>
          </w:tcPr>
          <w:p w14:paraId="47F97951" w14:textId="77777777" w:rsidR="00556CAE" w:rsidRDefault="00556CAE" w:rsidP="00381FF2">
            <w:pPr>
              <w:widowControl w:val="0"/>
              <w:overflowPunct w:val="0"/>
              <w:adjustRightInd w:val="0"/>
              <w:jc w:val="both"/>
              <w:rPr>
                <w:rFonts w:cs="Arial"/>
                <w:lang w:val="es-ES"/>
              </w:rPr>
            </w:pPr>
          </w:p>
          <w:p w14:paraId="476B068E" w14:textId="523C84A2" w:rsidR="00381FF2" w:rsidRPr="003221C4" w:rsidRDefault="7AFFFE41" w:rsidP="00381FF2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lang w:val="es-ES"/>
              </w:rPr>
            </w:pPr>
            <w:r w:rsidRPr="7F8CC11D">
              <w:rPr>
                <w:rFonts w:cs="Arial"/>
                <w:lang w:val="es-ES"/>
              </w:rPr>
              <w:t>Acta de la Comisión</w:t>
            </w:r>
            <w:r w:rsidRPr="66CE83DB">
              <w:rPr>
                <w:rFonts w:cs="Arial"/>
                <w:lang w:val="es-ES"/>
              </w:rPr>
              <w:t xml:space="preserve"> de Presentación de Estados Contables del Sistema Bancario (CPECSB)</w:t>
            </w:r>
            <w:r w:rsidR="004C111D">
              <w:rPr>
                <w:rFonts w:cs="Arial"/>
                <w:lang w:val="es-ES"/>
              </w:rPr>
              <w:t>.</w:t>
            </w:r>
          </w:p>
        </w:tc>
      </w:tr>
      <w:tr w:rsidR="003221C4" w:rsidRPr="003221C4" w14:paraId="30E9FEC7" w14:textId="77777777" w:rsidTr="16462731">
        <w:trPr>
          <w:trHeight w:val="283"/>
        </w:trPr>
        <w:tc>
          <w:tcPr>
            <w:tcW w:w="1560" w:type="dxa"/>
            <w:hideMark/>
          </w:tcPr>
          <w:p w14:paraId="233B31DE" w14:textId="77777777" w:rsidR="00556CAE" w:rsidRDefault="00556CAE" w:rsidP="00381FF2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</w:p>
          <w:p w14:paraId="17C4FB70" w14:textId="48B001A0" w:rsidR="00381FF2" w:rsidRPr="003221C4" w:rsidRDefault="00381FF2" w:rsidP="00381FF2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  <w:r w:rsidRPr="003221C4">
              <w:rPr>
                <w:rFonts w:cs="Arial"/>
                <w:b/>
                <w:bCs/>
                <w:kern w:val="28"/>
                <w:szCs w:val="24"/>
                <w:lang w:val="es-ES_tradnl"/>
              </w:rPr>
              <w:t>Anexo VI</w:t>
            </w:r>
          </w:p>
        </w:tc>
        <w:tc>
          <w:tcPr>
            <w:tcW w:w="7654" w:type="dxa"/>
          </w:tcPr>
          <w:p w14:paraId="390A507F" w14:textId="77777777" w:rsidR="00556CAE" w:rsidRDefault="00556CAE" w:rsidP="00381FF2">
            <w:pPr>
              <w:widowControl w:val="0"/>
              <w:overflowPunct w:val="0"/>
              <w:adjustRightInd w:val="0"/>
              <w:jc w:val="both"/>
              <w:rPr>
                <w:rFonts w:cs="Arial"/>
                <w:lang w:val="es-ES"/>
              </w:rPr>
            </w:pPr>
          </w:p>
          <w:p w14:paraId="7AEEA983" w14:textId="04D749F2" w:rsidR="00381FF2" w:rsidRPr="003221C4" w:rsidRDefault="64285F06" w:rsidP="00381FF2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lang w:val="es-ES"/>
              </w:rPr>
            </w:pPr>
            <w:r w:rsidRPr="22896E3C">
              <w:rPr>
                <w:rFonts w:cs="Arial"/>
                <w:lang w:val="es-ES"/>
              </w:rPr>
              <w:t xml:space="preserve">Acta de la Comisión </w:t>
            </w:r>
            <w:r w:rsidRPr="3C8CCE6B">
              <w:rPr>
                <w:rFonts w:cs="Arial"/>
                <w:lang w:val="es-ES"/>
              </w:rPr>
              <w:t>de</w:t>
            </w:r>
            <w:r w:rsidR="5E83A8A6" w:rsidRPr="3C8CCE6B">
              <w:rPr>
                <w:rFonts w:cs="Arial"/>
                <w:lang w:val="es-ES"/>
              </w:rPr>
              <w:t>l</w:t>
            </w:r>
            <w:r w:rsidRPr="22896E3C">
              <w:rPr>
                <w:rFonts w:cs="Arial"/>
                <w:lang w:val="es-ES"/>
              </w:rPr>
              <w:t xml:space="preserve"> Mercado de Valores</w:t>
            </w:r>
            <w:r>
              <w:t xml:space="preserve"> </w:t>
            </w:r>
            <w:r w:rsidRPr="22896E3C">
              <w:rPr>
                <w:rFonts w:cs="Arial"/>
                <w:lang w:val="es-ES"/>
              </w:rPr>
              <w:t>(CMV)</w:t>
            </w:r>
            <w:r w:rsidR="004C111D">
              <w:rPr>
                <w:rFonts w:cs="Arial"/>
                <w:lang w:val="es-ES"/>
              </w:rPr>
              <w:t>.</w:t>
            </w:r>
          </w:p>
        </w:tc>
      </w:tr>
      <w:tr w:rsidR="001B6288" w:rsidRPr="003221C4" w14:paraId="475DDF11" w14:textId="77777777" w:rsidTr="16462731">
        <w:trPr>
          <w:trHeight w:val="283"/>
        </w:trPr>
        <w:tc>
          <w:tcPr>
            <w:tcW w:w="1560" w:type="dxa"/>
          </w:tcPr>
          <w:p w14:paraId="4644C1C7" w14:textId="77777777" w:rsidR="00556CAE" w:rsidRDefault="00556CAE" w:rsidP="00381FF2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</w:p>
          <w:p w14:paraId="1A187D32" w14:textId="5BBEEADB" w:rsidR="001B6288" w:rsidRPr="003221C4" w:rsidRDefault="00667A25" w:rsidP="00381FF2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  <w:r w:rsidRPr="003221C4">
              <w:rPr>
                <w:rFonts w:cs="Arial"/>
                <w:b/>
                <w:bCs/>
                <w:kern w:val="28"/>
                <w:szCs w:val="24"/>
                <w:lang w:val="es-ES_tradnl"/>
              </w:rPr>
              <w:t>Anexo VII</w:t>
            </w:r>
          </w:p>
        </w:tc>
        <w:tc>
          <w:tcPr>
            <w:tcW w:w="7654" w:type="dxa"/>
          </w:tcPr>
          <w:p w14:paraId="3DAF8238" w14:textId="77777777" w:rsidR="00556CAE" w:rsidRDefault="00556CAE" w:rsidP="00381FF2">
            <w:pPr>
              <w:widowControl w:val="0"/>
              <w:overflowPunct w:val="0"/>
              <w:adjustRightInd w:val="0"/>
              <w:jc w:val="both"/>
              <w:rPr>
                <w:rFonts w:cs="Arial"/>
                <w:lang w:val="es-ES"/>
              </w:rPr>
            </w:pPr>
          </w:p>
          <w:p w14:paraId="3887A8A7" w14:textId="0B3ED753" w:rsidR="001B6288" w:rsidRPr="003221C4" w:rsidRDefault="7E556861" w:rsidP="00381FF2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lang w:val="es-ES"/>
              </w:rPr>
            </w:pPr>
            <w:r w:rsidRPr="6790B42C">
              <w:rPr>
                <w:rFonts w:cs="Arial"/>
                <w:lang w:val="es-ES"/>
              </w:rPr>
              <w:t>Informe de Cumplimiento del Programa de Trabajo 2023-2024</w:t>
            </w:r>
            <w:r w:rsidRPr="5BA0F977">
              <w:rPr>
                <w:rFonts w:cs="Arial"/>
                <w:lang w:val="es-ES"/>
              </w:rPr>
              <w:t xml:space="preserve"> </w:t>
            </w:r>
            <w:r w:rsidRPr="5FE29A8F">
              <w:rPr>
                <w:rFonts w:cs="Arial"/>
                <w:lang w:val="es-ES"/>
              </w:rPr>
              <w:t xml:space="preserve">de la </w:t>
            </w:r>
            <w:r w:rsidRPr="68AAE452">
              <w:rPr>
                <w:rFonts w:cs="Arial"/>
                <w:lang w:val="es-ES"/>
              </w:rPr>
              <w:t xml:space="preserve">Comisión del </w:t>
            </w:r>
            <w:r w:rsidRPr="00E087A4">
              <w:rPr>
                <w:rFonts w:cs="Arial"/>
                <w:lang w:val="es-ES"/>
              </w:rPr>
              <w:t>Mercado de Valores (</w:t>
            </w:r>
            <w:r w:rsidRPr="16FE2E23">
              <w:rPr>
                <w:rFonts w:cs="Arial"/>
                <w:lang w:val="es-ES"/>
              </w:rPr>
              <w:t>CMV)</w:t>
            </w:r>
            <w:r w:rsidR="004C111D">
              <w:rPr>
                <w:rFonts w:cs="Arial"/>
                <w:lang w:val="es-ES"/>
              </w:rPr>
              <w:t>.</w:t>
            </w:r>
          </w:p>
        </w:tc>
      </w:tr>
      <w:tr w:rsidR="003221C4" w:rsidRPr="003221C4" w14:paraId="5C796FDE" w14:textId="77777777" w:rsidTr="16462731">
        <w:trPr>
          <w:trHeight w:val="283"/>
        </w:trPr>
        <w:tc>
          <w:tcPr>
            <w:tcW w:w="1560" w:type="dxa"/>
            <w:hideMark/>
          </w:tcPr>
          <w:p w14:paraId="1ACEBD57" w14:textId="77777777" w:rsidR="00556CAE" w:rsidRDefault="00556CAE" w:rsidP="00667A25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</w:p>
          <w:p w14:paraId="1BDFD942" w14:textId="112385BF" w:rsidR="00667A25" w:rsidRPr="003221C4" w:rsidRDefault="00667A25" w:rsidP="00667A25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  <w:r w:rsidRPr="003221C4">
              <w:rPr>
                <w:rFonts w:cs="Arial"/>
                <w:b/>
                <w:bCs/>
                <w:kern w:val="28"/>
                <w:szCs w:val="24"/>
                <w:lang w:val="es-ES_tradnl"/>
              </w:rPr>
              <w:t>Anexo VIII</w:t>
            </w:r>
          </w:p>
        </w:tc>
        <w:tc>
          <w:tcPr>
            <w:tcW w:w="7654" w:type="dxa"/>
          </w:tcPr>
          <w:p w14:paraId="79750137" w14:textId="77777777" w:rsidR="00556CAE" w:rsidRDefault="00556CAE" w:rsidP="00667A25">
            <w:pPr>
              <w:widowControl w:val="0"/>
              <w:overflowPunct w:val="0"/>
              <w:adjustRightInd w:val="0"/>
              <w:jc w:val="both"/>
              <w:rPr>
                <w:rFonts w:cs="Arial"/>
                <w:lang w:val="es-ES"/>
              </w:rPr>
            </w:pPr>
          </w:p>
          <w:p w14:paraId="759E7EF5" w14:textId="685E786D" w:rsidR="00667A25" w:rsidRPr="003221C4" w:rsidRDefault="3FD3950C" w:rsidP="00667A25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lang w:val="es-ES"/>
              </w:rPr>
            </w:pPr>
            <w:r w:rsidRPr="0D4E0776">
              <w:rPr>
                <w:rFonts w:cs="Arial"/>
                <w:lang w:val="es-ES"/>
              </w:rPr>
              <w:t>Acta de la Comisión de Seguros (CS)</w:t>
            </w:r>
            <w:r w:rsidR="004C111D">
              <w:rPr>
                <w:rFonts w:cs="Arial"/>
                <w:lang w:val="es-ES"/>
              </w:rPr>
              <w:t>.</w:t>
            </w:r>
          </w:p>
        </w:tc>
      </w:tr>
      <w:tr w:rsidR="003221C4" w:rsidRPr="003221C4" w14:paraId="6043BB6F" w14:textId="77777777" w:rsidTr="16462731">
        <w:trPr>
          <w:trHeight w:val="283"/>
        </w:trPr>
        <w:tc>
          <w:tcPr>
            <w:tcW w:w="1560" w:type="dxa"/>
          </w:tcPr>
          <w:p w14:paraId="16B40A96" w14:textId="77777777" w:rsidR="00556CAE" w:rsidRDefault="00556CAE" w:rsidP="00667A25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</w:p>
          <w:p w14:paraId="39C58305" w14:textId="18BC9BDC" w:rsidR="00667A25" w:rsidRPr="003221C4" w:rsidRDefault="00667A25" w:rsidP="00667A25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highlight w:val="yellow"/>
                <w:lang w:val="es-ES_tradnl"/>
              </w:rPr>
            </w:pPr>
            <w:r w:rsidRPr="003221C4">
              <w:rPr>
                <w:rFonts w:cs="Arial"/>
                <w:b/>
                <w:bCs/>
                <w:kern w:val="28"/>
                <w:szCs w:val="24"/>
                <w:lang w:val="es-ES_tradnl"/>
              </w:rPr>
              <w:t>Anexo IX</w:t>
            </w:r>
          </w:p>
        </w:tc>
        <w:tc>
          <w:tcPr>
            <w:tcW w:w="7654" w:type="dxa"/>
          </w:tcPr>
          <w:p w14:paraId="6484CD57" w14:textId="77777777" w:rsidR="00556CAE" w:rsidRDefault="00556CAE" w:rsidP="00667A25">
            <w:pPr>
              <w:widowControl w:val="0"/>
              <w:overflowPunct w:val="0"/>
              <w:adjustRightInd w:val="0"/>
              <w:jc w:val="both"/>
              <w:rPr>
                <w:rFonts w:cs="Arial"/>
                <w:lang w:val="es-ES"/>
              </w:rPr>
            </w:pPr>
          </w:p>
          <w:p w14:paraId="69403BD1" w14:textId="6D476E47" w:rsidR="00667A25" w:rsidRPr="003221C4" w:rsidRDefault="5F1682D9" w:rsidP="00667A25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lang w:val="es-ES"/>
              </w:rPr>
            </w:pPr>
            <w:r w:rsidRPr="7AFB9811">
              <w:rPr>
                <w:rFonts w:cs="Arial"/>
                <w:lang w:val="es-ES"/>
              </w:rPr>
              <w:t>Acta de la Comisión del Sistema Bancario (CSB)</w:t>
            </w:r>
            <w:r w:rsidR="004C111D">
              <w:rPr>
                <w:rFonts w:cs="Arial"/>
                <w:lang w:val="es-ES"/>
              </w:rPr>
              <w:t>.</w:t>
            </w:r>
          </w:p>
        </w:tc>
      </w:tr>
      <w:tr w:rsidR="003221C4" w:rsidRPr="003221C4" w14:paraId="65ECF9D5" w14:textId="77777777" w:rsidTr="16462731">
        <w:trPr>
          <w:trHeight w:val="283"/>
        </w:trPr>
        <w:tc>
          <w:tcPr>
            <w:tcW w:w="1560" w:type="dxa"/>
          </w:tcPr>
          <w:p w14:paraId="3A787DAD" w14:textId="77777777" w:rsidR="00556CAE" w:rsidRDefault="00556CAE" w:rsidP="008B1894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</w:p>
          <w:p w14:paraId="217A6A7E" w14:textId="55C67B64" w:rsidR="008B1894" w:rsidRPr="003221C4" w:rsidRDefault="008B1894" w:rsidP="008B1894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  <w:r w:rsidRPr="003221C4">
              <w:rPr>
                <w:rFonts w:cs="Arial"/>
                <w:b/>
                <w:bCs/>
                <w:kern w:val="28"/>
                <w:szCs w:val="24"/>
                <w:lang w:val="es-ES_tradnl"/>
              </w:rPr>
              <w:t>Anexo X</w:t>
            </w:r>
          </w:p>
        </w:tc>
        <w:tc>
          <w:tcPr>
            <w:tcW w:w="7654" w:type="dxa"/>
          </w:tcPr>
          <w:p w14:paraId="57597D91" w14:textId="77777777" w:rsidR="00556CAE" w:rsidRDefault="00556CAE" w:rsidP="008B1894">
            <w:pPr>
              <w:widowControl w:val="0"/>
              <w:overflowPunct w:val="0"/>
              <w:adjustRightInd w:val="0"/>
              <w:jc w:val="both"/>
              <w:rPr>
                <w:rFonts w:cs="Arial"/>
                <w:lang w:val="es-ES"/>
              </w:rPr>
            </w:pPr>
          </w:p>
          <w:p w14:paraId="70541D17" w14:textId="4DFC90AF" w:rsidR="008B1894" w:rsidRPr="003221C4" w:rsidRDefault="1757FEA7" w:rsidP="008B1894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lang w:val="es-ES"/>
              </w:rPr>
            </w:pPr>
            <w:r w:rsidRPr="200D858A">
              <w:rPr>
                <w:rFonts w:cs="Arial"/>
                <w:lang w:val="es-ES"/>
              </w:rPr>
              <w:t xml:space="preserve">Acta de la </w:t>
            </w:r>
            <w:r w:rsidR="1ECC47DE" w:rsidRPr="200D858A">
              <w:rPr>
                <w:rFonts w:cs="Arial"/>
                <w:lang w:val="es-ES"/>
              </w:rPr>
              <w:t>Comisión de Prevención del Lavado de Dinero y Financiamiento del Terrorismo (CPLDFT)</w:t>
            </w:r>
            <w:r w:rsidR="004C111D">
              <w:rPr>
                <w:rFonts w:cs="Arial"/>
                <w:lang w:val="es-ES"/>
              </w:rPr>
              <w:t>.</w:t>
            </w:r>
          </w:p>
        </w:tc>
      </w:tr>
      <w:tr w:rsidR="003221C4" w:rsidRPr="003221C4" w14:paraId="3757A8BB" w14:textId="77777777" w:rsidTr="16462731">
        <w:trPr>
          <w:trHeight w:val="283"/>
        </w:trPr>
        <w:tc>
          <w:tcPr>
            <w:tcW w:w="1560" w:type="dxa"/>
          </w:tcPr>
          <w:p w14:paraId="065932E8" w14:textId="77777777" w:rsidR="00556CAE" w:rsidRDefault="00556CAE" w:rsidP="008B1894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</w:p>
          <w:p w14:paraId="4F395198" w14:textId="1F33192A" w:rsidR="008B1894" w:rsidRPr="003221C4" w:rsidRDefault="008B1894" w:rsidP="008B1894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  <w:r w:rsidRPr="003221C4">
              <w:rPr>
                <w:rFonts w:cs="Arial"/>
                <w:b/>
                <w:bCs/>
                <w:kern w:val="28"/>
                <w:szCs w:val="24"/>
                <w:lang w:val="es-ES_tradnl"/>
              </w:rPr>
              <w:t>Anexo XI</w:t>
            </w:r>
          </w:p>
        </w:tc>
        <w:tc>
          <w:tcPr>
            <w:tcW w:w="7654" w:type="dxa"/>
          </w:tcPr>
          <w:p w14:paraId="2D06EA00" w14:textId="77777777" w:rsidR="00556CAE" w:rsidRDefault="00556CAE" w:rsidP="008B1894">
            <w:pPr>
              <w:widowControl w:val="0"/>
              <w:overflowPunct w:val="0"/>
              <w:adjustRightInd w:val="0"/>
              <w:jc w:val="both"/>
              <w:rPr>
                <w:rFonts w:cs="Arial"/>
                <w:lang w:val="es-ES"/>
              </w:rPr>
            </w:pPr>
          </w:p>
          <w:p w14:paraId="64FC1FAA" w14:textId="4FB781D4" w:rsidR="008B1894" w:rsidRPr="003221C4" w:rsidRDefault="0991611D" w:rsidP="008B1894">
            <w:pPr>
              <w:widowControl w:val="0"/>
              <w:overflowPunct w:val="0"/>
              <w:adjustRightInd w:val="0"/>
              <w:jc w:val="both"/>
              <w:rPr>
                <w:rFonts w:ascii="Helv" w:eastAsia="Calibri" w:hAnsi="Helv" w:cs="Helv"/>
                <w:kern w:val="28"/>
                <w:lang w:val="es-UY" w:eastAsia="en-US"/>
              </w:rPr>
            </w:pPr>
            <w:r w:rsidRPr="34D13489">
              <w:rPr>
                <w:rFonts w:cs="Arial"/>
                <w:lang w:val="es-ES"/>
              </w:rPr>
              <w:t xml:space="preserve">Acta de la </w:t>
            </w:r>
            <w:r w:rsidR="1D6F5FA6" w:rsidRPr="34D13489">
              <w:rPr>
                <w:rFonts w:cs="Arial"/>
                <w:lang w:val="es-ES"/>
              </w:rPr>
              <w:t xml:space="preserve">Comisión </w:t>
            </w:r>
            <w:r w:rsidR="141C6438" w:rsidRPr="34D13489">
              <w:rPr>
                <w:rFonts w:cs="Arial"/>
                <w:lang w:val="es-ES"/>
              </w:rPr>
              <w:t>sobr</w:t>
            </w:r>
            <w:r w:rsidR="1D6F5FA6" w:rsidRPr="34D13489">
              <w:rPr>
                <w:rFonts w:cs="Arial"/>
                <w:lang w:val="es-ES"/>
              </w:rPr>
              <w:t xml:space="preserve">e Sistemas de Pagos Transfronterizos </w:t>
            </w:r>
            <w:r w:rsidR="1D6F5FA6" w:rsidRPr="34D13489">
              <w:rPr>
                <w:rFonts w:ascii="Helv" w:eastAsia="Calibri" w:hAnsi="Helv" w:cs="Helv"/>
                <w:lang w:val="es-UY" w:eastAsia="en-US"/>
              </w:rPr>
              <w:t>(CSPT)</w:t>
            </w:r>
            <w:r w:rsidR="004C111D">
              <w:rPr>
                <w:rFonts w:ascii="Helv" w:eastAsia="Calibri" w:hAnsi="Helv" w:cs="Helv"/>
                <w:lang w:val="es-UY" w:eastAsia="en-US"/>
              </w:rPr>
              <w:t>.</w:t>
            </w:r>
          </w:p>
        </w:tc>
      </w:tr>
      <w:tr w:rsidR="008B1894" w:rsidRPr="003221C4" w14:paraId="5401088C" w14:textId="77777777" w:rsidTr="16462731">
        <w:trPr>
          <w:trHeight w:val="283"/>
        </w:trPr>
        <w:tc>
          <w:tcPr>
            <w:tcW w:w="1560" w:type="dxa"/>
          </w:tcPr>
          <w:p w14:paraId="60DC08AF" w14:textId="77777777" w:rsidR="00556CAE" w:rsidRDefault="00556CAE" w:rsidP="008B1894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</w:p>
          <w:p w14:paraId="4CE38007" w14:textId="7D4BD29F" w:rsidR="008B1894" w:rsidRPr="003221C4" w:rsidRDefault="008B1894" w:rsidP="008B1894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  <w:r w:rsidRPr="003221C4">
              <w:rPr>
                <w:rFonts w:cs="Arial"/>
                <w:b/>
                <w:bCs/>
                <w:kern w:val="28"/>
                <w:szCs w:val="24"/>
                <w:lang w:val="es-ES_tradnl"/>
              </w:rPr>
              <w:t>Anexo XII</w:t>
            </w:r>
          </w:p>
        </w:tc>
        <w:tc>
          <w:tcPr>
            <w:tcW w:w="7654" w:type="dxa"/>
          </w:tcPr>
          <w:p w14:paraId="3CF5D5BB" w14:textId="77777777" w:rsidR="00556CAE" w:rsidRDefault="00556CAE" w:rsidP="008B1894">
            <w:pPr>
              <w:widowControl w:val="0"/>
              <w:overflowPunct w:val="0"/>
              <w:adjustRightInd w:val="0"/>
              <w:jc w:val="both"/>
              <w:rPr>
                <w:rFonts w:cs="Arial"/>
                <w:lang w:val="es-ES"/>
              </w:rPr>
            </w:pPr>
          </w:p>
          <w:p w14:paraId="4EB36A47" w14:textId="74460334" w:rsidR="008B1894" w:rsidRPr="003221C4" w:rsidRDefault="43847317" w:rsidP="008B1894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lang w:val="es-ES"/>
              </w:rPr>
            </w:pPr>
            <w:r w:rsidRPr="5D318170">
              <w:rPr>
                <w:rFonts w:cs="Arial"/>
                <w:lang w:val="es-ES"/>
              </w:rPr>
              <w:t xml:space="preserve">Presentación sobre “Colaboración Internacional en la Supervisión Bancaria de Terceras Partes </w:t>
            </w:r>
            <w:r w:rsidR="5F7C8DC9" w:rsidRPr="5D318170">
              <w:rPr>
                <w:rFonts w:cs="Arial"/>
                <w:lang w:val="es-ES"/>
              </w:rPr>
              <w:t>Proveedoras de Servicios”.</w:t>
            </w:r>
            <w:r w:rsidRPr="5D318170">
              <w:rPr>
                <w:rFonts w:cs="Arial"/>
                <w:lang w:val="es-ES"/>
              </w:rPr>
              <w:t xml:space="preserve"> </w:t>
            </w:r>
          </w:p>
        </w:tc>
      </w:tr>
      <w:tr w:rsidR="003221C4" w:rsidRPr="003221C4" w14:paraId="40C72D13" w14:textId="77777777" w:rsidTr="16462731">
        <w:trPr>
          <w:trHeight w:val="283"/>
        </w:trPr>
        <w:tc>
          <w:tcPr>
            <w:tcW w:w="1560" w:type="dxa"/>
          </w:tcPr>
          <w:p w14:paraId="4F5A4980" w14:textId="77777777" w:rsidR="00556CAE" w:rsidRDefault="00556CAE" w:rsidP="008B1894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</w:p>
          <w:p w14:paraId="1B08BC59" w14:textId="3E1539E1" w:rsidR="008B1894" w:rsidRPr="003221C4" w:rsidRDefault="008B1894" w:rsidP="008B1894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  <w:r w:rsidRPr="003221C4">
              <w:rPr>
                <w:rFonts w:cs="Arial"/>
                <w:b/>
                <w:bCs/>
                <w:kern w:val="28"/>
                <w:szCs w:val="24"/>
                <w:lang w:val="es-ES_tradnl"/>
              </w:rPr>
              <w:t>Anexo XIII</w:t>
            </w:r>
          </w:p>
        </w:tc>
        <w:tc>
          <w:tcPr>
            <w:tcW w:w="7654" w:type="dxa"/>
          </w:tcPr>
          <w:p w14:paraId="22F75CD1" w14:textId="77777777" w:rsidR="00556CAE" w:rsidRDefault="00556CAE" w:rsidP="008B1894">
            <w:pPr>
              <w:widowControl w:val="0"/>
              <w:overflowPunct w:val="0"/>
              <w:adjustRightInd w:val="0"/>
              <w:jc w:val="both"/>
              <w:rPr>
                <w:rFonts w:cs="Arial"/>
                <w:szCs w:val="24"/>
                <w:lang w:val="es-ES"/>
              </w:rPr>
            </w:pPr>
          </w:p>
          <w:p w14:paraId="392E5031" w14:textId="6BF27676" w:rsidR="008B1894" w:rsidRPr="003221C4" w:rsidRDefault="6653ED41" w:rsidP="008B1894">
            <w:pPr>
              <w:widowControl w:val="0"/>
              <w:overflowPunct w:val="0"/>
              <w:adjustRightInd w:val="0"/>
              <w:jc w:val="both"/>
              <w:rPr>
                <w:rFonts w:cs="Arial"/>
                <w:lang w:val="es-ES"/>
              </w:rPr>
            </w:pPr>
            <w:r w:rsidRPr="77A51CB7">
              <w:rPr>
                <w:rFonts w:cs="Arial"/>
                <w:szCs w:val="24"/>
                <w:lang w:val="es-ES"/>
              </w:rPr>
              <w:t xml:space="preserve">Plantilla Carátula para documentos a ser publicados en el </w:t>
            </w:r>
            <w:r w:rsidR="00FA3E36">
              <w:rPr>
                <w:rFonts w:cs="Arial"/>
                <w:szCs w:val="24"/>
                <w:lang w:val="es-ES"/>
              </w:rPr>
              <w:t>Portal Web</w:t>
            </w:r>
            <w:r w:rsidRPr="77A51CB7">
              <w:rPr>
                <w:rFonts w:cs="Arial"/>
                <w:szCs w:val="24"/>
                <w:lang w:val="es-ES"/>
              </w:rPr>
              <w:t xml:space="preserve"> del </w:t>
            </w:r>
            <w:r w:rsidR="00FA3E36">
              <w:rPr>
                <w:rFonts w:cs="Arial"/>
                <w:szCs w:val="24"/>
                <w:lang w:val="es-ES"/>
              </w:rPr>
              <w:t>MERCOSUR</w:t>
            </w:r>
            <w:r w:rsidR="004C111D">
              <w:rPr>
                <w:rFonts w:cs="Arial"/>
                <w:szCs w:val="24"/>
                <w:lang w:val="es-ES"/>
              </w:rPr>
              <w:t>.</w:t>
            </w:r>
          </w:p>
        </w:tc>
      </w:tr>
      <w:tr w:rsidR="008B1894" w:rsidRPr="003221C4" w14:paraId="7AF46101" w14:textId="77777777" w:rsidTr="16462731">
        <w:trPr>
          <w:trHeight w:val="283"/>
        </w:trPr>
        <w:tc>
          <w:tcPr>
            <w:tcW w:w="1560" w:type="dxa"/>
          </w:tcPr>
          <w:p w14:paraId="3A6E48EB" w14:textId="77777777" w:rsidR="00556CAE" w:rsidRDefault="00556CAE" w:rsidP="008B1894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</w:p>
          <w:p w14:paraId="5BAF99A1" w14:textId="77777777" w:rsidR="00556CAE" w:rsidRDefault="00556CAE" w:rsidP="008B1894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</w:p>
          <w:p w14:paraId="3E97A2BF" w14:textId="77777777" w:rsidR="00556CAE" w:rsidRDefault="00556CAE" w:rsidP="008B1894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</w:p>
          <w:p w14:paraId="14F8BE70" w14:textId="77777777" w:rsidR="00556CAE" w:rsidRDefault="00556CAE" w:rsidP="008B1894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</w:p>
          <w:p w14:paraId="33C70B4B" w14:textId="77777777" w:rsidR="00556CAE" w:rsidRDefault="00556CAE" w:rsidP="008B1894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</w:p>
          <w:p w14:paraId="04873C6A" w14:textId="77777777" w:rsidR="00556CAE" w:rsidRDefault="00556CAE" w:rsidP="008B1894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</w:p>
          <w:p w14:paraId="5D43A5AC" w14:textId="77777777" w:rsidR="00556CAE" w:rsidRDefault="00556CAE" w:rsidP="008B1894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</w:p>
          <w:p w14:paraId="342A6387" w14:textId="53256940" w:rsidR="008B1894" w:rsidRPr="003221C4" w:rsidRDefault="008B1894" w:rsidP="008B1894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highlight w:val="yellow"/>
                <w:lang w:val="es-ES_tradnl"/>
              </w:rPr>
            </w:pPr>
            <w:r w:rsidRPr="003221C4">
              <w:rPr>
                <w:rFonts w:cs="Arial"/>
                <w:b/>
                <w:bCs/>
                <w:kern w:val="28"/>
                <w:szCs w:val="24"/>
                <w:lang w:val="es-ES_tradnl"/>
              </w:rPr>
              <w:t>Anexo XIV</w:t>
            </w:r>
          </w:p>
        </w:tc>
        <w:tc>
          <w:tcPr>
            <w:tcW w:w="7654" w:type="dxa"/>
          </w:tcPr>
          <w:p w14:paraId="200972BA" w14:textId="77777777" w:rsidR="00556CAE" w:rsidRDefault="00556CAE" w:rsidP="16462731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highlight w:val="yellow"/>
                <w:lang w:val="es-UY"/>
              </w:rPr>
            </w:pPr>
          </w:p>
          <w:p w14:paraId="6E8C20ED" w14:textId="77777777" w:rsidR="00556CAE" w:rsidRDefault="00556CAE" w:rsidP="16462731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highlight w:val="yellow"/>
                <w:lang w:val="es-UY"/>
              </w:rPr>
            </w:pPr>
          </w:p>
          <w:p w14:paraId="4CAB0A1A" w14:textId="77777777" w:rsidR="00556CAE" w:rsidRDefault="00556CAE" w:rsidP="16462731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highlight w:val="yellow"/>
                <w:lang w:val="es-UY"/>
              </w:rPr>
            </w:pPr>
          </w:p>
          <w:p w14:paraId="51B8C8AB" w14:textId="77777777" w:rsidR="00556CAE" w:rsidRDefault="00556CAE" w:rsidP="16462731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highlight w:val="yellow"/>
                <w:lang w:val="es-UY"/>
              </w:rPr>
            </w:pPr>
          </w:p>
          <w:p w14:paraId="7E069334" w14:textId="77777777" w:rsidR="00556CAE" w:rsidRDefault="00556CAE" w:rsidP="16462731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highlight w:val="yellow"/>
                <w:lang w:val="es-UY"/>
              </w:rPr>
            </w:pPr>
          </w:p>
          <w:p w14:paraId="7D136930" w14:textId="77777777" w:rsidR="00556CAE" w:rsidRDefault="00556CAE" w:rsidP="16462731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highlight w:val="yellow"/>
                <w:lang w:val="es-UY"/>
              </w:rPr>
            </w:pPr>
          </w:p>
          <w:p w14:paraId="4EF4153A" w14:textId="77777777" w:rsidR="00556CAE" w:rsidRDefault="00556CAE" w:rsidP="16462731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highlight w:val="yellow"/>
                <w:lang w:val="es-UY"/>
              </w:rPr>
            </w:pPr>
          </w:p>
          <w:p w14:paraId="2CF9099F" w14:textId="0ADD6EDB" w:rsidR="008B1894" w:rsidRPr="004C111D" w:rsidRDefault="00FA3E36" w:rsidP="16462731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lang w:val="es-UY"/>
              </w:rPr>
            </w:pPr>
            <w:r w:rsidRPr="004C111D">
              <w:rPr>
                <w:rFonts w:cs="Arial"/>
                <w:kern w:val="28"/>
                <w:lang w:val="es-UY"/>
              </w:rPr>
              <w:t>Nota</w:t>
            </w:r>
            <w:r w:rsidR="004C111D">
              <w:rPr>
                <w:rFonts w:cs="Arial"/>
                <w:kern w:val="28"/>
                <w:lang w:val="es-UY"/>
              </w:rPr>
              <w:t xml:space="preserve"> de prensa</w:t>
            </w:r>
            <w:r w:rsidRPr="004C111D">
              <w:rPr>
                <w:rFonts w:cs="Arial"/>
                <w:kern w:val="28"/>
                <w:lang w:val="es-UY"/>
              </w:rPr>
              <w:t xml:space="preserve"> a ser enviada a la SM/UCIM solicitando su publicación en el Portal Web del MERCOSUR</w:t>
            </w:r>
            <w:r w:rsidR="004C111D">
              <w:rPr>
                <w:rFonts w:cs="Arial"/>
                <w:kern w:val="28"/>
                <w:lang w:val="es-UY"/>
              </w:rPr>
              <w:t>.</w:t>
            </w:r>
          </w:p>
          <w:p w14:paraId="465B48C7" w14:textId="77777777" w:rsidR="00556CAE" w:rsidRPr="004C111D" w:rsidRDefault="00556CAE" w:rsidP="16462731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lang w:val="es-UY"/>
              </w:rPr>
            </w:pPr>
          </w:p>
          <w:p w14:paraId="59390151" w14:textId="33F02D5F" w:rsidR="00556CAE" w:rsidRPr="00FA3E36" w:rsidRDefault="00556CAE" w:rsidP="16462731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highlight w:val="yellow"/>
                <w:lang w:val="es-UY"/>
              </w:rPr>
            </w:pPr>
          </w:p>
        </w:tc>
      </w:tr>
      <w:tr w:rsidR="003221C4" w:rsidRPr="003221C4" w14:paraId="674AFEAC" w14:textId="77777777" w:rsidTr="16462731">
        <w:trPr>
          <w:trHeight w:val="283"/>
        </w:trPr>
        <w:tc>
          <w:tcPr>
            <w:tcW w:w="1560" w:type="dxa"/>
          </w:tcPr>
          <w:p w14:paraId="11E1B2B7" w14:textId="1F0DC5E8" w:rsidR="008B1894" w:rsidRPr="003221C4" w:rsidRDefault="008B1894" w:rsidP="008B1894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highlight w:val="yellow"/>
                <w:lang w:val="es-ES_tradnl"/>
              </w:rPr>
            </w:pPr>
            <w:r w:rsidRPr="003221C4">
              <w:rPr>
                <w:rFonts w:cs="Arial"/>
                <w:b/>
                <w:bCs/>
                <w:kern w:val="28"/>
                <w:szCs w:val="24"/>
                <w:lang w:val="es-ES_tradnl"/>
              </w:rPr>
              <w:lastRenderedPageBreak/>
              <w:t>Anexo XV</w:t>
            </w:r>
          </w:p>
        </w:tc>
        <w:tc>
          <w:tcPr>
            <w:tcW w:w="7654" w:type="dxa"/>
          </w:tcPr>
          <w:p w14:paraId="1A91D2A7" w14:textId="1BC25FAF" w:rsidR="008B1894" w:rsidRPr="003221C4" w:rsidRDefault="007E04A4" w:rsidP="16462731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lang w:val="es-UY"/>
              </w:rPr>
            </w:pPr>
            <w:r w:rsidRPr="16462731">
              <w:rPr>
                <w:rFonts w:cs="Arial"/>
                <w:lang w:val="es-ES"/>
              </w:rPr>
              <w:t>Informe semestral sobre el grado de avance del Programa de Trabajo del período 2025-2026 de la CN y las Comisiones dependientes</w:t>
            </w:r>
            <w:r w:rsidR="004C111D">
              <w:rPr>
                <w:rFonts w:cs="Arial"/>
                <w:lang w:val="es-ES"/>
              </w:rPr>
              <w:t>.</w:t>
            </w:r>
          </w:p>
        </w:tc>
      </w:tr>
    </w:tbl>
    <w:p w14:paraId="11B3FC03" w14:textId="77777777" w:rsidR="00671F92" w:rsidRDefault="00671F92" w:rsidP="00671F92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szCs w:val="24"/>
          <w:highlight w:val="yellow"/>
          <w:lang w:val="es-UY"/>
        </w:rPr>
      </w:pPr>
    </w:p>
    <w:p w14:paraId="5C18884C" w14:textId="77777777" w:rsidR="00AA607E" w:rsidRDefault="00AA607E" w:rsidP="00671F92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szCs w:val="24"/>
          <w:highlight w:val="yellow"/>
          <w:lang w:val="es-UY"/>
        </w:rPr>
      </w:pPr>
    </w:p>
    <w:p w14:paraId="77C1AC24" w14:textId="77777777" w:rsidR="00556CAE" w:rsidRDefault="00556CAE" w:rsidP="00671F92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szCs w:val="24"/>
          <w:highlight w:val="yellow"/>
          <w:lang w:val="es-UY"/>
        </w:rPr>
      </w:pPr>
    </w:p>
    <w:p w14:paraId="02CA992A" w14:textId="77777777" w:rsidR="00556CAE" w:rsidRPr="003221C4" w:rsidRDefault="00556CAE" w:rsidP="00671F92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szCs w:val="24"/>
          <w:highlight w:val="yellow"/>
          <w:lang w:val="es-UY"/>
        </w:rPr>
      </w:pPr>
    </w:p>
    <w:tbl>
      <w:tblPr>
        <w:tblW w:w="9390" w:type="dxa"/>
        <w:jc w:val="center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454"/>
        <w:gridCol w:w="4936"/>
      </w:tblGrid>
      <w:tr w:rsidR="003221C4" w:rsidRPr="003221C4" w14:paraId="70FBDE1F" w14:textId="77777777" w:rsidTr="13A52635">
        <w:trPr>
          <w:trHeight w:val="1334"/>
          <w:jc w:val="center"/>
        </w:trPr>
        <w:tc>
          <w:tcPr>
            <w:tcW w:w="4454" w:type="dxa"/>
          </w:tcPr>
          <w:p w14:paraId="40D7B291" w14:textId="77777777" w:rsidR="00671F92" w:rsidRPr="003221C4" w:rsidRDefault="00671F92" w:rsidP="005816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s-UY"/>
              </w:rPr>
            </w:pPr>
            <w:r w:rsidRPr="003221C4">
              <w:rPr>
                <w:rFonts w:cs="Arial"/>
                <w:bCs/>
                <w:kern w:val="28"/>
                <w:szCs w:val="24"/>
                <w:lang w:val="es-UY"/>
              </w:rPr>
              <w:t>___________________________</w:t>
            </w:r>
          </w:p>
          <w:p w14:paraId="2DEA3659" w14:textId="77777777" w:rsidR="00671F92" w:rsidRPr="003221C4" w:rsidRDefault="00671F92" w:rsidP="005816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kern w:val="28"/>
                <w:szCs w:val="24"/>
                <w:lang w:val="es-UY"/>
              </w:rPr>
            </w:pPr>
            <w:r w:rsidRPr="003221C4">
              <w:rPr>
                <w:rFonts w:cs="Arial"/>
                <w:kern w:val="28"/>
                <w:szCs w:val="24"/>
                <w:lang w:val="es-UY"/>
              </w:rPr>
              <w:t>Por la delegación de Argentina</w:t>
            </w:r>
          </w:p>
          <w:p w14:paraId="0D33CDBA" w14:textId="77777777" w:rsidR="00671F92" w:rsidRPr="003221C4" w:rsidRDefault="00671F92" w:rsidP="005816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kern w:val="28"/>
                <w:szCs w:val="24"/>
                <w:lang w:val="es-UY"/>
              </w:rPr>
            </w:pPr>
            <w:r w:rsidRPr="003221C4">
              <w:rPr>
                <w:rFonts w:cs="Arial"/>
                <w:b/>
                <w:kern w:val="28"/>
                <w:szCs w:val="24"/>
                <w:lang w:val="es-UY"/>
              </w:rPr>
              <w:t>Juan Abelardo Larralde Hernández</w:t>
            </w:r>
          </w:p>
          <w:p w14:paraId="1768006F" w14:textId="77777777" w:rsidR="00671F92" w:rsidRDefault="00671F92" w:rsidP="005816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kern w:val="28"/>
                <w:szCs w:val="24"/>
                <w:lang w:val="es-UY"/>
              </w:rPr>
            </w:pPr>
          </w:p>
          <w:p w14:paraId="3000AB7F" w14:textId="77777777" w:rsidR="00556CAE" w:rsidRDefault="00556CAE" w:rsidP="005816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kern w:val="28"/>
                <w:szCs w:val="24"/>
                <w:lang w:val="es-UY"/>
              </w:rPr>
            </w:pPr>
          </w:p>
          <w:p w14:paraId="71A52E83" w14:textId="77777777" w:rsidR="00556CAE" w:rsidRPr="003221C4" w:rsidRDefault="00556CAE" w:rsidP="005816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kern w:val="28"/>
                <w:szCs w:val="24"/>
                <w:lang w:val="es-UY"/>
              </w:rPr>
            </w:pPr>
          </w:p>
          <w:p w14:paraId="39B8075E" w14:textId="77777777" w:rsidR="00671F92" w:rsidRPr="003221C4" w:rsidRDefault="00671F92" w:rsidP="005816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kern w:val="28"/>
                <w:szCs w:val="24"/>
                <w:lang w:val="es-UY"/>
              </w:rPr>
            </w:pPr>
          </w:p>
        </w:tc>
        <w:tc>
          <w:tcPr>
            <w:tcW w:w="4936" w:type="dxa"/>
          </w:tcPr>
          <w:p w14:paraId="63FF7B83" w14:textId="77777777" w:rsidR="00671F92" w:rsidRPr="003221C4" w:rsidRDefault="00671F92" w:rsidP="005816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UY"/>
              </w:rPr>
            </w:pPr>
            <w:r w:rsidRPr="003221C4">
              <w:rPr>
                <w:rFonts w:cs="Arial"/>
                <w:bCs/>
                <w:kern w:val="28"/>
                <w:szCs w:val="24"/>
                <w:lang w:val="es-UY"/>
              </w:rPr>
              <w:t>___________________________</w:t>
            </w:r>
          </w:p>
          <w:p w14:paraId="5B322CAD" w14:textId="77777777" w:rsidR="00671F92" w:rsidRPr="003221C4" w:rsidRDefault="00671F92" w:rsidP="00581666">
            <w:pPr>
              <w:widowControl w:val="0"/>
              <w:overflowPunct w:val="0"/>
              <w:adjustRightInd w:val="0"/>
              <w:jc w:val="center"/>
              <w:rPr>
                <w:rFonts w:cs="Arial"/>
                <w:kern w:val="28"/>
                <w:szCs w:val="24"/>
                <w:lang w:val="es-UY"/>
              </w:rPr>
            </w:pPr>
            <w:r w:rsidRPr="003221C4">
              <w:rPr>
                <w:rFonts w:cs="Arial"/>
                <w:kern w:val="28"/>
                <w:szCs w:val="24"/>
                <w:lang w:val="es-UY"/>
              </w:rPr>
              <w:t>Por la delegación de Brasil</w:t>
            </w:r>
          </w:p>
          <w:p w14:paraId="2EE8CBC1" w14:textId="79506B72" w:rsidR="00671F92" w:rsidRPr="003221C4" w:rsidRDefault="00C817FF" w:rsidP="00581666">
            <w:pPr>
              <w:widowControl w:val="0"/>
              <w:overflowPunct w:val="0"/>
              <w:adjustRightInd w:val="0"/>
              <w:jc w:val="center"/>
              <w:rPr>
                <w:rFonts w:cs="Arial"/>
                <w:b/>
                <w:kern w:val="28"/>
                <w:szCs w:val="24"/>
                <w:lang w:val="es-UY"/>
              </w:rPr>
            </w:pPr>
            <w:r w:rsidRPr="003221C4">
              <w:rPr>
                <w:rFonts w:cs="Arial"/>
                <w:b/>
                <w:kern w:val="28"/>
                <w:szCs w:val="24"/>
                <w:lang w:val="es-UY"/>
              </w:rPr>
              <w:t xml:space="preserve">Bianca </w:t>
            </w:r>
            <w:r w:rsidR="00196904" w:rsidRPr="003221C4">
              <w:rPr>
                <w:rFonts w:cs="Arial"/>
                <w:b/>
                <w:kern w:val="28"/>
                <w:szCs w:val="24"/>
                <w:lang w:val="es-UY"/>
              </w:rPr>
              <w:t xml:space="preserve">Viana </w:t>
            </w:r>
            <w:r w:rsidRPr="003221C4">
              <w:rPr>
                <w:rFonts w:cs="Arial"/>
                <w:b/>
                <w:kern w:val="28"/>
                <w:szCs w:val="24"/>
                <w:lang w:val="es-UY"/>
              </w:rPr>
              <w:t>Cardo</w:t>
            </w:r>
            <w:r w:rsidR="00196904" w:rsidRPr="003221C4">
              <w:rPr>
                <w:rFonts w:cs="Arial"/>
                <w:b/>
                <w:kern w:val="28"/>
                <w:szCs w:val="24"/>
                <w:lang w:val="es-UY"/>
              </w:rPr>
              <w:t>s</w:t>
            </w:r>
            <w:r w:rsidRPr="003221C4">
              <w:rPr>
                <w:rFonts w:cs="Arial"/>
                <w:b/>
                <w:kern w:val="28"/>
                <w:szCs w:val="24"/>
                <w:lang w:val="es-UY"/>
              </w:rPr>
              <w:t>o</w:t>
            </w:r>
            <w:r w:rsidR="00196904" w:rsidRPr="003221C4">
              <w:rPr>
                <w:rFonts w:cs="Arial"/>
                <w:b/>
                <w:kern w:val="28"/>
                <w:szCs w:val="24"/>
                <w:lang w:val="es-UY"/>
              </w:rPr>
              <w:t xml:space="preserve"> </w:t>
            </w:r>
            <w:proofErr w:type="spellStart"/>
            <w:r w:rsidR="00196904" w:rsidRPr="003221C4">
              <w:rPr>
                <w:rFonts w:cs="Arial"/>
                <w:b/>
                <w:kern w:val="28"/>
                <w:szCs w:val="24"/>
                <w:lang w:val="es-UY"/>
              </w:rPr>
              <w:t>Kivel</w:t>
            </w:r>
            <w:proofErr w:type="spellEnd"/>
          </w:p>
          <w:p w14:paraId="33DD7BF6" w14:textId="77777777" w:rsidR="00671F92" w:rsidRPr="003221C4" w:rsidRDefault="00671F92" w:rsidP="00581666">
            <w:pPr>
              <w:widowControl w:val="0"/>
              <w:overflowPunct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UY"/>
              </w:rPr>
            </w:pPr>
          </w:p>
          <w:p w14:paraId="75C7119E" w14:textId="77777777" w:rsidR="00671F92" w:rsidRPr="003221C4" w:rsidRDefault="00671F92" w:rsidP="00581666">
            <w:pPr>
              <w:widowControl w:val="0"/>
              <w:overflowPunct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UY"/>
              </w:rPr>
            </w:pPr>
          </w:p>
        </w:tc>
      </w:tr>
      <w:tr w:rsidR="003221C4" w:rsidRPr="003221C4" w14:paraId="547F24B7" w14:textId="77777777" w:rsidTr="13A52635">
        <w:trPr>
          <w:trHeight w:val="930"/>
          <w:jc w:val="center"/>
        </w:trPr>
        <w:tc>
          <w:tcPr>
            <w:tcW w:w="4454" w:type="dxa"/>
            <w:hideMark/>
          </w:tcPr>
          <w:p w14:paraId="098531B1" w14:textId="77777777" w:rsidR="00671F92" w:rsidRPr="003221C4" w:rsidRDefault="00671F92" w:rsidP="005816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UY"/>
              </w:rPr>
            </w:pPr>
            <w:bookmarkStart w:id="3" w:name="_Hlk117585788"/>
            <w:r w:rsidRPr="003221C4">
              <w:rPr>
                <w:rFonts w:cs="Arial"/>
                <w:bCs/>
                <w:kern w:val="28"/>
                <w:szCs w:val="24"/>
                <w:lang w:val="es-UY"/>
              </w:rPr>
              <w:t>___________________________</w:t>
            </w:r>
          </w:p>
          <w:p w14:paraId="55D01277" w14:textId="77777777" w:rsidR="00671F92" w:rsidRPr="003221C4" w:rsidRDefault="00671F92" w:rsidP="005816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kern w:val="28"/>
                <w:szCs w:val="24"/>
                <w:lang w:val="es-UY"/>
              </w:rPr>
            </w:pPr>
            <w:r w:rsidRPr="003221C4">
              <w:rPr>
                <w:rFonts w:cs="Arial"/>
                <w:kern w:val="28"/>
                <w:szCs w:val="24"/>
                <w:lang w:val="es-UY"/>
              </w:rPr>
              <w:t>Por la delegación de Paraguay</w:t>
            </w:r>
            <w:bookmarkEnd w:id="3"/>
          </w:p>
          <w:p w14:paraId="5CE53350" w14:textId="77777777" w:rsidR="00671F92" w:rsidRDefault="00671F92" w:rsidP="005816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kern w:val="28"/>
                <w:szCs w:val="24"/>
                <w:lang w:val="es-UY"/>
              </w:rPr>
            </w:pPr>
            <w:r w:rsidRPr="003221C4">
              <w:rPr>
                <w:rFonts w:cs="Arial"/>
                <w:b/>
                <w:bCs/>
                <w:kern w:val="28"/>
                <w:szCs w:val="24"/>
                <w:lang w:val="es-UY"/>
              </w:rPr>
              <w:t xml:space="preserve">Eduardo José </w:t>
            </w:r>
            <w:proofErr w:type="spellStart"/>
            <w:r w:rsidRPr="003221C4">
              <w:rPr>
                <w:rFonts w:cs="Arial"/>
                <w:b/>
                <w:bCs/>
                <w:kern w:val="28"/>
                <w:szCs w:val="24"/>
                <w:lang w:val="es-UY"/>
              </w:rPr>
              <w:t>Feschenko</w:t>
            </w:r>
            <w:proofErr w:type="spellEnd"/>
            <w:r w:rsidRPr="003221C4">
              <w:rPr>
                <w:rFonts w:cs="Arial"/>
                <w:b/>
                <w:bCs/>
                <w:kern w:val="28"/>
                <w:szCs w:val="24"/>
                <w:lang w:val="es-UY"/>
              </w:rPr>
              <w:t xml:space="preserve"> </w:t>
            </w:r>
            <w:proofErr w:type="spellStart"/>
            <w:r w:rsidRPr="003221C4">
              <w:rPr>
                <w:rFonts w:cs="Arial"/>
                <w:b/>
                <w:bCs/>
                <w:kern w:val="28"/>
                <w:szCs w:val="24"/>
                <w:lang w:val="es-UY"/>
              </w:rPr>
              <w:t>Gilardoni</w:t>
            </w:r>
            <w:proofErr w:type="spellEnd"/>
          </w:p>
          <w:p w14:paraId="56085EED" w14:textId="77777777" w:rsidR="008F2486" w:rsidRDefault="008F2486" w:rsidP="005816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kern w:val="28"/>
                <w:szCs w:val="24"/>
                <w:lang w:val="es-UY"/>
              </w:rPr>
            </w:pPr>
          </w:p>
          <w:p w14:paraId="4B1A74F2" w14:textId="77777777" w:rsidR="008F2486" w:rsidRDefault="008F2486" w:rsidP="00AA607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b/>
                <w:bCs/>
                <w:kern w:val="28"/>
                <w:szCs w:val="24"/>
                <w:lang w:val="es-UY"/>
              </w:rPr>
            </w:pPr>
          </w:p>
          <w:p w14:paraId="509607D9" w14:textId="77777777" w:rsidR="00556CAE" w:rsidRDefault="00556CAE" w:rsidP="00AA607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b/>
                <w:bCs/>
                <w:kern w:val="28"/>
                <w:szCs w:val="24"/>
                <w:lang w:val="es-UY"/>
              </w:rPr>
            </w:pPr>
          </w:p>
          <w:p w14:paraId="2A613DCB" w14:textId="77777777" w:rsidR="00556CAE" w:rsidRPr="003221C4" w:rsidRDefault="00556CAE" w:rsidP="00AA607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b/>
                <w:bCs/>
                <w:kern w:val="28"/>
                <w:szCs w:val="24"/>
                <w:lang w:val="es-UY"/>
              </w:rPr>
            </w:pPr>
          </w:p>
        </w:tc>
        <w:tc>
          <w:tcPr>
            <w:tcW w:w="4936" w:type="dxa"/>
            <w:hideMark/>
          </w:tcPr>
          <w:p w14:paraId="6F8C5110" w14:textId="77777777" w:rsidR="00671F92" w:rsidRPr="003221C4" w:rsidRDefault="00671F92" w:rsidP="005816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UY"/>
              </w:rPr>
            </w:pPr>
            <w:r w:rsidRPr="003221C4">
              <w:rPr>
                <w:rFonts w:cs="Arial"/>
                <w:bCs/>
                <w:kern w:val="28"/>
                <w:szCs w:val="24"/>
                <w:lang w:val="es-UY"/>
              </w:rPr>
              <w:t>___________________________</w:t>
            </w:r>
          </w:p>
          <w:p w14:paraId="750EB51E" w14:textId="77777777" w:rsidR="00671F92" w:rsidRPr="003221C4" w:rsidRDefault="00671F92" w:rsidP="00581666">
            <w:pPr>
              <w:widowControl w:val="0"/>
              <w:overflowPunct w:val="0"/>
              <w:adjustRightInd w:val="0"/>
              <w:jc w:val="center"/>
              <w:rPr>
                <w:rFonts w:cs="Arial"/>
                <w:kern w:val="28"/>
                <w:szCs w:val="24"/>
                <w:lang w:val="es-UY"/>
              </w:rPr>
            </w:pPr>
            <w:r w:rsidRPr="003221C4">
              <w:rPr>
                <w:rFonts w:cs="Arial"/>
                <w:kern w:val="28"/>
                <w:szCs w:val="24"/>
                <w:lang w:val="es-UY"/>
              </w:rPr>
              <w:t>Por la delegación de Uruguay</w:t>
            </w:r>
          </w:p>
          <w:p w14:paraId="504725BA" w14:textId="00088F85" w:rsidR="00671F92" w:rsidRPr="003221C4" w:rsidRDefault="00671F92" w:rsidP="00581666">
            <w:pPr>
              <w:widowControl w:val="0"/>
              <w:overflowPunct w:val="0"/>
              <w:adjustRightInd w:val="0"/>
              <w:jc w:val="center"/>
              <w:rPr>
                <w:rFonts w:cs="Arial"/>
                <w:b/>
                <w:bCs/>
                <w:kern w:val="28"/>
                <w:szCs w:val="24"/>
                <w:lang w:val="es-UY"/>
              </w:rPr>
            </w:pPr>
            <w:r w:rsidRPr="003221C4">
              <w:rPr>
                <w:rFonts w:cs="Arial"/>
                <w:b/>
                <w:bCs/>
                <w:kern w:val="28"/>
                <w:szCs w:val="24"/>
                <w:lang w:val="es-UY"/>
              </w:rPr>
              <w:t>Cecilia</w:t>
            </w:r>
            <w:r w:rsidR="003C1229" w:rsidRPr="003221C4">
              <w:rPr>
                <w:rFonts w:cs="Arial"/>
                <w:b/>
                <w:bCs/>
                <w:kern w:val="28"/>
                <w:szCs w:val="24"/>
                <w:lang w:val="es-UY"/>
              </w:rPr>
              <w:t xml:space="preserve"> Mariana</w:t>
            </w:r>
            <w:r w:rsidRPr="003221C4">
              <w:rPr>
                <w:rFonts w:cs="Arial"/>
                <w:b/>
                <w:bCs/>
                <w:kern w:val="28"/>
                <w:szCs w:val="24"/>
                <w:lang w:val="es-UY"/>
              </w:rPr>
              <w:t xml:space="preserve"> </w:t>
            </w:r>
            <w:proofErr w:type="spellStart"/>
            <w:r w:rsidRPr="003221C4">
              <w:rPr>
                <w:rFonts w:cs="Arial"/>
                <w:b/>
                <w:bCs/>
                <w:kern w:val="28"/>
                <w:szCs w:val="24"/>
                <w:lang w:val="es-UY"/>
              </w:rPr>
              <w:t>Molinari</w:t>
            </w:r>
            <w:proofErr w:type="spellEnd"/>
            <w:r w:rsidR="003C1229" w:rsidRPr="003221C4">
              <w:rPr>
                <w:rFonts w:cs="Arial"/>
                <w:b/>
                <w:bCs/>
                <w:kern w:val="28"/>
                <w:szCs w:val="24"/>
                <w:lang w:val="es-UY"/>
              </w:rPr>
              <w:t xml:space="preserve"> </w:t>
            </w:r>
            <w:proofErr w:type="spellStart"/>
            <w:r w:rsidR="003C1229" w:rsidRPr="003221C4">
              <w:rPr>
                <w:rFonts w:cs="Arial"/>
                <w:b/>
                <w:bCs/>
                <w:kern w:val="28"/>
                <w:szCs w:val="24"/>
                <w:lang w:val="es-UY"/>
              </w:rPr>
              <w:t>Barili</w:t>
            </w:r>
            <w:proofErr w:type="spellEnd"/>
          </w:p>
        </w:tc>
      </w:tr>
      <w:tr w:rsidR="008F2486" w:rsidRPr="003221C4" w14:paraId="434DB8F0" w14:textId="77777777" w:rsidTr="13A52635">
        <w:trPr>
          <w:trHeight w:val="701"/>
          <w:jc w:val="center"/>
        </w:trPr>
        <w:tc>
          <w:tcPr>
            <w:tcW w:w="9390" w:type="dxa"/>
            <w:gridSpan w:val="2"/>
          </w:tcPr>
          <w:p w14:paraId="62700A5E" w14:textId="77777777" w:rsidR="008F2486" w:rsidRDefault="008F2486" w:rsidP="008F24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kern w:val="28"/>
                <w:szCs w:val="24"/>
                <w:lang w:val="es-ES"/>
              </w:rPr>
            </w:pPr>
            <w:r>
              <w:rPr>
                <w:rFonts w:cs="Arial"/>
                <w:kern w:val="28"/>
                <w:szCs w:val="24"/>
                <w:lang w:val="es-ES"/>
              </w:rPr>
              <w:t>________________________________</w:t>
            </w:r>
          </w:p>
          <w:p w14:paraId="2C277435" w14:textId="460FAD16" w:rsidR="008F2486" w:rsidRPr="003221C4" w:rsidRDefault="008F2486" w:rsidP="008F24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kern w:val="28"/>
                <w:szCs w:val="24"/>
                <w:lang w:val="es-ES"/>
              </w:rPr>
            </w:pPr>
            <w:r w:rsidRPr="003221C4">
              <w:rPr>
                <w:rFonts w:cs="Arial"/>
                <w:kern w:val="28"/>
                <w:szCs w:val="24"/>
                <w:lang w:val="es-ES"/>
              </w:rPr>
              <w:t>Por la delegación de Bolivia</w:t>
            </w:r>
          </w:p>
          <w:p w14:paraId="29EC6F3C" w14:textId="65091A25" w:rsidR="008F2486" w:rsidRPr="008F2486" w:rsidRDefault="008F2486" w:rsidP="1FA7B5EF">
            <w:pPr>
              <w:rPr>
                <w:rFonts w:cs="Arial"/>
                <w:lang w:val="es-ES"/>
              </w:rPr>
            </w:pPr>
            <w:r w:rsidRPr="13A52635">
              <w:rPr>
                <w:rFonts w:cs="Arial"/>
                <w:b/>
                <w:bCs/>
                <w:kern w:val="28"/>
                <w:lang w:val="es-ES"/>
              </w:rPr>
              <w:t xml:space="preserve">                                   </w:t>
            </w:r>
            <w:proofErr w:type="spellStart"/>
            <w:r w:rsidR="717E67D3" w:rsidRPr="13A52635">
              <w:rPr>
                <w:rFonts w:cs="Arial"/>
                <w:b/>
                <w:bCs/>
                <w:szCs w:val="24"/>
                <w:lang w:val="es-AR"/>
              </w:rPr>
              <w:t>Sitz</w:t>
            </w:r>
            <w:proofErr w:type="spellEnd"/>
            <w:r w:rsidR="717E67D3" w:rsidRPr="13A52635">
              <w:rPr>
                <w:rFonts w:cs="Arial"/>
                <w:b/>
                <w:bCs/>
                <w:szCs w:val="24"/>
                <w:lang w:val="es-AR"/>
              </w:rPr>
              <w:t xml:space="preserve"> Gerardo Javier </w:t>
            </w:r>
            <w:proofErr w:type="spellStart"/>
            <w:r w:rsidR="717E67D3" w:rsidRPr="13A52635">
              <w:rPr>
                <w:rFonts w:cs="Arial"/>
                <w:b/>
                <w:bCs/>
                <w:szCs w:val="24"/>
                <w:lang w:val="es-AR"/>
              </w:rPr>
              <w:t>Cespedes</w:t>
            </w:r>
            <w:proofErr w:type="spellEnd"/>
            <w:r w:rsidR="717E67D3" w:rsidRPr="13A52635">
              <w:rPr>
                <w:rFonts w:cs="Arial"/>
                <w:b/>
                <w:bCs/>
                <w:szCs w:val="24"/>
                <w:lang w:val="es-AR"/>
              </w:rPr>
              <w:t xml:space="preserve"> Saavedra  </w:t>
            </w:r>
            <w:r w:rsidR="717E67D3" w:rsidRPr="13A52635">
              <w:rPr>
                <w:rFonts w:cs="Arial"/>
                <w:b/>
                <w:bCs/>
                <w:szCs w:val="24"/>
                <w:lang w:val="es-ES"/>
              </w:rPr>
              <w:t xml:space="preserve"> </w:t>
            </w:r>
          </w:p>
          <w:p w14:paraId="691770C2" w14:textId="5136244D" w:rsidR="008F2486" w:rsidRPr="008F2486" w:rsidRDefault="008F2486" w:rsidP="1FA7B5EF">
            <w:pPr>
              <w:rPr>
                <w:rFonts w:cs="Arial"/>
                <w:b/>
                <w:bCs/>
                <w:kern w:val="28"/>
                <w:lang w:val="es-ES"/>
              </w:rPr>
            </w:pPr>
          </w:p>
        </w:tc>
      </w:tr>
    </w:tbl>
    <w:p w14:paraId="17BCAFB3" w14:textId="5B8A097D" w:rsidR="00671F92" w:rsidRPr="003221C4" w:rsidRDefault="00671F92" w:rsidP="008F2486">
      <w:pPr>
        <w:widowControl w:val="0"/>
        <w:overflowPunct w:val="0"/>
        <w:autoSpaceDE w:val="0"/>
        <w:autoSpaceDN w:val="0"/>
        <w:adjustRightInd w:val="0"/>
        <w:rPr>
          <w:rFonts w:cs="Arial"/>
          <w:bCs/>
          <w:kern w:val="28"/>
          <w:szCs w:val="24"/>
          <w:lang w:val="es-ES"/>
        </w:rPr>
      </w:pPr>
    </w:p>
    <w:sectPr w:rsidR="00671F92" w:rsidRPr="003221C4" w:rsidSect="0089603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C9F3B" w14:textId="77777777" w:rsidR="00E052C0" w:rsidRDefault="00E052C0" w:rsidP="0089603A">
      <w:r>
        <w:separator/>
      </w:r>
    </w:p>
  </w:endnote>
  <w:endnote w:type="continuationSeparator" w:id="0">
    <w:p w14:paraId="754DF4DB" w14:textId="77777777" w:rsidR="00E052C0" w:rsidRDefault="00E052C0" w:rsidP="0089603A">
      <w:r>
        <w:continuationSeparator/>
      </w:r>
    </w:p>
  </w:endnote>
  <w:endnote w:type="continuationNotice" w:id="1">
    <w:p w14:paraId="7BCE8457" w14:textId="77777777" w:rsidR="00E052C0" w:rsidRDefault="00E052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0565868"/>
      <w:docPartObj>
        <w:docPartGallery w:val="Page Numbers (Bottom of Page)"/>
        <w:docPartUnique/>
      </w:docPartObj>
    </w:sdtPr>
    <w:sdtEndPr/>
    <w:sdtContent>
      <w:p w14:paraId="6C026747" w14:textId="3DC5BA93" w:rsidR="0089603A" w:rsidRDefault="0089603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120C8BA" w14:textId="77777777" w:rsidR="0089603A" w:rsidRDefault="008960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33E1C2A" w14:paraId="7E945444" w14:textId="77777777" w:rsidTr="033E1C2A">
      <w:trPr>
        <w:trHeight w:val="300"/>
      </w:trPr>
      <w:tc>
        <w:tcPr>
          <w:tcW w:w="2830" w:type="dxa"/>
        </w:tcPr>
        <w:p w14:paraId="74A9EC97" w14:textId="76E20858" w:rsidR="033E1C2A" w:rsidRDefault="033E1C2A" w:rsidP="033E1C2A">
          <w:pPr>
            <w:pStyle w:val="Encabezado"/>
            <w:ind w:left="-115"/>
          </w:pPr>
        </w:p>
      </w:tc>
      <w:tc>
        <w:tcPr>
          <w:tcW w:w="2830" w:type="dxa"/>
        </w:tcPr>
        <w:p w14:paraId="1670ED9C" w14:textId="79009784" w:rsidR="033E1C2A" w:rsidRDefault="033E1C2A" w:rsidP="033E1C2A">
          <w:pPr>
            <w:pStyle w:val="Encabezado"/>
            <w:jc w:val="center"/>
          </w:pPr>
        </w:p>
      </w:tc>
      <w:tc>
        <w:tcPr>
          <w:tcW w:w="2830" w:type="dxa"/>
        </w:tcPr>
        <w:p w14:paraId="5CF2FF2F" w14:textId="46833E50" w:rsidR="033E1C2A" w:rsidRDefault="033E1C2A" w:rsidP="033E1C2A">
          <w:pPr>
            <w:pStyle w:val="Encabezado"/>
            <w:ind w:right="-115"/>
            <w:jc w:val="right"/>
          </w:pPr>
        </w:p>
      </w:tc>
    </w:tr>
  </w:tbl>
  <w:p w14:paraId="6735A44D" w14:textId="40484E41" w:rsidR="00210AC6" w:rsidRDefault="00210A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42530" w14:textId="77777777" w:rsidR="00E052C0" w:rsidRDefault="00E052C0" w:rsidP="0089603A">
      <w:r>
        <w:separator/>
      </w:r>
    </w:p>
  </w:footnote>
  <w:footnote w:type="continuationSeparator" w:id="0">
    <w:p w14:paraId="514F2AA2" w14:textId="77777777" w:rsidR="00E052C0" w:rsidRDefault="00E052C0" w:rsidP="0089603A">
      <w:r>
        <w:continuationSeparator/>
      </w:r>
    </w:p>
  </w:footnote>
  <w:footnote w:type="continuationNotice" w:id="1">
    <w:p w14:paraId="19741324" w14:textId="77777777" w:rsidR="00E052C0" w:rsidRDefault="00E052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33E1C2A" w14:paraId="7D341860" w14:textId="77777777" w:rsidTr="033E1C2A">
      <w:trPr>
        <w:trHeight w:val="300"/>
      </w:trPr>
      <w:tc>
        <w:tcPr>
          <w:tcW w:w="2830" w:type="dxa"/>
        </w:tcPr>
        <w:p w14:paraId="76689C5F" w14:textId="35C5437D" w:rsidR="033E1C2A" w:rsidRDefault="033E1C2A" w:rsidP="033E1C2A">
          <w:pPr>
            <w:pStyle w:val="Encabezado"/>
            <w:ind w:left="-115"/>
          </w:pPr>
        </w:p>
      </w:tc>
      <w:tc>
        <w:tcPr>
          <w:tcW w:w="2830" w:type="dxa"/>
        </w:tcPr>
        <w:p w14:paraId="5710648F" w14:textId="11000AC7" w:rsidR="033E1C2A" w:rsidRDefault="033E1C2A" w:rsidP="033E1C2A">
          <w:pPr>
            <w:pStyle w:val="Encabezado"/>
            <w:jc w:val="center"/>
          </w:pPr>
        </w:p>
      </w:tc>
      <w:tc>
        <w:tcPr>
          <w:tcW w:w="2830" w:type="dxa"/>
        </w:tcPr>
        <w:p w14:paraId="1968A638" w14:textId="69D8C2C7" w:rsidR="033E1C2A" w:rsidRDefault="033E1C2A" w:rsidP="033E1C2A">
          <w:pPr>
            <w:pStyle w:val="Encabezado"/>
            <w:ind w:right="-115"/>
            <w:jc w:val="right"/>
          </w:pPr>
        </w:p>
      </w:tc>
    </w:tr>
  </w:tbl>
  <w:p w14:paraId="54566FBD" w14:textId="34E60908" w:rsidR="00210AC6" w:rsidRDefault="00210A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33E1C2A" w14:paraId="6E2C256B" w14:textId="77777777" w:rsidTr="033E1C2A">
      <w:trPr>
        <w:trHeight w:val="300"/>
      </w:trPr>
      <w:tc>
        <w:tcPr>
          <w:tcW w:w="2830" w:type="dxa"/>
        </w:tcPr>
        <w:p w14:paraId="1EF5F83F" w14:textId="2F5089BF" w:rsidR="033E1C2A" w:rsidRDefault="033E1C2A" w:rsidP="033E1C2A">
          <w:pPr>
            <w:pStyle w:val="Encabezado"/>
            <w:ind w:left="-115"/>
          </w:pPr>
        </w:p>
      </w:tc>
      <w:tc>
        <w:tcPr>
          <w:tcW w:w="2830" w:type="dxa"/>
        </w:tcPr>
        <w:p w14:paraId="6F361CBB" w14:textId="2A8606B1" w:rsidR="033E1C2A" w:rsidRDefault="033E1C2A" w:rsidP="033E1C2A">
          <w:pPr>
            <w:pStyle w:val="Encabezado"/>
            <w:jc w:val="center"/>
          </w:pPr>
        </w:p>
      </w:tc>
      <w:tc>
        <w:tcPr>
          <w:tcW w:w="2830" w:type="dxa"/>
        </w:tcPr>
        <w:p w14:paraId="418E2936" w14:textId="3AFDCB17" w:rsidR="033E1C2A" w:rsidRDefault="033E1C2A" w:rsidP="033E1C2A">
          <w:pPr>
            <w:pStyle w:val="Encabezado"/>
            <w:ind w:right="-115"/>
            <w:jc w:val="right"/>
          </w:pPr>
        </w:p>
      </w:tc>
    </w:tr>
  </w:tbl>
  <w:p w14:paraId="0E027BAE" w14:textId="1D3E1AE2" w:rsidR="00210AC6" w:rsidRDefault="00210A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6135F"/>
    <w:multiLevelType w:val="hybridMultilevel"/>
    <w:tmpl w:val="50D2DD5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E2DBD"/>
    <w:multiLevelType w:val="multilevel"/>
    <w:tmpl w:val="BC16214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8CD4BFC"/>
    <w:multiLevelType w:val="multilevel"/>
    <w:tmpl w:val="72185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751742"/>
    <w:multiLevelType w:val="hybridMultilevel"/>
    <w:tmpl w:val="102EFEB2"/>
    <w:lvl w:ilvl="0" w:tplc="BBB0D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C2F19"/>
    <w:multiLevelType w:val="hybridMultilevel"/>
    <w:tmpl w:val="0AA602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6730D"/>
    <w:multiLevelType w:val="hybridMultilevel"/>
    <w:tmpl w:val="1062F24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83D25"/>
    <w:multiLevelType w:val="multilevel"/>
    <w:tmpl w:val="02E0B0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516505061">
    <w:abstractNumId w:val="2"/>
  </w:num>
  <w:num w:numId="2" w16cid:durableId="1645816755">
    <w:abstractNumId w:val="1"/>
  </w:num>
  <w:num w:numId="3" w16cid:durableId="1398550591">
    <w:abstractNumId w:val="4"/>
  </w:num>
  <w:num w:numId="4" w16cid:durableId="284233559">
    <w:abstractNumId w:val="6"/>
  </w:num>
  <w:num w:numId="5" w16cid:durableId="1136490862">
    <w:abstractNumId w:val="5"/>
  </w:num>
  <w:num w:numId="6" w16cid:durableId="243993932">
    <w:abstractNumId w:val="3"/>
  </w:num>
  <w:num w:numId="7" w16cid:durableId="114296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16"/>
    <w:rsid w:val="000015EC"/>
    <w:rsid w:val="00002F9E"/>
    <w:rsid w:val="00010916"/>
    <w:rsid w:val="00011172"/>
    <w:rsid w:val="00014336"/>
    <w:rsid w:val="000164B3"/>
    <w:rsid w:val="00017614"/>
    <w:rsid w:val="000179D7"/>
    <w:rsid w:val="000209BB"/>
    <w:rsid w:val="000212F7"/>
    <w:rsid w:val="00026611"/>
    <w:rsid w:val="00030B94"/>
    <w:rsid w:val="00033BD5"/>
    <w:rsid w:val="00034422"/>
    <w:rsid w:val="00034887"/>
    <w:rsid w:val="00035202"/>
    <w:rsid w:val="0003606A"/>
    <w:rsid w:val="000410DF"/>
    <w:rsid w:val="00041F7E"/>
    <w:rsid w:val="00043561"/>
    <w:rsid w:val="000532BE"/>
    <w:rsid w:val="00056732"/>
    <w:rsid w:val="000603F0"/>
    <w:rsid w:val="000641B5"/>
    <w:rsid w:val="00064442"/>
    <w:rsid w:val="000653DF"/>
    <w:rsid w:val="0006614F"/>
    <w:rsid w:val="00066B5A"/>
    <w:rsid w:val="00067410"/>
    <w:rsid w:val="00070AA0"/>
    <w:rsid w:val="000713C1"/>
    <w:rsid w:val="00071A2A"/>
    <w:rsid w:val="00074C2D"/>
    <w:rsid w:val="0007600B"/>
    <w:rsid w:val="00082059"/>
    <w:rsid w:val="000833BC"/>
    <w:rsid w:val="0008536A"/>
    <w:rsid w:val="00086DB5"/>
    <w:rsid w:val="00087049"/>
    <w:rsid w:val="00087FD7"/>
    <w:rsid w:val="00090350"/>
    <w:rsid w:val="000916BE"/>
    <w:rsid w:val="00091B08"/>
    <w:rsid w:val="00091EC1"/>
    <w:rsid w:val="0009763B"/>
    <w:rsid w:val="000A09C3"/>
    <w:rsid w:val="000A09D5"/>
    <w:rsid w:val="000A5DED"/>
    <w:rsid w:val="000A6F37"/>
    <w:rsid w:val="000A7A3E"/>
    <w:rsid w:val="000B275C"/>
    <w:rsid w:val="000C5194"/>
    <w:rsid w:val="000C7B00"/>
    <w:rsid w:val="000D0CC9"/>
    <w:rsid w:val="000D7BD0"/>
    <w:rsid w:val="000E131D"/>
    <w:rsid w:val="000E13B7"/>
    <w:rsid w:val="000E314E"/>
    <w:rsid w:val="000E6917"/>
    <w:rsid w:val="000F032F"/>
    <w:rsid w:val="000F1481"/>
    <w:rsid w:val="000F225D"/>
    <w:rsid w:val="00100191"/>
    <w:rsid w:val="00104180"/>
    <w:rsid w:val="00105DF3"/>
    <w:rsid w:val="00107563"/>
    <w:rsid w:val="00110CAA"/>
    <w:rsid w:val="0011311B"/>
    <w:rsid w:val="00121CBE"/>
    <w:rsid w:val="00126B6A"/>
    <w:rsid w:val="00134FBE"/>
    <w:rsid w:val="001478C0"/>
    <w:rsid w:val="0015007A"/>
    <w:rsid w:val="00150FA5"/>
    <w:rsid w:val="00154430"/>
    <w:rsid w:val="001555FE"/>
    <w:rsid w:val="0016373E"/>
    <w:rsid w:val="00165235"/>
    <w:rsid w:val="00166EF1"/>
    <w:rsid w:val="00171A39"/>
    <w:rsid w:val="001721BD"/>
    <w:rsid w:val="001726A6"/>
    <w:rsid w:val="001738CA"/>
    <w:rsid w:val="00174545"/>
    <w:rsid w:val="001749EC"/>
    <w:rsid w:val="00174CDD"/>
    <w:rsid w:val="001760B6"/>
    <w:rsid w:val="00180B8D"/>
    <w:rsid w:val="00180E29"/>
    <w:rsid w:val="0018117B"/>
    <w:rsid w:val="00196904"/>
    <w:rsid w:val="001A435E"/>
    <w:rsid w:val="001A4C55"/>
    <w:rsid w:val="001A5137"/>
    <w:rsid w:val="001A513A"/>
    <w:rsid w:val="001A6C39"/>
    <w:rsid w:val="001B1276"/>
    <w:rsid w:val="001B1454"/>
    <w:rsid w:val="001B1CC4"/>
    <w:rsid w:val="001B24F8"/>
    <w:rsid w:val="001B2660"/>
    <w:rsid w:val="001B6288"/>
    <w:rsid w:val="001C003F"/>
    <w:rsid w:val="001C1807"/>
    <w:rsid w:val="001C2DDA"/>
    <w:rsid w:val="001C4655"/>
    <w:rsid w:val="001C4EBE"/>
    <w:rsid w:val="001C53F6"/>
    <w:rsid w:val="001C7E18"/>
    <w:rsid w:val="001D0FE1"/>
    <w:rsid w:val="001D3454"/>
    <w:rsid w:val="001D62B3"/>
    <w:rsid w:val="001D7439"/>
    <w:rsid w:val="001E0B7C"/>
    <w:rsid w:val="001E7160"/>
    <w:rsid w:val="001F4A8D"/>
    <w:rsid w:val="001F5D06"/>
    <w:rsid w:val="001F724D"/>
    <w:rsid w:val="001F787D"/>
    <w:rsid w:val="001F7E70"/>
    <w:rsid w:val="0020003F"/>
    <w:rsid w:val="00202468"/>
    <w:rsid w:val="00202838"/>
    <w:rsid w:val="002033BE"/>
    <w:rsid w:val="002036E7"/>
    <w:rsid w:val="002062D3"/>
    <w:rsid w:val="00207C69"/>
    <w:rsid w:val="00210AC6"/>
    <w:rsid w:val="00212BD2"/>
    <w:rsid w:val="002170C8"/>
    <w:rsid w:val="00221658"/>
    <w:rsid w:val="002218E6"/>
    <w:rsid w:val="00221FD1"/>
    <w:rsid w:val="002224FE"/>
    <w:rsid w:val="00223D72"/>
    <w:rsid w:val="002246E1"/>
    <w:rsid w:val="0022567B"/>
    <w:rsid w:val="002256C8"/>
    <w:rsid w:val="00231E16"/>
    <w:rsid w:val="002321A7"/>
    <w:rsid w:val="00232F52"/>
    <w:rsid w:val="002330D1"/>
    <w:rsid w:val="0023506A"/>
    <w:rsid w:val="00237495"/>
    <w:rsid w:val="00241477"/>
    <w:rsid w:val="00245F46"/>
    <w:rsid w:val="00246569"/>
    <w:rsid w:val="00251CC0"/>
    <w:rsid w:val="002523CD"/>
    <w:rsid w:val="002557D2"/>
    <w:rsid w:val="002607E2"/>
    <w:rsid w:val="00270843"/>
    <w:rsid w:val="00273721"/>
    <w:rsid w:val="00276D4D"/>
    <w:rsid w:val="00281C12"/>
    <w:rsid w:val="0029153F"/>
    <w:rsid w:val="00295BA1"/>
    <w:rsid w:val="002970D0"/>
    <w:rsid w:val="00297312"/>
    <w:rsid w:val="002A26B8"/>
    <w:rsid w:val="002A4224"/>
    <w:rsid w:val="002A7685"/>
    <w:rsid w:val="002A7CEA"/>
    <w:rsid w:val="002B003B"/>
    <w:rsid w:val="002B0090"/>
    <w:rsid w:val="002B0551"/>
    <w:rsid w:val="002B1FE8"/>
    <w:rsid w:val="002B20F6"/>
    <w:rsid w:val="002B5CA5"/>
    <w:rsid w:val="002C033C"/>
    <w:rsid w:val="002C0E9A"/>
    <w:rsid w:val="002C1635"/>
    <w:rsid w:val="002C22E2"/>
    <w:rsid w:val="002C5A16"/>
    <w:rsid w:val="002C68F4"/>
    <w:rsid w:val="002D1AD8"/>
    <w:rsid w:val="002D30FF"/>
    <w:rsid w:val="002D4AE7"/>
    <w:rsid w:val="002E0D91"/>
    <w:rsid w:val="002E1EFE"/>
    <w:rsid w:val="002E3018"/>
    <w:rsid w:val="002E3207"/>
    <w:rsid w:val="002F0EFE"/>
    <w:rsid w:val="002F52DF"/>
    <w:rsid w:val="002F632E"/>
    <w:rsid w:val="002F71CE"/>
    <w:rsid w:val="00300EF5"/>
    <w:rsid w:val="003058FE"/>
    <w:rsid w:val="0031202F"/>
    <w:rsid w:val="0031240E"/>
    <w:rsid w:val="0031583D"/>
    <w:rsid w:val="00316CC8"/>
    <w:rsid w:val="003171A7"/>
    <w:rsid w:val="00320659"/>
    <w:rsid w:val="003210DF"/>
    <w:rsid w:val="0032141B"/>
    <w:rsid w:val="0032184B"/>
    <w:rsid w:val="003221C4"/>
    <w:rsid w:val="00324106"/>
    <w:rsid w:val="00324F71"/>
    <w:rsid w:val="00326547"/>
    <w:rsid w:val="00331497"/>
    <w:rsid w:val="003350B7"/>
    <w:rsid w:val="00335DDB"/>
    <w:rsid w:val="00342E92"/>
    <w:rsid w:val="00343B78"/>
    <w:rsid w:val="00343C36"/>
    <w:rsid w:val="0034494C"/>
    <w:rsid w:val="00353719"/>
    <w:rsid w:val="0036018B"/>
    <w:rsid w:val="00360B63"/>
    <w:rsid w:val="00363EC4"/>
    <w:rsid w:val="0036576A"/>
    <w:rsid w:val="00367455"/>
    <w:rsid w:val="00370B51"/>
    <w:rsid w:val="00371B4B"/>
    <w:rsid w:val="00373E50"/>
    <w:rsid w:val="00375E10"/>
    <w:rsid w:val="003762D6"/>
    <w:rsid w:val="00376860"/>
    <w:rsid w:val="00381FF2"/>
    <w:rsid w:val="00382129"/>
    <w:rsid w:val="003833FF"/>
    <w:rsid w:val="003859A0"/>
    <w:rsid w:val="00385AA8"/>
    <w:rsid w:val="00391110"/>
    <w:rsid w:val="003913A8"/>
    <w:rsid w:val="00393768"/>
    <w:rsid w:val="003968D1"/>
    <w:rsid w:val="00396C2F"/>
    <w:rsid w:val="003A3824"/>
    <w:rsid w:val="003A3A01"/>
    <w:rsid w:val="003A5690"/>
    <w:rsid w:val="003A7744"/>
    <w:rsid w:val="003A7E18"/>
    <w:rsid w:val="003B09B3"/>
    <w:rsid w:val="003B1C4C"/>
    <w:rsid w:val="003C0582"/>
    <w:rsid w:val="003C095E"/>
    <w:rsid w:val="003C1229"/>
    <w:rsid w:val="003C2B91"/>
    <w:rsid w:val="003C2BA5"/>
    <w:rsid w:val="003C5512"/>
    <w:rsid w:val="003C6E7C"/>
    <w:rsid w:val="003C7A69"/>
    <w:rsid w:val="003C7B75"/>
    <w:rsid w:val="003D08BF"/>
    <w:rsid w:val="003D1CDA"/>
    <w:rsid w:val="003D7946"/>
    <w:rsid w:val="003D7C7B"/>
    <w:rsid w:val="003E117A"/>
    <w:rsid w:val="003E2788"/>
    <w:rsid w:val="003E33F2"/>
    <w:rsid w:val="003E4DE1"/>
    <w:rsid w:val="003E63D5"/>
    <w:rsid w:val="003E66F2"/>
    <w:rsid w:val="003E72ED"/>
    <w:rsid w:val="003F2B6C"/>
    <w:rsid w:val="003F50F4"/>
    <w:rsid w:val="003F6DFD"/>
    <w:rsid w:val="003F79F8"/>
    <w:rsid w:val="004110B8"/>
    <w:rsid w:val="0041496D"/>
    <w:rsid w:val="00415110"/>
    <w:rsid w:val="00416477"/>
    <w:rsid w:val="00420366"/>
    <w:rsid w:val="00420910"/>
    <w:rsid w:val="004222F2"/>
    <w:rsid w:val="00424DB3"/>
    <w:rsid w:val="00425FD3"/>
    <w:rsid w:val="004275DA"/>
    <w:rsid w:val="00432951"/>
    <w:rsid w:val="00432A4B"/>
    <w:rsid w:val="00432B5A"/>
    <w:rsid w:val="0043433E"/>
    <w:rsid w:val="0043703F"/>
    <w:rsid w:val="0043719E"/>
    <w:rsid w:val="004400D4"/>
    <w:rsid w:val="00440328"/>
    <w:rsid w:val="004416A6"/>
    <w:rsid w:val="00444A53"/>
    <w:rsid w:val="00447BFF"/>
    <w:rsid w:val="0045281E"/>
    <w:rsid w:val="00456630"/>
    <w:rsid w:val="00457644"/>
    <w:rsid w:val="00457F9F"/>
    <w:rsid w:val="00461161"/>
    <w:rsid w:val="00461C37"/>
    <w:rsid w:val="00467E9F"/>
    <w:rsid w:val="00471A24"/>
    <w:rsid w:val="00471D02"/>
    <w:rsid w:val="00474046"/>
    <w:rsid w:val="00474B70"/>
    <w:rsid w:val="00482273"/>
    <w:rsid w:val="00486E4F"/>
    <w:rsid w:val="0048749F"/>
    <w:rsid w:val="004949C4"/>
    <w:rsid w:val="004A4064"/>
    <w:rsid w:val="004A64DE"/>
    <w:rsid w:val="004B40E8"/>
    <w:rsid w:val="004B68A9"/>
    <w:rsid w:val="004C111D"/>
    <w:rsid w:val="004C17C3"/>
    <w:rsid w:val="004C2A48"/>
    <w:rsid w:val="004C498D"/>
    <w:rsid w:val="004C5C78"/>
    <w:rsid w:val="004C6337"/>
    <w:rsid w:val="004C6509"/>
    <w:rsid w:val="004C6D49"/>
    <w:rsid w:val="004D0434"/>
    <w:rsid w:val="004D172C"/>
    <w:rsid w:val="004D246B"/>
    <w:rsid w:val="004D25ED"/>
    <w:rsid w:val="004D34DA"/>
    <w:rsid w:val="004D639E"/>
    <w:rsid w:val="004D78E6"/>
    <w:rsid w:val="004E0681"/>
    <w:rsid w:val="004E0EFE"/>
    <w:rsid w:val="004E1272"/>
    <w:rsid w:val="004E2E78"/>
    <w:rsid w:val="004E7D75"/>
    <w:rsid w:val="00502C5E"/>
    <w:rsid w:val="00505EA0"/>
    <w:rsid w:val="005068BB"/>
    <w:rsid w:val="0050748E"/>
    <w:rsid w:val="00507FC5"/>
    <w:rsid w:val="005111F7"/>
    <w:rsid w:val="00513F9C"/>
    <w:rsid w:val="00514977"/>
    <w:rsid w:val="00520307"/>
    <w:rsid w:val="005218CE"/>
    <w:rsid w:val="00522477"/>
    <w:rsid w:val="00523AD4"/>
    <w:rsid w:val="005251DD"/>
    <w:rsid w:val="00527FCC"/>
    <w:rsid w:val="005320C3"/>
    <w:rsid w:val="00534B45"/>
    <w:rsid w:val="005360A5"/>
    <w:rsid w:val="005373BC"/>
    <w:rsid w:val="00540D6C"/>
    <w:rsid w:val="00540FE6"/>
    <w:rsid w:val="00543064"/>
    <w:rsid w:val="00544E16"/>
    <w:rsid w:val="0054546F"/>
    <w:rsid w:val="00546EBA"/>
    <w:rsid w:val="00546F7D"/>
    <w:rsid w:val="0055073F"/>
    <w:rsid w:val="0055099F"/>
    <w:rsid w:val="00550ECA"/>
    <w:rsid w:val="00551397"/>
    <w:rsid w:val="00553BBB"/>
    <w:rsid w:val="00555AC1"/>
    <w:rsid w:val="00555D2D"/>
    <w:rsid w:val="00556CAE"/>
    <w:rsid w:val="005604BC"/>
    <w:rsid w:val="005609F4"/>
    <w:rsid w:val="00560E12"/>
    <w:rsid w:val="00560E75"/>
    <w:rsid w:val="00562B4B"/>
    <w:rsid w:val="00563FD8"/>
    <w:rsid w:val="005647FF"/>
    <w:rsid w:val="00564B2B"/>
    <w:rsid w:val="00573831"/>
    <w:rsid w:val="0057595A"/>
    <w:rsid w:val="00577A58"/>
    <w:rsid w:val="00580322"/>
    <w:rsid w:val="00581666"/>
    <w:rsid w:val="005857DF"/>
    <w:rsid w:val="00590009"/>
    <w:rsid w:val="0059115C"/>
    <w:rsid w:val="00591FAE"/>
    <w:rsid w:val="00593294"/>
    <w:rsid w:val="005949B6"/>
    <w:rsid w:val="00595807"/>
    <w:rsid w:val="005B430F"/>
    <w:rsid w:val="005B5546"/>
    <w:rsid w:val="005B662B"/>
    <w:rsid w:val="005B6BBF"/>
    <w:rsid w:val="005B765A"/>
    <w:rsid w:val="005B77C4"/>
    <w:rsid w:val="005C2205"/>
    <w:rsid w:val="005C4FC4"/>
    <w:rsid w:val="005C6F4F"/>
    <w:rsid w:val="005D248A"/>
    <w:rsid w:val="005D29FB"/>
    <w:rsid w:val="005D2A85"/>
    <w:rsid w:val="005D32B6"/>
    <w:rsid w:val="005D42CD"/>
    <w:rsid w:val="005D6841"/>
    <w:rsid w:val="005E04E9"/>
    <w:rsid w:val="005E1C6B"/>
    <w:rsid w:val="005E2A13"/>
    <w:rsid w:val="005E2E94"/>
    <w:rsid w:val="005E5054"/>
    <w:rsid w:val="005E5369"/>
    <w:rsid w:val="005E7E97"/>
    <w:rsid w:val="005F0504"/>
    <w:rsid w:val="005F31C2"/>
    <w:rsid w:val="00600BB8"/>
    <w:rsid w:val="00601B19"/>
    <w:rsid w:val="0060242A"/>
    <w:rsid w:val="00603A7C"/>
    <w:rsid w:val="006054A1"/>
    <w:rsid w:val="00605C2F"/>
    <w:rsid w:val="00610CF2"/>
    <w:rsid w:val="006114CE"/>
    <w:rsid w:val="006158DB"/>
    <w:rsid w:val="0062039D"/>
    <w:rsid w:val="00623CFE"/>
    <w:rsid w:val="0062415C"/>
    <w:rsid w:val="00624217"/>
    <w:rsid w:val="00626C17"/>
    <w:rsid w:val="00633630"/>
    <w:rsid w:val="00634E25"/>
    <w:rsid w:val="0063549C"/>
    <w:rsid w:val="00636301"/>
    <w:rsid w:val="006374DD"/>
    <w:rsid w:val="00637FD0"/>
    <w:rsid w:val="00641A38"/>
    <w:rsid w:val="00641BB5"/>
    <w:rsid w:val="0064263A"/>
    <w:rsid w:val="00642AF1"/>
    <w:rsid w:val="00643E6D"/>
    <w:rsid w:val="00644295"/>
    <w:rsid w:val="00644686"/>
    <w:rsid w:val="00650BA9"/>
    <w:rsid w:val="0065159B"/>
    <w:rsid w:val="00652B06"/>
    <w:rsid w:val="00653687"/>
    <w:rsid w:val="00656299"/>
    <w:rsid w:val="00660A3D"/>
    <w:rsid w:val="00661891"/>
    <w:rsid w:val="00663A3F"/>
    <w:rsid w:val="00664773"/>
    <w:rsid w:val="00665088"/>
    <w:rsid w:val="00665C31"/>
    <w:rsid w:val="00665D68"/>
    <w:rsid w:val="00666232"/>
    <w:rsid w:val="00666858"/>
    <w:rsid w:val="00667923"/>
    <w:rsid w:val="00667A25"/>
    <w:rsid w:val="006700B0"/>
    <w:rsid w:val="00670B4D"/>
    <w:rsid w:val="00671662"/>
    <w:rsid w:val="00671F92"/>
    <w:rsid w:val="00672E04"/>
    <w:rsid w:val="00676269"/>
    <w:rsid w:val="0068007B"/>
    <w:rsid w:val="006811DE"/>
    <w:rsid w:val="00682153"/>
    <w:rsid w:val="006837C8"/>
    <w:rsid w:val="006845DE"/>
    <w:rsid w:val="0068681E"/>
    <w:rsid w:val="00690222"/>
    <w:rsid w:val="00693965"/>
    <w:rsid w:val="006947B0"/>
    <w:rsid w:val="00694B2A"/>
    <w:rsid w:val="006A0855"/>
    <w:rsid w:val="006A2E11"/>
    <w:rsid w:val="006A4625"/>
    <w:rsid w:val="006A4812"/>
    <w:rsid w:val="006A54BA"/>
    <w:rsid w:val="006A7DF5"/>
    <w:rsid w:val="006B04C3"/>
    <w:rsid w:val="006B3CF3"/>
    <w:rsid w:val="006B3DEC"/>
    <w:rsid w:val="006B5EF2"/>
    <w:rsid w:val="006B76FD"/>
    <w:rsid w:val="006B7851"/>
    <w:rsid w:val="006C2393"/>
    <w:rsid w:val="006C2DD8"/>
    <w:rsid w:val="006C72DD"/>
    <w:rsid w:val="006C74EF"/>
    <w:rsid w:val="006D2D66"/>
    <w:rsid w:val="006D3031"/>
    <w:rsid w:val="006D50B8"/>
    <w:rsid w:val="006E0EE2"/>
    <w:rsid w:val="006E2E8F"/>
    <w:rsid w:val="006E6161"/>
    <w:rsid w:val="006F4138"/>
    <w:rsid w:val="006F414A"/>
    <w:rsid w:val="006F6599"/>
    <w:rsid w:val="006F7E94"/>
    <w:rsid w:val="006F7EAF"/>
    <w:rsid w:val="00702195"/>
    <w:rsid w:val="00704FF8"/>
    <w:rsid w:val="00710885"/>
    <w:rsid w:val="00711452"/>
    <w:rsid w:val="00711531"/>
    <w:rsid w:val="0071202F"/>
    <w:rsid w:val="0071299A"/>
    <w:rsid w:val="00713858"/>
    <w:rsid w:val="007147B4"/>
    <w:rsid w:val="00722F93"/>
    <w:rsid w:val="00724AAA"/>
    <w:rsid w:val="00730786"/>
    <w:rsid w:val="00731764"/>
    <w:rsid w:val="00731EFF"/>
    <w:rsid w:val="00733707"/>
    <w:rsid w:val="007420C0"/>
    <w:rsid w:val="00742422"/>
    <w:rsid w:val="0075135D"/>
    <w:rsid w:val="00756DD0"/>
    <w:rsid w:val="00756F5A"/>
    <w:rsid w:val="00757106"/>
    <w:rsid w:val="007609BD"/>
    <w:rsid w:val="007609E2"/>
    <w:rsid w:val="00763A2F"/>
    <w:rsid w:val="00764737"/>
    <w:rsid w:val="0076705E"/>
    <w:rsid w:val="00767219"/>
    <w:rsid w:val="00771819"/>
    <w:rsid w:val="00772059"/>
    <w:rsid w:val="00772193"/>
    <w:rsid w:val="007747BB"/>
    <w:rsid w:val="007770D6"/>
    <w:rsid w:val="00780796"/>
    <w:rsid w:val="00783AAE"/>
    <w:rsid w:val="00784B21"/>
    <w:rsid w:val="00791E4C"/>
    <w:rsid w:val="00795D7A"/>
    <w:rsid w:val="0079635D"/>
    <w:rsid w:val="00796720"/>
    <w:rsid w:val="0079679A"/>
    <w:rsid w:val="00796887"/>
    <w:rsid w:val="007A1387"/>
    <w:rsid w:val="007A272B"/>
    <w:rsid w:val="007B1349"/>
    <w:rsid w:val="007B4E51"/>
    <w:rsid w:val="007B5E33"/>
    <w:rsid w:val="007C1046"/>
    <w:rsid w:val="007C2301"/>
    <w:rsid w:val="007C3EBB"/>
    <w:rsid w:val="007C4E6F"/>
    <w:rsid w:val="007D1CCE"/>
    <w:rsid w:val="007D4C71"/>
    <w:rsid w:val="007D50F6"/>
    <w:rsid w:val="007E04A4"/>
    <w:rsid w:val="007E511C"/>
    <w:rsid w:val="007E6153"/>
    <w:rsid w:val="007E6B8B"/>
    <w:rsid w:val="007E713B"/>
    <w:rsid w:val="007F18B6"/>
    <w:rsid w:val="007F5CA7"/>
    <w:rsid w:val="007F63D7"/>
    <w:rsid w:val="007F686E"/>
    <w:rsid w:val="00801D56"/>
    <w:rsid w:val="008065A6"/>
    <w:rsid w:val="0080769D"/>
    <w:rsid w:val="00811001"/>
    <w:rsid w:val="00811704"/>
    <w:rsid w:val="008118BE"/>
    <w:rsid w:val="00813382"/>
    <w:rsid w:val="00816A6D"/>
    <w:rsid w:val="0081782D"/>
    <w:rsid w:val="0082023D"/>
    <w:rsid w:val="00822B3B"/>
    <w:rsid w:val="00826B10"/>
    <w:rsid w:val="00827653"/>
    <w:rsid w:val="00827C6A"/>
    <w:rsid w:val="00832814"/>
    <w:rsid w:val="00833486"/>
    <w:rsid w:val="00834E1E"/>
    <w:rsid w:val="00837EBD"/>
    <w:rsid w:val="00840E76"/>
    <w:rsid w:val="00840FC8"/>
    <w:rsid w:val="00845FA5"/>
    <w:rsid w:val="00847927"/>
    <w:rsid w:val="00850484"/>
    <w:rsid w:val="008506A4"/>
    <w:rsid w:val="00852025"/>
    <w:rsid w:val="00852A35"/>
    <w:rsid w:val="00852C21"/>
    <w:rsid w:val="00853540"/>
    <w:rsid w:val="008536FD"/>
    <w:rsid w:val="00855A07"/>
    <w:rsid w:val="0085631C"/>
    <w:rsid w:val="0085727C"/>
    <w:rsid w:val="008576CB"/>
    <w:rsid w:val="00865134"/>
    <w:rsid w:val="00872153"/>
    <w:rsid w:val="00873132"/>
    <w:rsid w:val="0087456B"/>
    <w:rsid w:val="00876A50"/>
    <w:rsid w:val="00881926"/>
    <w:rsid w:val="008836B0"/>
    <w:rsid w:val="0088482E"/>
    <w:rsid w:val="008873F1"/>
    <w:rsid w:val="00887B5F"/>
    <w:rsid w:val="00892E21"/>
    <w:rsid w:val="00895485"/>
    <w:rsid w:val="0089603A"/>
    <w:rsid w:val="008A0C19"/>
    <w:rsid w:val="008A47BD"/>
    <w:rsid w:val="008A4CE5"/>
    <w:rsid w:val="008A75CB"/>
    <w:rsid w:val="008B0FDC"/>
    <w:rsid w:val="008B1894"/>
    <w:rsid w:val="008B2408"/>
    <w:rsid w:val="008C078C"/>
    <w:rsid w:val="008C215C"/>
    <w:rsid w:val="008C432F"/>
    <w:rsid w:val="008C699F"/>
    <w:rsid w:val="008D21D1"/>
    <w:rsid w:val="008D288D"/>
    <w:rsid w:val="008D3046"/>
    <w:rsid w:val="008D786A"/>
    <w:rsid w:val="008E00C0"/>
    <w:rsid w:val="008F139A"/>
    <w:rsid w:val="008F2486"/>
    <w:rsid w:val="008F2AB2"/>
    <w:rsid w:val="008F2F6C"/>
    <w:rsid w:val="00905DC9"/>
    <w:rsid w:val="00906188"/>
    <w:rsid w:val="00911E33"/>
    <w:rsid w:val="0091285A"/>
    <w:rsid w:val="00913080"/>
    <w:rsid w:val="0091312F"/>
    <w:rsid w:val="0091576C"/>
    <w:rsid w:val="009164EB"/>
    <w:rsid w:val="0092099D"/>
    <w:rsid w:val="00924BAA"/>
    <w:rsid w:val="00925A14"/>
    <w:rsid w:val="00927B9B"/>
    <w:rsid w:val="00931055"/>
    <w:rsid w:val="00932E24"/>
    <w:rsid w:val="00946D78"/>
    <w:rsid w:val="00951A37"/>
    <w:rsid w:val="0095451F"/>
    <w:rsid w:val="009548B0"/>
    <w:rsid w:val="00954E30"/>
    <w:rsid w:val="009569C5"/>
    <w:rsid w:val="0096007A"/>
    <w:rsid w:val="00960521"/>
    <w:rsid w:val="00962710"/>
    <w:rsid w:val="00964633"/>
    <w:rsid w:val="009741E1"/>
    <w:rsid w:val="009759E2"/>
    <w:rsid w:val="00977D00"/>
    <w:rsid w:val="009827FA"/>
    <w:rsid w:val="00982CB9"/>
    <w:rsid w:val="0098355D"/>
    <w:rsid w:val="0098367C"/>
    <w:rsid w:val="00985CFE"/>
    <w:rsid w:val="0098695E"/>
    <w:rsid w:val="009900F3"/>
    <w:rsid w:val="00990319"/>
    <w:rsid w:val="00992354"/>
    <w:rsid w:val="00995364"/>
    <w:rsid w:val="009961DC"/>
    <w:rsid w:val="00996E60"/>
    <w:rsid w:val="009970B8"/>
    <w:rsid w:val="00997D7E"/>
    <w:rsid w:val="009A0864"/>
    <w:rsid w:val="009A248F"/>
    <w:rsid w:val="009A585C"/>
    <w:rsid w:val="009B0BA6"/>
    <w:rsid w:val="009B170A"/>
    <w:rsid w:val="009B3232"/>
    <w:rsid w:val="009B5B05"/>
    <w:rsid w:val="009B64F9"/>
    <w:rsid w:val="009B6791"/>
    <w:rsid w:val="009C08D8"/>
    <w:rsid w:val="009C10B6"/>
    <w:rsid w:val="009C202C"/>
    <w:rsid w:val="009C55A2"/>
    <w:rsid w:val="009C5851"/>
    <w:rsid w:val="009C73B2"/>
    <w:rsid w:val="009D0A23"/>
    <w:rsid w:val="009D621F"/>
    <w:rsid w:val="009D7F30"/>
    <w:rsid w:val="009E08A4"/>
    <w:rsid w:val="009E1397"/>
    <w:rsid w:val="009E2829"/>
    <w:rsid w:val="009E2B2D"/>
    <w:rsid w:val="009E3C5C"/>
    <w:rsid w:val="009E67BA"/>
    <w:rsid w:val="009F133C"/>
    <w:rsid w:val="009F381D"/>
    <w:rsid w:val="009F4532"/>
    <w:rsid w:val="009F5A81"/>
    <w:rsid w:val="009F5AB7"/>
    <w:rsid w:val="009F6FE5"/>
    <w:rsid w:val="009F7416"/>
    <w:rsid w:val="00A00389"/>
    <w:rsid w:val="00A004B0"/>
    <w:rsid w:val="00A028E6"/>
    <w:rsid w:val="00A040AD"/>
    <w:rsid w:val="00A05270"/>
    <w:rsid w:val="00A070CF"/>
    <w:rsid w:val="00A11370"/>
    <w:rsid w:val="00A132B3"/>
    <w:rsid w:val="00A15397"/>
    <w:rsid w:val="00A21361"/>
    <w:rsid w:val="00A236D0"/>
    <w:rsid w:val="00A241ED"/>
    <w:rsid w:val="00A24777"/>
    <w:rsid w:val="00A2529A"/>
    <w:rsid w:val="00A301CE"/>
    <w:rsid w:val="00A30676"/>
    <w:rsid w:val="00A30793"/>
    <w:rsid w:val="00A3598A"/>
    <w:rsid w:val="00A35A08"/>
    <w:rsid w:val="00A3640E"/>
    <w:rsid w:val="00A37833"/>
    <w:rsid w:val="00A43B32"/>
    <w:rsid w:val="00A46A87"/>
    <w:rsid w:val="00A46C6C"/>
    <w:rsid w:val="00A50BCA"/>
    <w:rsid w:val="00A52032"/>
    <w:rsid w:val="00A54ED8"/>
    <w:rsid w:val="00A55C21"/>
    <w:rsid w:val="00A5735F"/>
    <w:rsid w:val="00A6671F"/>
    <w:rsid w:val="00A66A0A"/>
    <w:rsid w:val="00A73110"/>
    <w:rsid w:val="00A731E9"/>
    <w:rsid w:val="00A748BF"/>
    <w:rsid w:val="00A74F13"/>
    <w:rsid w:val="00A80FB7"/>
    <w:rsid w:val="00A81BC9"/>
    <w:rsid w:val="00A832FF"/>
    <w:rsid w:val="00A859BA"/>
    <w:rsid w:val="00A8605E"/>
    <w:rsid w:val="00A87769"/>
    <w:rsid w:val="00A92139"/>
    <w:rsid w:val="00A92AC9"/>
    <w:rsid w:val="00A934B6"/>
    <w:rsid w:val="00A96B6D"/>
    <w:rsid w:val="00A975D2"/>
    <w:rsid w:val="00AA1270"/>
    <w:rsid w:val="00AA607E"/>
    <w:rsid w:val="00AA63E3"/>
    <w:rsid w:val="00AA7BF5"/>
    <w:rsid w:val="00AB0D50"/>
    <w:rsid w:val="00AB28DF"/>
    <w:rsid w:val="00AB45F9"/>
    <w:rsid w:val="00AC19DA"/>
    <w:rsid w:val="00AC3334"/>
    <w:rsid w:val="00AD453A"/>
    <w:rsid w:val="00AE1D01"/>
    <w:rsid w:val="00AE2A0A"/>
    <w:rsid w:val="00AE6AD8"/>
    <w:rsid w:val="00AF016E"/>
    <w:rsid w:val="00AF3CB0"/>
    <w:rsid w:val="00AF6159"/>
    <w:rsid w:val="00AF68BD"/>
    <w:rsid w:val="00AF74F9"/>
    <w:rsid w:val="00B0040B"/>
    <w:rsid w:val="00B00E64"/>
    <w:rsid w:val="00B011F1"/>
    <w:rsid w:val="00B0143C"/>
    <w:rsid w:val="00B01A26"/>
    <w:rsid w:val="00B02AC7"/>
    <w:rsid w:val="00B06AED"/>
    <w:rsid w:val="00B07715"/>
    <w:rsid w:val="00B10A6C"/>
    <w:rsid w:val="00B12232"/>
    <w:rsid w:val="00B135C9"/>
    <w:rsid w:val="00B16EE0"/>
    <w:rsid w:val="00B16F16"/>
    <w:rsid w:val="00B227F6"/>
    <w:rsid w:val="00B22EBB"/>
    <w:rsid w:val="00B233B2"/>
    <w:rsid w:val="00B3351F"/>
    <w:rsid w:val="00B3765E"/>
    <w:rsid w:val="00B42F39"/>
    <w:rsid w:val="00B47D4E"/>
    <w:rsid w:val="00B543C7"/>
    <w:rsid w:val="00B56D3C"/>
    <w:rsid w:val="00B571A1"/>
    <w:rsid w:val="00B57C6B"/>
    <w:rsid w:val="00B57E21"/>
    <w:rsid w:val="00B606D5"/>
    <w:rsid w:val="00B606F5"/>
    <w:rsid w:val="00B65E8B"/>
    <w:rsid w:val="00B66661"/>
    <w:rsid w:val="00B73B9E"/>
    <w:rsid w:val="00B74F50"/>
    <w:rsid w:val="00B76FC4"/>
    <w:rsid w:val="00B7749F"/>
    <w:rsid w:val="00B819CC"/>
    <w:rsid w:val="00B857D6"/>
    <w:rsid w:val="00B87F9F"/>
    <w:rsid w:val="00B909C0"/>
    <w:rsid w:val="00B97888"/>
    <w:rsid w:val="00B97E57"/>
    <w:rsid w:val="00BA171F"/>
    <w:rsid w:val="00BA3539"/>
    <w:rsid w:val="00BA50C3"/>
    <w:rsid w:val="00BA5B7E"/>
    <w:rsid w:val="00BA6880"/>
    <w:rsid w:val="00BA7A37"/>
    <w:rsid w:val="00BB1726"/>
    <w:rsid w:val="00BB44A2"/>
    <w:rsid w:val="00BB49D5"/>
    <w:rsid w:val="00BB5F39"/>
    <w:rsid w:val="00BC1305"/>
    <w:rsid w:val="00BC3A6C"/>
    <w:rsid w:val="00BC5052"/>
    <w:rsid w:val="00BC51DF"/>
    <w:rsid w:val="00BD103A"/>
    <w:rsid w:val="00BD1B19"/>
    <w:rsid w:val="00BE6864"/>
    <w:rsid w:val="00BE7CC7"/>
    <w:rsid w:val="00BF3A17"/>
    <w:rsid w:val="00BF3A1A"/>
    <w:rsid w:val="00BF5932"/>
    <w:rsid w:val="00BF6B1B"/>
    <w:rsid w:val="00C00EEB"/>
    <w:rsid w:val="00C01F97"/>
    <w:rsid w:val="00C066D1"/>
    <w:rsid w:val="00C07F52"/>
    <w:rsid w:val="00C12717"/>
    <w:rsid w:val="00C12788"/>
    <w:rsid w:val="00C16E14"/>
    <w:rsid w:val="00C200C6"/>
    <w:rsid w:val="00C21B86"/>
    <w:rsid w:val="00C237CF"/>
    <w:rsid w:val="00C2455F"/>
    <w:rsid w:val="00C30849"/>
    <w:rsid w:val="00C31088"/>
    <w:rsid w:val="00C33E40"/>
    <w:rsid w:val="00C344DA"/>
    <w:rsid w:val="00C3565A"/>
    <w:rsid w:val="00C3676A"/>
    <w:rsid w:val="00C375D5"/>
    <w:rsid w:val="00C4142E"/>
    <w:rsid w:val="00C44A8D"/>
    <w:rsid w:val="00C45C81"/>
    <w:rsid w:val="00C45C91"/>
    <w:rsid w:val="00C4736E"/>
    <w:rsid w:val="00C50D20"/>
    <w:rsid w:val="00C54F04"/>
    <w:rsid w:val="00C5549B"/>
    <w:rsid w:val="00C56701"/>
    <w:rsid w:val="00C5860C"/>
    <w:rsid w:val="00C60BC5"/>
    <w:rsid w:val="00C626AE"/>
    <w:rsid w:val="00C63577"/>
    <w:rsid w:val="00C63FEE"/>
    <w:rsid w:val="00C65502"/>
    <w:rsid w:val="00C66B34"/>
    <w:rsid w:val="00C66C73"/>
    <w:rsid w:val="00C67C85"/>
    <w:rsid w:val="00C70ABD"/>
    <w:rsid w:val="00C72596"/>
    <w:rsid w:val="00C7573E"/>
    <w:rsid w:val="00C76146"/>
    <w:rsid w:val="00C817FF"/>
    <w:rsid w:val="00C81F67"/>
    <w:rsid w:val="00C8457D"/>
    <w:rsid w:val="00C8517B"/>
    <w:rsid w:val="00C85CD0"/>
    <w:rsid w:val="00C87E52"/>
    <w:rsid w:val="00C87FE3"/>
    <w:rsid w:val="00C9275E"/>
    <w:rsid w:val="00C93D67"/>
    <w:rsid w:val="00C95AD6"/>
    <w:rsid w:val="00C9727B"/>
    <w:rsid w:val="00CA0577"/>
    <w:rsid w:val="00CA07C1"/>
    <w:rsid w:val="00CA14C9"/>
    <w:rsid w:val="00CA7728"/>
    <w:rsid w:val="00CB48F9"/>
    <w:rsid w:val="00CB55FD"/>
    <w:rsid w:val="00CB5EEB"/>
    <w:rsid w:val="00CB7B0C"/>
    <w:rsid w:val="00CB7E2A"/>
    <w:rsid w:val="00CC6BB9"/>
    <w:rsid w:val="00CD3395"/>
    <w:rsid w:val="00CD6F69"/>
    <w:rsid w:val="00CE04BE"/>
    <w:rsid w:val="00CE6BBC"/>
    <w:rsid w:val="00CF086B"/>
    <w:rsid w:val="00CF0978"/>
    <w:rsid w:val="00CF3933"/>
    <w:rsid w:val="00CF4E61"/>
    <w:rsid w:val="00CF70C4"/>
    <w:rsid w:val="00CF70E1"/>
    <w:rsid w:val="00CF76C0"/>
    <w:rsid w:val="00D0294E"/>
    <w:rsid w:val="00D03382"/>
    <w:rsid w:val="00D06241"/>
    <w:rsid w:val="00D075E4"/>
    <w:rsid w:val="00D07BF8"/>
    <w:rsid w:val="00D14169"/>
    <w:rsid w:val="00D14B0F"/>
    <w:rsid w:val="00D1699B"/>
    <w:rsid w:val="00D1700A"/>
    <w:rsid w:val="00D20BAD"/>
    <w:rsid w:val="00D212F9"/>
    <w:rsid w:val="00D21B53"/>
    <w:rsid w:val="00D2537F"/>
    <w:rsid w:val="00D26AE2"/>
    <w:rsid w:val="00D276A5"/>
    <w:rsid w:val="00D27F26"/>
    <w:rsid w:val="00D30E27"/>
    <w:rsid w:val="00D32FF1"/>
    <w:rsid w:val="00D3411C"/>
    <w:rsid w:val="00D34297"/>
    <w:rsid w:val="00D3429D"/>
    <w:rsid w:val="00D3478E"/>
    <w:rsid w:val="00D347FB"/>
    <w:rsid w:val="00D41F9B"/>
    <w:rsid w:val="00D50381"/>
    <w:rsid w:val="00D5085F"/>
    <w:rsid w:val="00D54ED4"/>
    <w:rsid w:val="00D55220"/>
    <w:rsid w:val="00D559C4"/>
    <w:rsid w:val="00D60B96"/>
    <w:rsid w:val="00D67D49"/>
    <w:rsid w:val="00D70388"/>
    <w:rsid w:val="00D705F3"/>
    <w:rsid w:val="00D70A38"/>
    <w:rsid w:val="00D71E8E"/>
    <w:rsid w:val="00D72142"/>
    <w:rsid w:val="00D76099"/>
    <w:rsid w:val="00D80D4D"/>
    <w:rsid w:val="00D82338"/>
    <w:rsid w:val="00D83347"/>
    <w:rsid w:val="00D84BBB"/>
    <w:rsid w:val="00D85E4F"/>
    <w:rsid w:val="00D866E8"/>
    <w:rsid w:val="00D91474"/>
    <w:rsid w:val="00D92FA8"/>
    <w:rsid w:val="00D937A6"/>
    <w:rsid w:val="00D93818"/>
    <w:rsid w:val="00D94B2C"/>
    <w:rsid w:val="00D95155"/>
    <w:rsid w:val="00DA0152"/>
    <w:rsid w:val="00DA03AE"/>
    <w:rsid w:val="00DA17A4"/>
    <w:rsid w:val="00DA7FD5"/>
    <w:rsid w:val="00DB17E7"/>
    <w:rsid w:val="00DB20C1"/>
    <w:rsid w:val="00DB3929"/>
    <w:rsid w:val="00DB4B14"/>
    <w:rsid w:val="00DB5253"/>
    <w:rsid w:val="00DB5336"/>
    <w:rsid w:val="00DB69C0"/>
    <w:rsid w:val="00DC0C05"/>
    <w:rsid w:val="00DC16C4"/>
    <w:rsid w:val="00DC3A8E"/>
    <w:rsid w:val="00DC5D69"/>
    <w:rsid w:val="00DD098F"/>
    <w:rsid w:val="00DD5037"/>
    <w:rsid w:val="00DD734B"/>
    <w:rsid w:val="00DE123D"/>
    <w:rsid w:val="00DE23D4"/>
    <w:rsid w:val="00DE2EED"/>
    <w:rsid w:val="00DE4372"/>
    <w:rsid w:val="00DE4911"/>
    <w:rsid w:val="00DE5E03"/>
    <w:rsid w:val="00DF0A8B"/>
    <w:rsid w:val="00DF0E6D"/>
    <w:rsid w:val="00DF18B2"/>
    <w:rsid w:val="00DF2304"/>
    <w:rsid w:val="00DF3B9D"/>
    <w:rsid w:val="00DF4230"/>
    <w:rsid w:val="00DF4EBC"/>
    <w:rsid w:val="00DF5004"/>
    <w:rsid w:val="00DF5DAB"/>
    <w:rsid w:val="00DF6BC8"/>
    <w:rsid w:val="00E0025F"/>
    <w:rsid w:val="00E0042B"/>
    <w:rsid w:val="00E052C0"/>
    <w:rsid w:val="00E055A3"/>
    <w:rsid w:val="00E055FD"/>
    <w:rsid w:val="00E0771D"/>
    <w:rsid w:val="00E07AF4"/>
    <w:rsid w:val="00E087A4"/>
    <w:rsid w:val="00E17174"/>
    <w:rsid w:val="00E207B0"/>
    <w:rsid w:val="00E2717F"/>
    <w:rsid w:val="00E30934"/>
    <w:rsid w:val="00E3107E"/>
    <w:rsid w:val="00E3248D"/>
    <w:rsid w:val="00E32B28"/>
    <w:rsid w:val="00E36673"/>
    <w:rsid w:val="00E41DB2"/>
    <w:rsid w:val="00E43663"/>
    <w:rsid w:val="00E43D4A"/>
    <w:rsid w:val="00E4400E"/>
    <w:rsid w:val="00E44944"/>
    <w:rsid w:val="00E44B0E"/>
    <w:rsid w:val="00E44C86"/>
    <w:rsid w:val="00E459D5"/>
    <w:rsid w:val="00E515F4"/>
    <w:rsid w:val="00E52D57"/>
    <w:rsid w:val="00E53DCD"/>
    <w:rsid w:val="00E5437E"/>
    <w:rsid w:val="00E62134"/>
    <w:rsid w:val="00E6319C"/>
    <w:rsid w:val="00E63684"/>
    <w:rsid w:val="00E71494"/>
    <w:rsid w:val="00E71F0C"/>
    <w:rsid w:val="00E73EE7"/>
    <w:rsid w:val="00E74D6F"/>
    <w:rsid w:val="00E82486"/>
    <w:rsid w:val="00E82E9A"/>
    <w:rsid w:val="00E848B1"/>
    <w:rsid w:val="00E85872"/>
    <w:rsid w:val="00E859CE"/>
    <w:rsid w:val="00E87B0F"/>
    <w:rsid w:val="00E93C76"/>
    <w:rsid w:val="00E944B6"/>
    <w:rsid w:val="00EA0811"/>
    <w:rsid w:val="00EA1597"/>
    <w:rsid w:val="00EA1CF1"/>
    <w:rsid w:val="00EA50D3"/>
    <w:rsid w:val="00EB0707"/>
    <w:rsid w:val="00EB1B2F"/>
    <w:rsid w:val="00EB592E"/>
    <w:rsid w:val="00EB5A55"/>
    <w:rsid w:val="00EB5A84"/>
    <w:rsid w:val="00EB7F41"/>
    <w:rsid w:val="00EC4D4E"/>
    <w:rsid w:val="00EC5C7F"/>
    <w:rsid w:val="00EC7E8E"/>
    <w:rsid w:val="00ED087A"/>
    <w:rsid w:val="00ED2755"/>
    <w:rsid w:val="00ED50B9"/>
    <w:rsid w:val="00EE23B1"/>
    <w:rsid w:val="00EE7E72"/>
    <w:rsid w:val="00EF2624"/>
    <w:rsid w:val="00EF589E"/>
    <w:rsid w:val="00EF63F8"/>
    <w:rsid w:val="00EF7724"/>
    <w:rsid w:val="00EF7D3C"/>
    <w:rsid w:val="00F02261"/>
    <w:rsid w:val="00F0613E"/>
    <w:rsid w:val="00F0731D"/>
    <w:rsid w:val="00F073CF"/>
    <w:rsid w:val="00F1206C"/>
    <w:rsid w:val="00F13632"/>
    <w:rsid w:val="00F211AB"/>
    <w:rsid w:val="00F22883"/>
    <w:rsid w:val="00F237B3"/>
    <w:rsid w:val="00F237DB"/>
    <w:rsid w:val="00F25B11"/>
    <w:rsid w:val="00F273AC"/>
    <w:rsid w:val="00F2770E"/>
    <w:rsid w:val="00F334AB"/>
    <w:rsid w:val="00F36F2C"/>
    <w:rsid w:val="00F37E35"/>
    <w:rsid w:val="00F40AE6"/>
    <w:rsid w:val="00F41993"/>
    <w:rsid w:val="00F44A72"/>
    <w:rsid w:val="00F46BF1"/>
    <w:rsid w:val="00F56BEA"/>
    <w:rsid w:val="00F65915"/>
    <w:rsid w:val="00F65D91"/>
    <w:rsid w:val="00F6676D"/>
    <w:rsid w:val="00F71613"/>
    <w:rsid w:val="00F724DD"/>
    <w:rsid w:val="00F74421"/>
    <w:rsid w:val="00F75B69"/>
    <w:rsid w:val="00F75C55"/>
    <w:rsid w:val="00F81F13"/>
    <w:rsid w:val="00F86306"/>
    <w:rsid w:val="00F86D6F"/>
    <w:rsid w:val="00F95E51"/>
    <w:rsid w:val="00FA071B"/>
    <w:rsid w:val="00FA2712"/>
    <w:rsid w:val="00FA367F"/>
    <w:rsid w:val="00FA3E36"/>
    <w:rsid w:val="00FA48F0"/>
    <w:rsid w:val="00FA4CD8"/>
    <w:rsid w:val="00FA57B1"/>
    <w:rsid w:val="00FA5DFF"/>
    <w:rsid w:val="00FA6A3D"/>
    <w:rsid w:val="00FA73C0"/>
    <w:rsid w:val="00FB050B"/>
    <w:rsid w:val="00FB1784"/>
    <w:rsid w:val="00FB2326"/>
    <w:rsid w:val="00FB2931"/>
    <w:rsid w:val="00FB2BB8"/>
    <w:rsid w:val="00FC08C9"/>
    <w:rsid w:val="00FC2316"/>
    <w:rsid w:val="00FC4BD6"/>
    <w:rsid w:val="00FD2D9C"/>
    <w:rsid w:val="00FD3D5C"/>
    <w:rsid w:val="00FD50AF"/>
    <w:rsid w:val="00FD66A1"/>
    <w:rsid w:val="00FD6B6B"/>
    <w:rsid w:val="00FD7D89"/>
    <w:rsid w:val="00FE2AF7"/>
    <w:rsid w:val="00FE577B"/>
    <w:rsid w:val="00FF1E60"/>
    <w:rsid w:val="00FF21A6"/>
    <w:rsid w:val="00FF4C50"/>
    <w:rsid w:val="0178580C"/>
    <w:rsid w:val="023F81C8"/>
    <w:rsid w:val="0243C151"/>
    <w:rsid w:val="02510E92"/>
    <w:rsid w:val="02C702DB"/>
    <w:rsid w:val="033E1C2A"/>
    <w:rsid w:val="048C73EC"/>
    <w:rsid w:val="04A9272E"/>
    <w:rsid w:val="06571693"/>
    <w:rsid w:val="067BA08B"/>
    <w:rsid w:val="06F7C67D"/>
    <w:rsid w:val="074B69BB"/>
    <w:rsid w:val="07F4A07A"/>
    <w:rsid w:val="0882CB9E"/>
    <w:rsid w:val="0895E60C"/>
    <w:rsid w:val="089A9EF5"/>
    <w:rsid w:val="09480761"/>
    <w:rsid w:val="0991611D"/>
    <w:rsid w:val="0A3ADE5F"/>
    <w:rsid w:val="0AA7AACA"/>
    <w:rsid w:val="0B5D75FD"/>
    <w:rsid w:val="0CCD43A9"/>
    <w:rsid w:val="0D4E0776"/>
    <w:rsid w:val="0DA6D165"/>
    <w:rsid w:val="0DB09EA5"/>
    <w:rsid w:val="0DD3D77D"/>
    <w:rsid w:val="0F2BEB44"/>
    <w:rsid w:val="1065A3B5"/>
    <w:rsid w:val="1135606E"/>
    <w:rsid w:val="126270D2"/>
    <w:rsid w:val="13A52635"/>
    <w:rsid w:val="141C6438"/>
    <w:rsid w:val="141CE154"/>
    <w:rsid w:val="15CFC907"/>
    <w:rsid w:val="16462731"/>
    <w:rsid w:val="164DD30F"/>
    <w:rsid w:val="16FE2E23"/>
    <w:rsid w:val="1757FEA7"/>
    <w:rsid w:val="17D41076"/>
    <w:rsid w:val="1826B550"/>
    <w:rsid w:val="18968F2B"/>
    <w:rsid w:val="18B49482"/>
    <w:rsid w:val="1913CB1D"/>
    <w:rsid w:val="19AC5E35"/>
    <w:rsid w:val="1A97F316"/>
    <w:rsid w:val="1AC1F2C6"/>
    <w:rsid w:val="1B72E91B"/>
    <w:rsid w:val="1C07FC35"/>
    <w:rsid w:val="1CC4BD8D"/>
    <w:rsid w:val="1D4BE0E6"/>
    <w:rsid w:val="1D670FD0"/>
    <w:rsid w:val="1D6F5FA6"/>
    <w:rsid w:val="1E205331"/>
    <w:rsid w:val="1E90BA9F"/>
    <w:rsid w:val="1ECC47DE"/>
    <w:rsid w:val="1FA7B5EF"/>
    <w:rsid w:val="1FF1AA98"/>
    <w:rsid w:val="200D858A"/>
    <w:rsid w:val="206DECF0"/>
    <w:rsid w:val="206EB652"/>
    <w:rsid w:val="2070D9A4"/>
    <w:rsid w:val="21CDEB23"/>
    <w:rsid w:val="220A6FC2"/>
    <w:rsid w:val="2266FB5E"/>
    <w:rsid w:val="22896E3C"/>
    <w:rsid w:val="2310807E"/>
    <w:rsid w:val="232196D3"/>
    <w:rsid w:val="23D0A32B"/>
    <w:rsid w:val="23F25592"/>
    <w:rsid w:val="241DF4A7"/>
    <w:rsid w:val="248E2F93"/>
    <w:rsid w:val="24CF9B51"/>
    <w:rsid w:val="2541A45D"/>
    <w:rsid w:val="2665C697"/>
    <w:rsid w:val="266F4083"/>
    <w:rsid w:val="2686DC8F"/>
    <w:rsid w:val="26AF20F8"/>
    <w:rsid w:val="27259CEB"/>
    <w:rsid w:val="27573669"/>
    <w:rsid w:val="28BCDE9A"/>
    <w:rsid w:val="2AF7C170"/>
    <w:rsid w:val="2B809FBB"/>
    <w:rsid w:val="2BB3AB86"/>
    <w:rsid w:val="2CCAC68F"/>
    <w:rsid w:val="2F7D869A"/>
    <w:rsid w:val="3019D887"/>
    <w:rsid w:val="31026774"/>
    <w:rsid w:val="31249474"/>
    <w:rsid w:val="31CC0F56"/>
    <w:rsid w:val="33185A5D"/>
    <w:rsid w:val="34D13489"/>
    <w:rsid w:val="34D8FB45"/>
    <w:rsid w:val="352AF170"/>
    <w:rsid w:val="36453595"/>
    <w:rsid w:val="36918F9F"/>
    <w:rsid w:val="3791FF86"/>
    <w:rsid w:val="38AA3C65"/>
    <w:rsid w:val="390FD317"/>
    <w:rsid w:val="3920FC7A"/>
    <w:rsid w:val="39AF6607"/>
    <w:rsid w:val="3A90DD9C"/>
    <w:rsid w:val="3B7C2A1A"/>
    <w:rsid w:val="3C8CCE6B"/>
    <w:rsid w:val="3D19B710"/>
    <w:rsid w:val="3F6B42B5"/>
    <w:rsid w:val="3FD3950C"/>
    <w:rsid w:val="3FDED2CA"/>
    <w:rsid w:val="43655AE5"/>
    <w:rsid w:val="4372A37A"/>
    <w:rsid w:val="43847317"/>
    <w:rsid w:val="44A16941"/>
    <w:rsid w:val="44F0CC79"/>
    <w:rsid w:val="44F8417B"/>
    <w:rsid w:val="4555D1B0"/>
    <w:rsid w:val="45CAD804"/>
    <w:rsid w:val="46FA99F7"/>
    <w:rsid w:val="4799F000"/>
    <w:rsid w:val="47FB425A"/>
    <w:rsid w:val="4883CE17"/>
    <w:rsid w:val="48D031FB"/>
    <w:rsid w:val="4904D2AC"/>
    <w:rsid w:val="4B4B9368"/>
    <w:rsid w:val="4B910D33"/>
    <w:rsid w:val="4D65327B"/>
    <w:rsid w:val="4D7EBF78"/>
    <w:rsid w:val="4E53613D"/>
    <w:rsid w:val="4E581A53"/>
    <w:rsid w:val="4E91B071"/>
    <w:rsid w:val="4F50CF57"/>
    <w:rsid w:val="50E1AAA8"/>
    <w:rsid w:val="51FDA51C"/>
    <w:rsid w:val="52809F94"/>
    <w:rsid w:val="53532FF4"/>
    <w:rsid w:val="5425BAF4"/>
    <w:rsid w:val="5480A7E9"/>
    <w:rsid w:val="5496D370"/>
    <w:rsid w:val="5631465B"/>
    <w:rsid w:val="566C71DB"/>
    <w:rsid w:val="566D8E74"/>
    <w:rsid w:val="56A1F8FD"/>
    <w:rsid w:val="56BF29CF"/>
    <w:rsid w:val="5744B372"/>
    <w:rsid w:val="577DBD5C"/>
    <w:rsid w:val="5785C4A5"/>
    <w:rsid w:val="579C9B5F"/>
    <w:rsid w:val="5805A0D3"/>
    <w:rsid w:val="58EA5110"/>
    <w:rsid w:val="591F7200"/>
    <w:rsid w:val="5A27649D"/>
    <w:rsid w:val="5A398C05"/>
    <w:rsid w:val="5AE89519"/>
    <w:rsid w:val="5B07DE86"/>
    <w:rsid w:val="5B1FAF28"/>
    <w:rsid w:val="5B62A867"/>
    <w:rsid w:val="5BA0F977"/>
    <w:rsid w:val="5BF9C4AF"/>
    <w:rsid w:val="5D0A2E0E"/>
    <w:rsid w:val="5D318170"/>
    <w:rsid w:val="5D5F6D3E"/>
    <w:rsid w:val="5E4B4431"/>
    <w:rsid w:val="5E83A8A6"/>
    <w:rsid w:val="5F1682D9"/>
    <w:rsid w:val="5F7C8DC9"/>
    <w:rsid w:val="5FA9BA07"/>
    <w:rsid w:val="5FAF1ED3"/>
    <w:rsid w:val="5FE29A8F"/>
    <w:rsid w:val="60509F33"/>
    <w:rsid w:val="6201BE00"/>
    <w:rsid w:val="6250BC0D"/>
    <w:rsid w:val="630C5015"/>
    <w:rsid w:val="64039398"/>
    <w:rsid w:val="64285F06"/>
    <w:rsid w:val="64B3ACF5"/>
    <w:rsid w:val="6653ED41"/>
    <w:rsid w:val="66645BB3"/>
    <w:rsid w:val="666A014F"/>
    <w:rsid w:val="669D83C4"/>
    <w:rsid w:val="66CE83DB"/>
    <w:rsid w:val="678F8655"/>
    <w:rsid w:val="6790B42C"/>
    <w:rsid w:val="68AAE452"/>
    <w:rsid w:val="68B177A0"/>
    <w:rsid w:val="68DC7694"/>
    <w:rsid w:val="69552EE0"/>
    <w:rsid w:val="69CC0722"/>
    <w:rsid w:val="69FFA746"/>
    <w:rsid w:val="6A65C2B7"/>
    <w:rsid w:val="6B51CB65"/>
    <w:rsid w:val="6BAC20C8"/>
    <w:rsid w:val="6BCD179B"/>
    <w:rsid w:val="6C97D150"/>
    <w:rsid w:val="6C99518C"/>
    <w:rsid w:val="6C9D8B2C"/>
    <w:rsid w:val="6DFE1415"/>
    <w:rsid w:val="6E91FC3F"/>
    <w:rsid w:val="6F1EEC76"/>
    <w:rsid w:val="6F2F49FB"/>
    <w:rsid w:val="6FFD25F1"/>
    <w:rsid w:val="704F55CE"/>
    <w:rsid w:val="70955715"/>
    <w:rsid w:val="713C46F8"/>
    <w:rsid w:val="717E67D3"/>
    <w:rsid w:val="71BC444A"/>
    <w:rsid w:val="71CAE472"/>
    <w:rsid w:val="738C29EC"/>
    <w:rsid w:val="73AB5CD8"/>
    <w:rsid w:val="7403AE66"/>
    <w:rsid w:val="749DF7FA"/>
    <w:rsid w:val="74DE5716"/>
    <w:rsid w:val="7503F2A5"/>
    <w:rsid w:val="752D9D5B"/>
    <w:rsid w:val="770E4E1E"/>
    <w:rsid w:val="77A51CB7"/>
    <w:rsid w:val="77C868A6"/>
    <w:rsid w:val="783E764E"/>
    <w:rsid w:val="791BE569"/>
    <w:rsid w:val="797ABBA2"/>
    <w:rsid w:val="7AF73E46"/>
    <w:rsid w:val="7AFB9811"/>
    <w:rsid w:val="7AFFFE41"/>
    <w:rsid w:val="7B468072"/>
    <w:rsid w:val="7BC22EBE"/>
    <w:rsid w:val="7E091972"/>
    <w:rsid w:val="7E09F100"/>
    <w:rsid w:val="7E556861"/>
    <w:rsid w:val="7EA713EB"/>
    <w:rsid w:val="7F8CC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65570"/>
  <w15:chartTrackingRefBased/>
  <w15:docId w15:val="{EC3D2249-0827-4903-965D-B940DA12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2FF"/>
    <w:rPr>
      <w:rFonts w:ascii="Arial" w:hAnsi="Arial"/>
      <w:sz w:val="24"/>
      <w:lang w:val="es-PY" w:eastAsia="es-UY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5040"/>
      </w:tabs>
      <w:jc w:val="both"/>
      <w:outlineLvl w:val="0"/>
    </w:pPr>
    <w:rPr>
      <w:b/>
      <w:color w:val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540"/>
      <w:jc w:val="both"/>
    </w:pPr>
    <w:rPr>
      <w:rFonts w:ascii="Times New Roman" w:hAnsi="Times New Roman"/>
      <w:lang w:val="es-ES"/>
    </w:rPr>
  </w:style>
  <w:style w:type="paragraph" w:styleId="Textoindependiente2">
    <w:name w:val="Body Text 2"/>
    <w:basedOn w:val="Normal"/>
    <w:semiHidden/>
    <w:pPr>
      <w:jc w:val="both"/>
    </w:pPr>
    <w:rPr>
      <w:lang w:val="es-ES"/>
    </w:rPr>
  </w:style>
  <w:style w:type="table" w:styleId="Tablaconcuadrcula">
    <w:name w:val="Table Grid"/>
    <w:basedOn w:val="Tablanormal"/>
    <w:uiPriority w:val="39"/>
    <w:rsid w:val="00010916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C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038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0381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954E30"/>
  </w:style>
  <w:style w:type="character" w:styleId="Refdecomentario">
    <w:name w:val="annotation reference"/>
    <w:basedOn w:val="Fuentedeprrafopredeter"/>
    <w:uiPriority w:val="99"/>
    <w:semiHidden/>
    <w:unhideWhenUsed/>
    <w:rsid w:val="00977D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77D0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77D00"/>
    <w:rPr>
      <w:rFonts w:ascii="Arial" w:hAnsi="Arial"/>
      <w:lang w:val="es-PY" w:eastAsia="es-UY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7D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7D00"/>
    <w:rPr>
      <w:rFonts w:ascii="Arial" w:hAnsi="Arial"/>
      <w:b/>
      <w:bCs/>
      <w:lang w:val="es-PY" w:eastAsia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7D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D00"/>
    <w:rPr>
      <w:rFonts w:ascii="Segoe UI" w:hAnsi="Segoe UI" w:cs="Segoe UI"/>
      <w:sz w:val="18"/>
      <w:szCs w:val="18"/>
      <w:lang w:val="es-PY" w:eastAsia="es-UY"/>
    </w:rPr>
  </w:style>
  <w:style w:type="paragraph" w:styleId="NormalWeb">
    <w:name w:val="Normal (Web)"/>
    <w:basedOn w:val="Normal"/>
    <w:uiPriority w:val="99"/>
    <w:semiHidden/>
    <w:unhideWhenUsed/>
    <w:rsid w:val="00A975D2"/>
    <w:rPr>
      <w:rFonts w:ascii="Times New Roman" w:hAnsi="Times New Roman"/>
      <w:szCs w:val="24"/>
      <w:lang w:val="es-UY"/>
    </w:rPr>
  </w:style>
  <w:style w:type="character" w:styleId="Mencinsinresolver">
    <w:name w:val="Unresolved Mention"/>
    <w:basedOn w:val="Fuentedeprrafopredeter"/>
    <w:uiPriority w:val="99"/>
    <w:semiHidden/>
    <w:unhideWhenUsed/>
    <w:rsid w:val="006158D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960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603A"/>
    <w:rPr>
      <w:rFonts w:ascii="Arial" w:hAnsi="Arial"/>
      <w:sz w:val="24"/>
      <w:lang w:val="es-PY" w:eastAsia="es-UY"/>
    </w:rPr>
  </w:style>
  <w:style w:type="paragraph" w:styleId="Piedepgina">
    <w:name w:val="footer"/>
    <w:basedOn w:val="Normal"/>
    <w:link w:val="PiedepginaCar"/>
    <w:uiPriority w:val="99"/>
    <w:unhideWhenUsed/>
    <w:rsid w:val="008960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03A"/>
    <w:rPr>
      <w:rFonts w:ascii="Arial" w:hAnsi="Arial"/>
      <w:sz w:val="24"/>
      <w:lang w:val="es-PY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0030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B4A9F-D4FE-448B-AD55-860D0FDB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2301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MERCOSUR/GMC/GRUPO Ad-Hoc Azúcar/ Acta No</vt:lpstr>
    </vt:vector>
  </TitlesOfParts>
  <Company>SAM</Company>
  <LinksUpToDate>false</LinksUpToDate>
  <CharactersWithSpaces>14884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MERCOSUR/GMC/GRUPO Ad-Hoc Azúcar/ Acta No</dc:title>
  <dc:subject/>
  <dc:creator>Informática</dc:creator>
  <cp:keywords/>
  <cp:lastModifiedBy>Ruth Mencia</cp:lastModifiedBy>
  <cp:revision>2</cp:revision>
  <dcterms:created xsi:type="dcterms:W3CDTF">2025-05-22T13:20:00Z</dcterms:created>
  <dcterms:modified xsi:type="dcterms:W3CDTF">2025-05-22T13:20:00Z</dcterms:modified>
</cp:coreProperties>
</file>