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656C" w14:textId="77777777" w:rsidR="00F524A3" w:rsidRDefault="00F524A3">
      <w:pPr>
        <w:jc w:val="both"/>
        <w:rPr>
          <w:b/>
          <w:lang w:val="pt-BR"/>
        </w:rPr>
      </w:pPr>
    </w:p>
    <w:p w14:paraId="77C980DC" w14:textId="30C4323B" w:rsidR="00F524A3" w:rsidRDefault="00F524A3">
      <w:pPr>
        <w:jc w:val="both"/>
        <w:rPr>
          <w:b/>
          <w:lang w:val="pt-BR"/>
        </w:rPr>
      </w:pPr>
      <w:r>
        <w:rPr>
          <w:b/>
          <w:lang w:val="pt-BR"/>
        </w:rPr>
        <w:t xml:space="preserve"> </w:t>
      </w:r>
      <w:r>
        <w:rPr>
          <w:b/>
          <w:noProof/>
          <w:lang w:eastAsia="es-AR"/>
        </w:rPr>
        <w:drawing>
          <wp:inline distT="0" distB="0" distL="0" distR="0" wp14:anchorId="132066B7" wp14:editId="18975C51">
            <wp:extent cx="1183005" cy="762000"/>
            <wp:effectExtent l="0" t="0" r="0" b="0"/>
            <wp:docPr id="5493724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762000"/>
                    </a:xfrm>
                    <a:prstGeom prst="rect">
                      <a:avLst/>
                    </a:prstGeom>
                    <a:noFill/>
                  </pic:spPr>
                </pic:pic>
              </a:graphicData>
            </a:graphic>
          </wp:inline>
        </w:drawing>
      </w:r>
      <w:r>
        <w:rPr>
          <w:b/>
          <w:lang w:val="pt-BR"/>
        </w:rPr>
        <w:t xml:space="preserve">                                                                          </w:t>
      </w:r>
      <w:r>
        <w:rPr>
          <w:b/>
          <w:noProof/>
          <w:lang w:eastAsia="es-AR"/>
        </w:rPr>
        <w:drawing>
          <wp:inline distT="0" distB="0" distL="0" distR="0" wp14:anchorId="3CD7BCFA" wp14:editId="74BBA6E8">
            <wp:extent cx="1188720" cy="749935"/>
            <wp:effectExtent l="0" t="0" r="0" b="0"/>
            <wp:docPr id="14944045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749935"/>
                    </a:xfrm>
                    <a:prstGeom prst="rect">
                      <a:avLst/>
                    </a:prstGeom>
                    <a:noFill/>
                  </pic:spPr>
                </pic:pic>
              </a:graphicData>
            </a:graphic>
          </wp:inline>
        </w:drawing>
      </w:r>
    </w:p>
    <w:p w14:paraId="157A5C3F" w14:textId="77777777" w:rsidR="00F524A3" w:rsidRDefault="00F524A3">
      <w:pPr>
        <w:jc w:val="both"/>
        <w:rPr>
          <w:b/>
          <w:lang w:val="pt-BR"/>
        </w:rPr>
      </w:pPr>
    </w:p>
    <w:p w14:paraId="3F63076F" w14:textId="606059A6" w:rsidR="00E75B99" w:rsidRDefault="00C955CD">
      <w:pPr>
        <w:jc w:val="both"/>
        <w:rPr>
          <w:b/>
          <w:lang w:val="pt-BR"/>
        </w:rPr>
      </w:pPr>
      <w:r w:rsidRPr="0008297C">
        <w:rPr>
          <w:b/>
          <w:lang w:val="pt-BR"/>
        </w:rPr>
        <w:t>MERCOSUR/SGT Nº 1/ACTA Nº 0</w:t>
      </w:r>
      <w:r w:rsidR="00F453A8">
        <w:rPr>
          <w:b/>
          <w:lang w:val="pt-BR"/>
        </w:rPr>
        <w:t>1</w:t>
      </w:r>
      <w:r w:rsidRPr="0008297C">
        <w:rPr>
          <w:b/>
          <w:lang w:val="pt-BR"/>
        </w:rPr>
        <w:t>/2</w:t>
      </w:r>
      <w:r w:rsidR="00F453A8">
        <w:rPr>
          <w:b/>
          <w:lang w:val="pt-BR"/>
        </w:rPr>
        <w:t>5</w:t>
      </w:r>
    </w:p>
    <w:p w14:paraId="5520F674" w14:textId="77777777" w:rsidR="00E75B99" w:rsidRPr="0008297C" w:rsidRDefault="00E75B99">
      <w:pPr>
        <w:tabs>
          <w:tab w:val="left" w:pos="7460"/>
        </w:tabs>
        <w:rPr>
          <w:b/>
          <w:lang w:val="pt-BR"/>
        </w:rPr>
      </w:pPr>
    </w:p>
    <w:p w14:paraId="6C9BA4C4" w14:textId="47A4B17A" w:rsidR="00E75B99" w:rsidRDefault="00177160">
      <w:pPr>
        <w:tabs>
          <w:tab w:val="left" w:pos="7460"/>
        </w:tabs>
        <w:jc w:val="center"/>
        <w:rPr>
          <w:b/>
        </w:rPr>
      </w:pPr>
      <w:r>
        <w:rPr>
          <w:b/>
        </w:rPr>
        <w:t>LX</w:t>
      </w:r>
      <w:r w:rsidR="00C955CD">
        <w:rPr>
          <w:b/>
        </w:rPr>
        <w:t>V</w:t>
      </w:r>
      <w:r w:rsidR="00F453A8">
        <w:rPr>
          <w:b/>
        </w:rPr>
        <w:t>I</w:t>
      </w:r>
      <w:r w:rsidR="00C955CD">
        <w:rPr>
          <w:b/>
        </w:rPr>
        <w:t xml:space="preserve"> REUNIÓN ORDINARIA DEL SUBGRUPO DE TRABAJO N° 1 “COMUNICACIONES”</w:t>
      </w:r>
    </w:p>
    <w:p w14:paraId="2A0CF13C" w14:textId="77777777" w:rsidR="00E75B99" w:rsidRDefault="00E75B99">
      <w:pPr>
        <w:jc w:val="both"/>
        <w:rPr>
          <w:i/>
        </w:rPr>
      </w:pPr>
    </w:p>
    <w:p w14:paraId="0FD4AAF5" w14:textId="28EB0175" w:rsidR="002F034A" w:rsidRPr="00C306EA" w:rsidRDefault="00C955CD" w:rsidP="002F034A">
      <w:pPr>
        <w:spacing w:before="120"/>
        <w:jc w:val="both"/>
        <w:rPr>
          <w:lang w:val="es-UY"/>
        </w:rPr>
      </w:pPr>
      <w:r>
        <w:t xml:space="preserve">Se realizó en la ciudad de </w:t>
      </w:r>
      <w:r w:rsidR="00F453A8">
        <w:t>Buenos Aires</w:t>
      </w:r>
      <w:r>
        <w:t xml:space="preserve">, República </w:t>
      </w:r>
      <w:r w:rsidR="00F453A8">
        <w:t>Argentina</w:t>
      </w:r>
      <w:r>
        <w:t>, del</w:t>
      </w:r>
      <w:r w:rsidR="00177160">
        <w:t xml:space="preserve"> </w:t>
      </w:r>
      <w:r w:rsidR="00F453A8">
        <w:t>5</w:t>
      </w:r>
      <w:r>
        <w:t xml:space="preserve"> al </w:t>
      </w:r>
      <w:r w:rsidR="00F453A8">
        <w:t>9</w:t>
      </w:r>
      <w:r>
        <w:t xml:space="preserve"> de </w:t>
      </w:r>
      <w:r w:rsidR="00F453A8">
        <w:t>mayo</w:t>
      </w:r>
      <w:r w:rsidR="00177160">
        <w:t xml:space="preserve"> </w:t>
      </w:r>
      <w:r>
        <w:t>de 202</w:t>
      </w:r>
      <w:r w:rsidR="00F453A8">
        <w:t>5</w:t>
      </w:r>
      <w:r>
        <w:t>, la LXV</w:t>
      </w:r>
      <w:r w:rsidR="00F453A8">
        <w:t>I</w:t>
      </w:r>
      <w:r>
        <w:t xml:space="preserve"> Reunión Ordinaria del Subgrupo de Trabajo N° 1 “Comunicaciones” (SGT N° 1), en ejercicio de la Presidencia </w:t>
      </w:r>
      <w:r>
        <w:rPr>
          <w:i/>
        </w:rPr>
        <w:t>Pro Tempore</w:t>
      </w:r>
      <w:r>
        <w:t xml:space="preserve"> de </w:t>
      </w:r>
      <w:r w:rsidR="00F453A8">
        <w:t>Argentina</w:t>
      </w:r>
      <w:r>
        <w:t xml:space="preserve"> (PPT</w:t>
      </w:r>
      <w:r w:rsidR="00F453A8">
        <w:t>A</w:t>
      </w:r>
      <w:r>
        <w:t>)</w:t>
      </w:r>
      <w:r w:rsidR="008D4EFC">
        <w:t>,</w:t>
      </w:r>
      <w:r>
        <w:t xml:space="preserve"> con la presencia de las delegaciones de </w:t>
      </w:r>
      <w:r w:rsidR="00177160">
        <w:t xml:space="preserve">Argentina, </w:t>
      </w:r>
      <w:r>
        <w:t xml:space="preserve">Brasil, Paraguay y Uruguay. </w:t>
      </w:r>
      <w:r w:rsidR="002F034A">
        <w:rPr>
          <w:lang w:val="es-UY"/>
        </w:rPr>
        <w:t>La delegación de Bolivia participó de conformidad con lo establecido en la Decisión CMC N° 20/19.</w:t>
      </w:r>
    </w:p>
    <w:p w14:paraId="6EA8CF30" w14:textId="77777777" w:rsidR="00F453A8" w:rsidRDefault="00F453A8" w:rsidP="002474F3">
      <w:pPr>
        <w:jc w:val="both"/>
      </w:pPr>
    </w:p>
    <w:p w14:paraId="5025F672" w14:textId="43D00325" w:rsidR="002474F3" w:rsidRDefault="002474F3" w:rsidP="002474F3">
      <w:pPr>
        <w:jc w:val="both"/>
      </w:pPr>
      <w:r>
        <w:t xml:space="preserve">La apertura </w:t>
      </w:r>
      <w:r w:rsidR="00F453A8">
        <w:t xml:space="preserve">de </w:t>
      </w:r>
      <w:r>
        <w:t xml:space="preserve">la reunión </w:t>
      </w:r>
      <w:r w:rsidR="00F453A8">
        <w:t xml:space="preserve">la realizó </w:t>
      </w:r>
      <w:r>
        <w:t>el</w:t>
      </w:r>
      <w:r w:rsidR="002F034A">
        <w:t xml:space="preserve"> Ing. Luis María </w:t>
      </w:r>
      <w:proofErr w:type="spellStart"/>
      <w:r w:rsidR="002F034A">
        <w:t>Ottati</w:t>
      </w:r>
      <w:proofErr w:type="spellEnd"/>
      <w:r w:rsidR="002F034A">
        <w:t xml:space="preserve"> </w:t>
      </w:r>
      <w:r w:rsidR="00F453A8">
        <w:t>del Ente Nacional de Comunicaciones (ENACOM)</w:t>
      </w:r>
      <w:r>
        <w:t>, quien dio la bienvenida a las delegaciones</w:t>
      </w:r>
      <w:r w:rsidR="00F453A8">
        <w:t>, esperando se avance en el tratamiento de los diferentes temas de agenda</w:t>
      </w:r>
      <w:r w:rsidR="002F034A">
        <w:t>.</w:t>
      </w:r>
    </w:p>
    <w:p w14:paraId="0E573272" w14:textId="77777777" w:rsidR="0008297C" w:rsidRDefault="0008297C">
      <w:pPr>
        <w:jc w:val="both"/>
        <w:rPr>
          <w:strike/>
        </w:rPr>
      </w:pPr>
    </w:p>
    <w:p w14:paraId="0075C6BE" w14:textId="77777777" w:rsidR="00E75B99" w:rsidRPr="002474F3" w:rsidRDefault="00C955CD">
      <w:pPr>
        <w:jc w:val="both"/>
        <w:rPr>
          <w:lang w:val="pt-BR"/>
        </w:rPr>
      </w:pPr>
      <w:r w:rsidRPr="002474F3">
        <w:rPr>
          <w:lang w:val="pt-BR"/>
        </w:rPr>
        <w:t xml:space="preserve">La Lista de Participantes consta como </w:t>
      </w:r>
      <w:r w:rsidRPr="002474F3">
        <w:rPr>
          <w:b/>
          <w:lang w:val="pt-BR"/>
        </w:rPr>
        <w:t>Anexo I</w:t>
      </w:r>
      <w:r w:rsidRPr="002474F3">
        <w:rPr>
          <w:lang w:val="pt-BR"/>
        </w:rPr>
        <w:t>.</w:t>
      </w:r>
    </w:p>
    <w:p w14:paraId="5F5B81F4" w14:textId="77777777" w:rsidR="00F453A8" w:rsidRPr="00680EE9" w:rsidRDefault="00F453A8" w:rsidP="002474F3">
      <w:pPr>
        <w:pBdr>
          <w:top w:val="nil"/>
          <w:left w:val="nil"/>
          <w:bottom w:val="nil"/>
          <w:right w:val="nil"/>
          <w:between w:val="nil"/>
        </w:pBdr>
        <w:jc w:val="both"/>
        <w:rPr>
          <w:lang w:val="pt-BR"/>
        </w:rPr>
      </w:pPr>
    </w:p>
    <w:p w14:paraId="39CC0237" w14:textId="11E2FF63" w:rsidR="002474F3" w:rsidRDefault="002474F3" w:rsidP="002474F3">
      <w:pPr>
        <w:pBdr>
          <w:top w:val="nil"/>
          <w:left w:val="nil"/>
          <w:bottom w:val="nil"/>
          <w:right w:val="nil"/>
          <w:between w:val="nil"/>
        </w:pBdr>
        <w:jc w:val="both"/>
      </w:pPr>
      <w:r>
        <w:t xml:space="preserve">La agenda </w:t>
      </w:r>
      <w:r w:rsidR="00D44508">
        <w:t xml:space="preserve">fue </w:t>
      </w:r>
      <w:r>
        <w:t xml:space="preserve">aprobada </w:t>
      </w:r>
      <w:r w:rsidR="004032BF">
        <w:t>l</w:t>
      </w:r>
      <w:r>
        <w:t xml:space="preserve">a cual consta en el </w:t>
      </w:r>
      <w:r>
        <w:rPr>
          <w:b/>
        </w:rPr>
        <w:t>Anexo II</w:t>
      </w:r>
      <w:r>
        <w:t>.</w:t>
      </w:r>
    </w:p>
    <w:p w14:paraId="5850F601" w14:textId="77777777" w:rsidR="00E75B99" w:rsidRDefault="00E75B99">
      <w:pPr>
        <w:jc w:val="both"/>
        <w:rPr>
          <w:b/>
        </w:rPr>
      </w:pPr>
    </w:p>
    <w:p w14:paraId="34FA5C7B" w14:textId="77777777" w:rsidR="00E75B99" w:rsidRDefault="00C955CD">
      <w:pPr>
        <w:jc w:val="both"/>
      </w:pPr>
      <w:r>
        <w:t xml:space="preserve">El Resumen del Acta consta como </w:t>
      </w:r>
      <w:r>
        <w:rPr>
          <w:b/>
        </w:rPr>
        <w:t>Anexo III</w:t>
      </w:r>
      <w:r>
        <w:t>.</w:t>
      </w:r>
    </w:p>
    <w:p w14:paraId="03BAA58A" w14:textId="4296F6CF" w:rsidR="00E75B99" w:rsidRDefault="00E75B99">
      <w:pPr>
        <w:jc w:val="both"/>
        <w:rPr>
          <w:b/>
        </w:rPr>
      </w:pPr>
    </w:p>
    <w:p w14:paraId="2A6D6438" w14:textId="77777777" w:rsidR="00E75B99" w:rsidRDefault="00C955CD">
      <w:pPr>
        <w:jc w:val="both"/>
      </w:pPr>
      <w:r>
        <w:t>En la reunión se trataron los siguientes temas:</w:t>
      </w:r>
    </w:p>
    <w:p w14:paraId="6C162390" w14:textId="77777777" w:rsidR="00E75B99" w:rsidRDefault="00E75B99">
      <w:pPr>
        <w:widowControl w:val="0"/>
        <w:pBdr>
          <w:top w:val="nil"/>
          <w:left w:val="nil"/>
          <w:bottom w:val="nil"/>
          <w:right w:val="nil"/>
          <w:between w:val="nil"/>
        </w:pBdr>
        <w:jc w:val="both"/>
      </w:pPr>
    </w:p>
    <w:p w14:paraId="4E201D0A" w14:textId="65FCDFE1" w:rsidR="00E75B99" w:rsidRPr="00F453A8" w:rsidRDefault="00C955CD" w:rsidP="004032BF">
      <w:pPr>
        <w:pStyle w:val="Prrafodelista"/>
        <w:widowControl w:val="0"/>
        <w:numPr>
          <w:ilvl w:val="0"/>
          <w:numId w:val="7"/>
        </w:numPr>
        <w:pBdr>
          <w:top w:val="nil"/>
          <w:left w:val="nil"/>
          <w:bottom w:val="nil"/>
          <w:right w:val="nil"/>
          <w:between w:val="nil"/>
        </w:pBdr>
        <w:ind w:left="426" w:hanging="426"/>
        <w:jc w:val="both"/>
        <w:rPr>
          <w:b/>
          <w:color w:val="000000"/>
        </w:rPr>
      </w:pPr>
      <w:r w:rsidRPr="00F453A8">
        <w:rPr>
          <w:b/>
          <w:color w:val="000000"/>
        </w:rPr>
        <w:t xml:space="preserve">PROYECTOS DE </w:t>
      </w:r>
      <w:r w:rsidR="002F034A">
        <w:rPr>
          <w:b/>
          <w:color w:val="000000"/>
        </w:rPr>
        <w:t>RECOMENDACION</w:t>
      </w:r>
    </w:p>
    <w:p w14:paraId="4106F7FA" w14:textId="77777777" w:rsidR="00E75B99" w:rsidRDefault="00E75B99">
      <w:pPr>
        <w:widowControl w:val="0"/>
        <w:pBdr>
          <w:top w:val="nil"/>
          <w:left w:val="nil"/>
          <w:bottom w:val="nil"/>
          <w:right w:val="nil"/>
          <w:between w:val="nil"/>
        </w:pBdr>
        <w:jc w:val="both"/>
        <w:rPr>
          <w:b/>
        </w:rPr>
      </w:pPr>
    </w:p>
    <w:p w14:paraId="2198E19E" w14:textId="2293B089" w:rsidR="00E551A2" w:rsidRDefault="00E551A2" w:rsidP="00E551A2">
      <w:pPr>
        <w:spacing w:after="240"/>
        <w:jc w:val="both"/>
        <w:rPr>
          <w:b/>
          <w:bCs/>
        </w:rPr>
      </w:pPr>
      <w:r>
        <w:rPr>
          <w:bCs/>
        </w:rPr>
        <w:t>Los proyectos de Recomendación que se elevan a consideración del GMC constan</w:t>
      </w:r>
      <w:r w:rsidR="004032BF">
        <w:rPr>
          <w:bCs/>
        </w:rPr>
        <w:t xml:space="preserve"> en el</w:t>
      </w:r>
      <w:r>
        <w:rPr>
          <w:bCs/>
        </w:rPr>
        <w:t xml:space="preserve"> </w:t>
      </w:r>
      <w:r>
        <w:rPr>
          <w:b/>
          <w:bCs/>
        </w:rPr>
        <w:t xml:space="preserve">Anexo </w:t>
      </w:r>
      <w:r w:rsidR="004032BF">
        <w:rPr>
          <w:b/>
          <w:bCs/>
        </w:rPr>
        <w:t>IV</w:t>
      </w:r>
      <w:r w:rsidRPr="0097794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224"/>
      </w:tblGrid>
      <w:tr w:rsidR="00E551A2" w14:paraId="73072523" w14:textId="77777777" w:rsidTr="00E551A2">
        <w:tc>
          <w:tcPr>
            <w:tcW w:w="1838" w:type="dxa"/>
            <w:shd w:val="clear" w:color="auto" w:fill="auto"/>
          </w:tcPr>
          <w:p w14:paraId="01143C73" w14:textId="765221D4" w:rsidR="00E551A2" w:rsidRPr="00891A4A" w:rsidRDefault="00E551A2" w:rsidP="00E551A2">
            <w:pPr>
              <w:jc w:val="center"/>
              <w:rPr>
                <w:rFonts w:eastAsia="Calibri"/>
                <w:b/>
                <w:bCs/>
              </w:rPr>
            </w:pPr>
            <w:r w:rsidRPr="00891A4A">
              <w:rPr>
                <w:rFonts w:eastAsia="Calibri"/>
                <w:b/>
                <w:bCs/>
              </w:rPr>
              <w:t>P.RE</w:t>
            </w:r>
            <w:r>
              <w:rPr>
                <w:rFonts w:eastAsia="Calibri"/>
                <w:b/>
                <w:bCs/>
              </w:rPr>
              <w:t>C</w:t>
            </w:r>
            <w:r w:rsidRPr="00891A4A">
              <w:rPr>
                <w:rFonts w:eastAsia="Calibri"/>
                <w:b/>
                <w:bCs/>
              </w:rPr>
              <w:t xml:space="preserve"> N°</w:t>
            </w:r>
          </w:p>
        </w:tc>
        <w:tc>
          <w:tcPr>
            <w:tcW w:w="7224" w:type="dxa"/>
            <w:shd w:val="clear" w:color="auto" w:fill="auto"/>
          </w:tcPr>
          <w:p w14:paraId="005FB749" w14:textId="284BEED0" w:rsidR="00E551A2" w:rsidRPr="00891A4A" w:rsidRDefault="00BD2DB9" w:rsidP="009B4468">
            <w:pPr>
              <w:jc w:val="center"/>
              <w:rPr>
                <w:rFonts w:eastAsia="Calibri"/>
                <w:b/>
                <w:bCs/>
              </w:rPr>
            </w:pPr>
            <w:r>
              <w:rPr>
                <w:rFonts w:eastAsia="Calibri"/>
                <w:b/>
                <w:bCs/>
              </w:rPr>
              <w:t>A</w:t>
            </w:r>
            <w:r w:rsidR="00E551A2" w:rsidRPr="00891A4A">
              <w:rPr>
                <w:rFonts w:eastAsia="Calibri"/>
                <w:b/>
                <w:bCs/>
              </w:rPr>
              <w:t>SUNTO</w:t>
            </w:r>
          </w:p>
        </w:tc>
      </w:tr>
      <w:tr w:rsidR="00E551A2" w14:paraId="505E5018" w14:textId="77777777" w:rsidTr="00E551A2">
        <w:tc>
          <w:tcPr>
            <w:tcW w:w="1838" w:type="dxa"/>
            <w:shd w:val="clear" w:color="auto" w:fill="auto"/>
            <w:vAlign w:val="center"/>
          </w:tcPr>
          <w:p w14:paraId="7428AF33" w14:textId="2A256B14" w:rsidR="00E551A2" w:rsidRPr="00F15DEF" w:rsidRDefault="00680EE9" w:rsidP="00E551A2">
            <w:pPr>
              <w:jc w:val="center"/>
              <w:rPr>
                <w:rFonts w:eastAsia="Calibri"/>
              </w:rPr>
            </w:pPr>
            <w:r>
              <w:rPr>
                <w:rFonts w:eastAsia="Calibri"/>
              </w:rPr>
              <w:t>0</w:t>
            </w:r>
            <w:r w:rsidR="00E551A2">
              <w:rPr>
                <w:rFonts w:eastAsia="Calibri"/>
              </w:rPr>
              <w:t>1/25</w:t>
            </w:r>
          </w:p>
        </w:tc>
        <w:tc>
          <w:tcPr>
            <w:tcW w:w="7224" w:type="dxa"/>
            <w:shd w:val="clear" w:color="auto" w:fill="auto"/>
          </w:tcPr>
          <w:p w14:paraId="57D6393A" w14:textId="3E5CA477" w:rsidR="00E551A2" w:rsidRPr="00891A4A" w:rsidRDefault="00E551A2" w:rsidP="009B4468">
            <w:pPr>
              <w:jc w:val="both"/>
              <w:rPr>
                <w:rFonts w:eastAsia="Calibri"/>
              </w:rPr>
            </w:pPr>
            <w:r>
              <w:rPr>
                <w:rFonts w:ascii="ArialMT" w:eastAsia="Times New Roman" w:hAnsi="ArialMT" w:cs="Times New Roman"/>
                <w:lang w:val="es-UY" w:eastAsia="en-US"/>
              </w:rPr>
              <w:t>S</w:t>
            </w:r>
            <w:r w:rsidRPr="001B70D9">
              <w:rPr>
                <w:rFonts w:ascii="ArialMT" w:eastAsia="Times New Roman" w:hAnsi="ArialMT" w:cs="Times New Roman"/>
                <w:lang w:val="es-UY" w:eastAsia="en-US"/>
              </w:rPr>
              <w:t>eguridad y resiliencia de infraestructuras de cables submarinos.</w:t>
            </w:r>
          </w:p>
        </w:tc>
      </w:tr>
      <w:tr w:rsidR="00E551A2" w14:paraId="7583CDAE" w14:textId="77777777" w:rsidTr="00E551A2">
        <w:tc>
          <w:tcPr>
            <w:tcW w:w="1838" w:type="dxa"/>
            <w:shd w:val="clear" w:color="auto" w:fill="auto"/>
            <w:vAlign w:val="center"/>
          </w:tcPr>
          <w:p w14:paraId="18C58BB8" w14:textId="7889AA51" w:rsidR="00E551A2" w:rsidRDefault="00680EE9" w:rsidP="00E551A2">
            <w:pPr>
              <w:jc w:val="center"/>
              <w:rPr>
                <w:rFonts w:eastAsia="Calibri"/>
              </w:rPr>
            </w:pPr>
            <w:r>
              <w:rPr>
                <w:rFonts w:eastAsia="Calibri"/>
              </w:rPr>
              <w:t>0</w:t>
            </w:r>
            <w:r w:rsidR="00E551A2">
              <w:rPr>
                <w:rFonts w:eastAsia="Calibri"/>
              </w:rPr>
              <w:t>2/25</w:t>
            </w:r>
          </w:p>
        </w:tc>
        <w:tc>
          <w:tcPr>
            <w:tcW w:w="7224" w:type="dxa"/>
            <w:shd w:val="clear" w:color="auto" w:fill="auto"/>
          </w:tcPr>
          <w:p w14:paraId="6D8DD726" w14:textId="48417E56" w:rsidR="00E551A2" w:rsidRDefault="00E551A2" w:rsidP="009B4468">
            <w:pPr>
              <w:jc w:val="both"/>
              <w:rPr>
                <w:rFonts w:ascii="ArialMT" w:eastAsia="Times New Roman" w:hAnsi="ArialMT" w:cs="Times New Roman"/>
                <w:lang w:val="es-UY" w:eastAsia="en-US"/>
              </w:rPr>
            </w:pPr>
            <w:r w:rsidRPr="001B70D9">
              <w:rPr>
                <w:rFonts w:ascii="ArialMT" w:eastAsia="Times New Roman" w:hAnsi="ArialMT" w:cs="Times New Roman"/>
                <w:lang w:val="es-UY" w:eastAsia="en-US"/>
              </w:rPr>
              <w:t>Acelerar la adopción de IPv6 por los Estados Parte para impulsar el crecimiento digital y la integración económica en el MERCOSUR</w:t>
            </w:r>
          </w:p>
        </w:tc>
      </w:tr>
    </w:tbl>
    <w:p w14:paraId="225102B3" w14:textId="77777777" w:rsidR="0096771F" w:rsidRDefault="0096771F">
      <w:pPr>
        <w:jc w:val="both"/>
      </w:pPr>
    </w:p>
    <w:p w14:paraId="4FC36C71" w14:textId="77777777" w:rsidR="004032BF" w:rsidRDefault="00C955CD" w:rsidP="004032BF">
      <w:pPr>
        <w:pStyle w:val="Prrafodelista"/>
        <w:widowControl w:val="0"/>
        <w:numPr>
          <w:ilvl w:val="0"/>
          <w:numId w:val="7"/>
        </w:numPr>
        <w:pBdr>
          <w:top w:val="nil"/>
          <w:left w:val="nil"/>
          <w:bottom w:val="nil"/>
          <w:right w:val="nil"/>
          <w:between w:val="nil"/>
        </w:pBdr>
        <w:ind w:left="567" w:hanging="567"/>
        <w:jc w:val="both"/>
        <w:rPr>
          <w:b/>
          <w:color w:val="000000"/>
        </w:rPr>
      </w:pPr>
      <w:r w:rsidRPr="00F453A8">
        <w:rPr>
          <w:b/>
          <w:color w:val="000000"/>
        </w:rPr>
        <w:t>APROBACION DE LAS ACTAS DE LAS COMISIONES TEMÁTICAS</w:t>
      </w:r>
    </w:p>
    <w:p w14:paraId="2E18BC2F" w14:textId="77777777" w:rsidR="004032BF" w:rsidRDefault="004032BF" w:rsidP="004032BF">
      <w:pPr>
        <w:pStyle w:val="Prrafodelista"/>
        <w:widowControl w:val="0"/>
        <w:pBdr>
          <w:top w:val="nil"/>
          <w:left w:val="nil"/>
          <w:bottom w:val="nil"/>
          <w:right w:val="nil"/>
          <w:between w:val="nil"/>
        </w:pBdr>
        <w:ind w:left="567"/>
        <w:jc w:val="both"/>
        <w:rPr>
          <w:b/>
          <w:color w:val="000000"/>
        </w:rPr>
      </w:pPr>
    </w:p>
    <w:p w14:paraId="627CC429" w14:textId="17240DCF" w:rsidR="00E75B99" w:rsidRPr="004032BF" w:rsidRDefault="00C955CD" w:rsidP="004032BF">
      <w:pPr>
        <w:pStyle w:val="Prrafodelista"/>
        <w:widowControl w:val="0"/>
        <w:numPr>
          <w:ilvl w:val="1"/>
          <w:numId w:val="7"/>
        </w:numPr>
        <w:pBdr>
          <w:top w:val="nil"/>
          <w:left w:val="nil"/>
          <w:bottom w:val="nil"/>
          <w:right w:val="nil"/>
          <w:between w:val="nil"/>
        </w:pBdr>
        <w:jc w:val="both"/>
        <w:rPr>
          <w:b/>
          <w:color w:val="000000"/>
        </w:rPr>
      </w:pPr>
      <w:r w:rsidRPr="004032BF">
        <w:rPr>
          <w:b/>
          <w:color w:val="000000"/>
        </w:rPr>
        <w:t>Acta de la Comisión Temática de Asuntos Postales (CTAP)</w:t>
      </w:r>
    </w:p>
    <w:p w14:paraId="677E3E92" w14:textId="77777777" w:rsidR="00E75B99" w:rsidRDefault="00E75B99">
      <w:pPr>
        <w:jc w:val="both"/>
      </w:pPr>
    </w:p>
    <w:p w14:paraId="71335388" w14:textId="7E6C0B6E" w:rsidR="00E75B99" w:rsidRPr="0008297C" w:rsidRDefault="00C955CD">
      <w:pPr>
        <w:jc w:val="both"/>
      </w:pPr>
      <w:r w:rsidRPr="0008297C">
        <w:t xml:space="preserve">El SGT N° 1 recibió el informe de los resultados de la </w:t>
      </w:r>
      <w:r w:rsidR="009971D2">
        <w:t>LX</w:t>
      </w:r>
      <w:r w:rsidR="00F453A8" w:rsidRPr="00F52AF8">
        <w:t>I</w:t>
      </w:r>
      <w:r w:rsidR="00711235" w:rsidRPr="00F52AF8">
        <w:t>I</w:t>
      </w:r>
      <w:r w:rsidR="00F453A8">
        <w:t xml:space="preserve"> R</w:t>
      </w:r>
      <w:r w:rsidRPr="0008297C">
        <w:t xml:space="preserve">eunión de la Comisión Temática de Asuntos Postales, realizada entre los días </w:t>
      </w:r>
      <w:r w:rsidR="00F453A8">
        <w:t>5</w:t>
      </w:r>
      <w:r w:rsidR="00177160">
        <w:t xml:space="preserve"> a </w:t>
      </w:r>
      <w:r w:rsidR="00F453A8">
        <w:t>7</w:t>
      </w:r>
      <w:r w:rsidRPr="0008297C">
        <w:t xml:space="preserve"> de </w:t>
      </w:r>
      <w:r w:rsidR="00F453A8">
        <w:t>mayo</w:t>
      </w:r>
      <w:r w:rsidR="00177160">
        <w:t xml:space="preserve"> de 202</w:t>
      </w:r>
      <w:r w:rsidR="00F453A8">
        <w:t>5</w:t>
      </w:r>
      <w:r w:rsidR="0008297C" w:rsidRPr="0008297C">
        <w:t>.</w:t>
      </w:r>
    </w:p>
    <w:p w14:paraId="59188935" w14:textId="77777777" w:rsidR="00E75B99" w:rsidRPr="0008297C" w:rsidRDefault="00E75B99">
      <w:pPr>
        <w:jc w:val="both"/>
      </w:pPr>
    </w:p>
    <w:p w14:paraId="1D549963" w14:textId="08E5E121" w:rsidR="00E75B99" w:rsidRDefault="00C955CD">
      <w:pPr>
        <w:jc w:val="both"/>
      </w:pPr>
      <w:r w:rsidRPr="0008297C">
        <w:t xml:space="preserve">El Acta de la reunión y sus anexos, que consta en el </w:t>
      </w:r>
      <w:r w:rsidRPr="00DE2968">
        <w:rPr>
          <w:b/>
        </w:rPr>
        <w:t>Anexo V</w:t>
      </w:r>
      <w:r w:rsidRPr="00DE2968">
        <w:t>,</w:t>
      </w:r>
      <w:r w:rsidRPr="0008297C">
        <w:t xml:space="preserve"> fue aprobada.</w:t>
      </w:r>
    </w:p>
    <w:p w14:paraId="518D2A5A" w14:textId="77777777" w:rsidR="00E75B99" w:rsidRDefault="00E75B99">
      <w:pPr>
        <w:jc w:val="both"/>
      </w:pPr>
    </w:p>
    <w:p w14:paraId="3D320E46" w14:textId="77777777" w:rsidR="00F524A3" w:rsidRDefault="00F524A3">
      <w:pPr>
        <w:jc w:val="both"/>
      </w:pPr>
    </w:p>
    <w:p w14:paraId="7625A535" w14:textId="65CDBBA5" w:rsidR="00E75B99" w:rsidRPr="004032BF" w:rsidRDefault="00C955CD" w:rsidP="004032BF">
      <w:pPr>
        <w:pStyle w:val="Prrafodelista"/>
        <w:widowControl w:val="0"/>
        <w:numPr>
          <w:ilvl w:val="1"/>
          <w:numId w:val="7"/>
        </w:numPr>
        <w:pBdr>
          <w:top w:val="nil"/>
          <w:left w:val="nil"/>
          <w:bottom w:val="nil"/>
          <w:right w:val="nil"/>
          <w:between w:val="nil"/>
        </w:pBdr>
        <w:jc w:val="both"/>
        <w:rPr>
          <w:b/>
          <w:color w:val="000000"/>
        </w:rPr>
      </w:pPr>
      <w:r w:rsidRPr="00F453A8">
        <w:rPr>
          <w:b/>
          <w:color w:val="000000"/>
        </w:rPr>
        <w:t>Acta de la Comisión Temática de Radiocomunicaciones (</w:t>
      </w:r>
      <w:proofErr w:type="spellStart"/>
      <w:r w:rsidRPr="00F453A8">
        <w:rPr>
          <w:b/>
          <w:color w:val="000000"/>
        </w:rPr>
        <w:t>CTRc</w:t>
      </w:r>
      <w:proofErr w:type="spellEnd"/>
      <w:r w:rsidRPr="00F453A8">
        <w:rPr>
          <w:b/>
          <w:color w:val="000000"/>
        </w:rPr>
        <w:t>)</w:t>
      </w:r>
    </w:p>
    <w:p w14:paraId="1D3FEC0D" w14:textId="77777777" w:rsidR="00E75B99" w:rsidRDefault="00E75B99">
      <w:pPr>
        <w:jc w:val="both"/>
      </w:pPr>
    </w:p>
    <w:p w14:paraId="384F63B3" w14:textId="49054358" w:rsidR="00E75B99" w:rsidRPr="0008297C" w:rsidRDefault="00C955CD">
      <w:pPr>
        <w:jc w:val="both"/>
      </w:pPr>
      <w:r w:rsidRPr="0008297C">
        <w:t>El SGT N° 1 recibió el informe</w:t>
      </w:r>
      <w:r w:rsidR="004F61BC">
        <w:t xml:space="preserve"> de los </w:t>
      </w:r>
      <w:r w:rsidR="004F61BC" w:rsidRPr="0008297C">
        <w:t>resultados</w:t>
      </w:r>
      <w:r w:rsidRPr="0008297C">
        <w:t xml:space="preserve"> de la </w:t>
      </w:r>
      <w:r w:rsidR="00F453A8" w:rsidRPr="009971D2">
        <w:t>LXV</w:t>
      </w:r>
      <w:r w:rsidR="00F453A8">
        <w:t xml:space="preserve"> R</w:t>
      </w:r>
      <w:r w:rsidR="004F61BC">
        <w:t xml:space="preserve">eunión de la </w:t>
      </w:r>
      <w:r w:rsidRPr="0008297C">
        <w:t>Comisión Temática de Radiocomunicaciones</w:t>
      </w:r>
      <w:r w:rsidR="004F61BC">
        <w:t xml:space="preserve">, </w:t>
      </w:r>
      <w:r w:rsidRPr="0008297C">
        <w:t xml:space="preserve">realizada entre los días </w:t>
      </w:r>
      <w:r w:rsidR="00F453A8">
        <w:t>5 a 7</w:t>
      </w:r>
      <w:r w:rsidR="00F453A8" w:rsidRPr="0008297C">
        <w:t xml:space="preserve"> de </w:t>
      </w:r>
      <w:r w:rsidR="00F453A8">
        <w:t>mayo de 2025</w:t>
      </w:r>
      <w:r w:rsidR="00177160">
        <w:t>.</w:t>
      </w:r>
    </w:p>
    <w:p w14:paraId="58B08D9D" w14:textId="77777777" w:rsidR="00E75B99" w:rsidRPr="0008297C" w:rsidRDefault="00E75B99">
      <w:pPr>
        <w:jc w:val="both"/>
      </w:pPr>
    </w:p>
    <w:p w14:paraId="083593BC" w14:textId="78546E0E" w:rsidR="00E75B99" w:rsidRDefault="00C955CD">
      <w:pPr>
        <w:jc w:val="both"/>
      </w:pPr>
      <w:r w:rsidRPr="0008297C">
        <w:t xml:space="preserve">El Acta de la reunión y sus anexos, que consta en el </w:t>
      </w:r>
      <w:r w:rsidRPr="00DE2968">
        <w:rPr>
          <w:b/>
        </w:rPr>
        <w:t>Anexo V</w:t>
      </w:r>
      <w:r w:rsidR="004032BF">
        <w:rPr>
          <w:b/>
        </w:rPr>
        <w:t>I</w:t>
      </w:r>
      <w:r w:rsidRPr="0008297C">
        <w:t>, fue aprobada.</w:t>
      </w:r>
    </w:p>
    <w:p w14:paraId="008D3DC4" w14:textId="77777777" w:rsidR="00A62DCD" w:rsidRPr="0008297C" w:rsidRDefault="00A62DCD">
      <w:pPr>
        <w:jc w:val="both"/>
      </w:pPr>
    </w:p>
    <w:p w14:paraId="249E8C5A" w14:textId="77777777" w:rsidR="00E75B99" w:rsidRPr="004032BF" w:rsidRDefault="00C955CD" w:rsidP="004032BF">
      <w:pPr>
        <w:pStyle w:val="Prrafodelista"/>
        <w:widowControl w:val="0"/>
        <w:numPr>
          <w:ilvl w:val="1"/>
          <w:numId w:val="7"/>
        </w:numPr>
        <w:pBdr>
          <w:top w:val="nil"/>
          <w:left w:val="nil"/>
          <w:bottom w:val="nil"/>
          <w:right w:val="nil"/>
          <w:between w:val="nil"/>
        </w:pBdr>
        <w:jc w:val="both"/>
        <w:rPr>
          <w:b/>
          <w:color w:val="000000"/>
        </w:rPr>
      </w:pPr>
      <w:r>
        <w:rPr>
          <w:b/>
          <w:color w:val="000000"/>
        </w:rPr>
        <w:t>Acta de la Comisión Temática de Radiodifusión (</w:t>
      </w:r>
      <w:proofErr w:type="spellStart"/>
      <w:r>
        <w:rPr>
          <w:b/>
          <w:color w:val="000000"/>
        </w:rPr>
        <w:t>CTRd</w:t>
      </w:r>
      <w:proofErr w:type="spellEnd"/>
      <w:r>
        <w:rPr>
          <w:b/>
          <w:color w:val="000000"/>
        </w:rPr>
        <w:t>)</w:t>
      </w:r>
    </w:p>
    <w:p w14:paraId="717B1250" w14:textId="77777777" w:rsidR="00E75B99" w:rsidRDefault="00E75B99">
      <w:pPr>
        <w:jc w:val="both"/>
        <w:rPr>
          <w:b/>
        </w:rPr>
      </w:pPr>
    </w:p>
    <w:p w14:paraId="1A452F31" w14:textId="07B17C2C" w:rsidR="004B6863" w:rsidRDefault="00C955CD">
      <w:pPr>
        <w:jc w:val="both"/>
      </w:pPr>
      <w:r w:rsidRPr="0008297C">
        <w:t xml:space="preserve">El SGT N° 1 recibió el informe </w:t>
      </w:r>
      <w:r w:rsidR="00A80D10">
        <w:t xml:space="preserve">de los resultados </w:t>
      </w:r>
      <w:r w:rsidRPr="0008297C">
        <w:t>de la</w:t>
      </w:r>
      <w:r w:rsidR="00A80D10">
        <w:t xml:space="preserve"> </w:t>
      </w:r>
      <w:r w:rsidR="00F453A8" w:rsidRPr="009971D2">
        <w:t>LXIV</w:t>
      </w:r>
      <w:r w:rsidR="00F453A8">
        <w:t xml:space="preserve"> R</w:t>
      </w:r>
      <w:r w:rsidR="00A80D10">
        <w:t xml:space="preserve">eunión de la </w:t>
      </w:r>
      <w:r w:rsidRPr="0008297C">
        <w:t>Comisión Temática de Radio</w:t>
      </w:r>
      <w:r w:rsidR="00A80D10">
        <w:t xml:space="preserve">difusión, </w:t>
      </w:r>
      <w:r w:rsidRPr="0008297C">
        <w:t xml:space="preserve">realizada entre los días </w:t>
      </w:r>
      <w:r w:rsidR="00F453A8">
        <w:t>5 a 7</w:t>
      </w:r>
      <w:r w:rsidR="00F453A8" w:rsidRPr="0008297C">
        <w:t xml:space="preserve"> de </w:t>
      </w:r>
      <w:r w:rsidR="00F453A8">
        <w:t>mayo de 2025</w:t>
      </w:r>
      <w:r w:rsidR="00177160">
        <w:t>.</w:t>
      </w:r>
    </w:p>
    <w:p w14:paraId="22B3EEE1" w14:textId="77777777" w:rsidR="00E75B99" w:rsidRDefault="00E75B99">
      <w:pPr>
        <w:jc w:val="both"/>
      </w:pPr>
    </w:p>
    <w:p w14:paraId="6BDFF811" w14:textId="106A541C" w:rsidR="00E75B99" w:rsidRDefault="00C955CD">
      <w:pPr>
        <w:jc w:val="both"/>
      </w:pPr>
      <w:r w:rsidRPr="0008297C">
        <w:t xml:space="preserve">El Acta de la reunión y sus anexos, que consta en el </w:t>
      </w:r>
      <w:r w:rsidRPr="00DE2968">
        <w:rPr>
          <w:b/>
        </w:rPr>
        <w:t>Anexo V</w:t>
      </w:r>
      <w:r w:rsidR="004032BF">
        <w:rPr>
          <w:b/>
        </w:rPr>
        <w:t>I</w:t>
      </w:r>
      <w:r w:rsidRPr="00DE2968">
        <w:rPr>
          <w:b/>
        </w:rPr>
        <w:t>I</w:t>
      </w:r>
      <w:r w:rsidRPr="0008297C">
        <w:t>, fue aprobada.</w:t>
      </w:r>
    </w:p>
    <w:p w14:paraId="6E132675" w14:textId="77777777" w:rsidR="00D71217" w:rsidRDefault="00D71217">
      <w:pPr>
        <w:jc w:val="both"/>
      </w:pPr>
    </w:p>
    <w:p w14:paraId="7BC30763" w14:textId="3CD95CB6" w:rsidR="00E75B99" w:rsidRPr="004032BF" w:rsidRDefault="00C955CD" w:rsidP="004032BF">
      <w:pPr>
        <w:pStyle w:val="Prrafodelista"/>
        <w:widowControl w:val="0"/>
        <w:numPr>
          <w:ilvl w:val="1"/>
          <w:numId w:val="7"/>
        </w:numPr>
        <w:pBdr>
          <w:top w:val="nil"/>
          <w:left w:val="nil"/>
          <w:bottom w:val="nil"/>
          <w:right w:val="nil"/>
          <w:between w:val="nil"/>
        </w:pBdr>
        <w:jc w:val="both"/>
        <w:rPr>
          <w:b/>
          <w:color w:val="000000"/>
        </w:rPr>
      </w:pPr>
      <w:r>
        <w:rPr>
          <w:b/>
          <w:color w:val="000000"/>
        </w:rPr>
        <w:t>Acta</w:t>
      </w:r>
      <w:r w:rsidR="00F85596">
        <w:rPr>
          <w:b/>
          <w:color w:val="000000"/>
        </w:rPr>
        <w:t xml:space="preserve"> </w:t>
      </w:r>
      <w:r>
        <w:rPr>
          <w:b/>
          <w:color w:val="000000"/>
        </w:rPr>
        <w:t>de la Comisión Temática de Servicios Públicos de Telecomunicaciones (CTSPT)</w:t>
      </w:r>
    </w:p>
    <w:p w14:paraId="03FF4F0A" w14:textId="77777777" w:rsidR="00E75B99" w:rsidRDefault="00E75B99">
      <w:pPr>
        <w:jc w:val="both"/>
        <w:rPr>
          <w:b/>
        </w:rPr>
      </w:pPr>
    </w:p>
    <w:p w14:paraId="7487DFA9" w14:textId="504B6D87" w:rsidR="00E75B99" w:rsidRDefault="00C955CD">
      <w:pPr>
        <w:jc w:val="both"/>
      </w:pPr>
      <w:r w:rsidRPr="0008297C">
        <w:t>El SGT N° 1 recibió el informe</w:t>
      </w:r>
      <w:r w:rsidR="00A80D10">
        <w:t xml:space="preserve"> de los resultados </w:t>
      </w:r>
      <w:r w:rsidRPr="0008297C">
        <w:t>de la</w:t>
      </w:r>
      <w:r w:rsidR="00A80D10">
        <w:t xml:space="preserve"> reunión de la</w:t>
      </w:r>
      <w:r w:rsidRPr="0008297C">
        <w:t xml:space="preserve"> </w:t>
      </w:r>
      <w:r w:rsidR="00F453A8">
        <w:t xml:space="preserve">LXV </w:t>
      </w:r>
      <w:r w:rsidRPr="0008297C">
        <w:t xml:space="preserve">Comisión Temática de </w:t>
      </w:r>
      <w:r w:rsidR="00A80D10">
        <w:t xml:space="preserve">Servicios Públicos de Telecomunicaciones, </w:t>
      </w:r>
      <w:r w:rsidRPr="0008297C">
        <w:t xml:space="preserve">realizada entre los días </w:t>
      </w:r>
      <w:r w:rsidR="00F453A8">
        <w:t>5 a 7</w:t>
      </w:r>
      <w:r w:rsidR="00F453A8" w:rsidRPr="0008297C">
        <w:t xml:space="preserve"> de </w:t>
      </w:r>
      <w:r w:rsidR="00F453A8">
        <w:t>mayo de 2025</w:t>
      </w:r>
      <w:r w:rsidR="00177160">
        <w:t>.</w:t>
      </w:r>
    </w:p>
    <w:p w14:paraId="32C5A2F5" w14:textId="77777777" w:rsidR="003D258D" w:rsidRDefault="003D258D">
      <w:pPr>
        <w:jc w:val="both"/>
      </w:pPr>
    </w:p>
    <w:p w14:paraId="630950FE" w14:textId="5F04FBDD" w:rsidR="003D258D" w:rsidRDefault="003D258D">
      <w:pPr>
        <w:jc w:val="both"/>
      </w:pPr>
      <w:r w:rsidRPr="0008297C">
        <w:t xml:space="preserve">El Acta de la reunión y sus anexos, que consta en el </w:t>
      </w:r>
      <w:r w:rsidRPr="00DE2968">
        <w:rPr>
          <w:b/>
        </w:rPr>
        <w:t>Anexo V</w:t>
      </w:r>
      <w:r>
        <w:rPr>
          <w:b/>
        </w:rPr>
        <w:t>II</w:t>
      </w:r>
      <w:r w:rsidRPr="00DE2968">
        <w:rPr>
          <w:b/>
        </w:rPr>
        <w:t>I</w:t>
      </w:r>
      <w:r w:rsidRPr="0008297C">
        <w:t>, fue aprobada.</w:t>
      </w:r>
    </w:p>
    <w:p w14:paraId="4A92423E" w14:textId="77777777" w:rsidR="00467DB3" w:rsidRDefault="00467DB3">
      <w:pPr>
        <w:jc w:val="both"/>
      </w:pPr>
    </w:p>
    <w:p w14:paraId="1624824A" w14:textId="429A8922" w:rsidR="003D258D" w:rsidRPr="003D258D" w:rsidRDefault="00467DB3" w:rsidP="00467DB3">
      <w:pPr>
        <w:jc w:val="both"/>
      </w:pPr>
      <w:r w:rsidRPr="003D258D">
        <w:t xml:space="preserve">En relación a la solicitud </w:t>
      </w:r>
      <w:r w:rsidR="003D258D" w:rsidRPr="003D258D">
        <w:t>de</w:t>
      </w:r>
      <w:r w:rsidRPr="003D258D">
        <w:t xml:space="preserve"> publicación de los indicadores de Telecomunicaciones del período 2020 a 2023 en </w:t>
      </w:r>
      <w:r w:rsidR="00680EE9">
        <w:t xml:space="preserve">el </w:t>
      </w:r>
      <w:r w:rsidRPr="003D258D">
        <w:t>p</w:t>
      </w:r>
      <w:r w:rsidR="00680EE9">
        <w:t>ortal web</w:t>
      </w:r>
      <w:r w:rsidRPr="003D258D">
        <w:t xml:space="preserve"> del MERCOSUR. (DEC N° 06/21), Uruguay compartió que se comunicó con la Secretaría de </w:t>
      </w:r>
      <w:r w:rsidR="002F4C91" w:rsidRPr="003D258D">
        <w:t xml:space="preserve">MERCOSUR </w:t>
      </w:r>
      <w:r w:rsidRPr="003D258D">
        <w:t xml:space="preserve">a dichos efectos. </w:t>
      </w:r>
    </w:p>
    <w:p w14:paraId="530B04CE" w14:textId="77777777" w:rsidR="003D258D" w:rsidRPr="003D258D" w:rsidRDefault="003D258D" w:rsidP="00467DB3">
      <w:pPr>
        <w:jc w:val="both"/>
      </w:pPr>
    </w:p>
    <w:p w14:paraId="03BF886C" w14:textId="6FBABCCD" w:rsidR="00467DB3" w:rsidRPr="003D258D" w:rsidRDefault="003D258D" w:rsidP="00467DB3">
      <w:pPr>
        <w:jc w:val="both"/>
      </w:pPr>
      <w:r w:rsidRPr="003D258D">
        <w:t>Se recibieron de</w:t>
      </w:r>
      <w:r w:rsidR="00467DB3" w:rsidRPr="003D258D">
        <w:t xml:space="preserve"> la Unidad </w:t>
      </w:r>
      <w:r w:rsidRPr="003D258D">
        <w:t xml:space="preserve">de Comunicaciones del </w:t>
      </w:r>
      <w:r w:rsidR="00680EE9" w:rsidRPr="003D258D">
        <w:t>MERCOSUR (</w:t>
      </w:r>
      <w:r w:rsidRPr="003D258D">
        <w:t xml:space="preserve">UCIM) </w:t>
      </w:r>
      <w:r w:rsidR="00467DB3" w:rsidRPr="003D258D">
        <w:t xml:space="preserve">las directivas para proceder a la referida publicación. </w:t>
      </w:r>
      <w:r w:rsidRPr="003D258D">
        <w:t>Para publicar la planilla en el</w:t>
      </w:r>
      <w:r w:rsidR="00467DB3" w:rsidRPr="003D258D">
        <w:t xml:space="preserve"> Portal</w:t>
      </w:r>
      <w:r w:rsidR="00680EE9">
        <w:t xml:space="preserve"> web del</w:t>
      </w:r>
      <w:r w:rsidR="00467DB3" w:rsidRPr="003D258D">
        <w:t xml:space="preserve"> </w:t>
      </w:r>
      <w:r w:rsidR="00680EE9" w:rsidRPr="003D258D">
        <w:t xml:space="preserve">MERCOSUR </w:t>
      </w:r>
      <w:r w:rsidR="00467DB3" w:rsidRPr="003D258D">
        <w:t>“</w:t>
      </w:r>
      <w:hyperlink r:id="rId10" w:history="1">
        <w:r w:rsidR="00467DB3" w:rsidRPr="003D258D">
          <w:rPr>
            <w:i/>
          </w:rPr>
          <w:t>Aspectos Institucionales - MERCOSUR</w:t>
        </w:r>
      </w:hyperlink>
      <w:r w:rsidR="00467DB3" w:rsidRPr="003D258D">
        <w:rPr>
          <w:i/>
        </w:rPr>
        <w:t>”</w:t>
      </w:r>
      <w:r w:rsidRPr="003D258D">
        <w:t xml:space="preserve">, </w:t>
      </w:r>
      <w:r w:rsidR="00467DB3" w:rsidRPr="003D258D">
        <w:t>es preciso remitirla en formato PDF en ambos idiomas oficiales del bloque. La misma debe incluir:</w:t>
      </w:r>
    </w:p>
    <w:p w14:paraId="65E152A7" w14:textId="77777777" w:rsidR="00467DB3" w:rsidRPr="003D258D" w:rsidRDefault="00467DB3" w:rsidP="00467DB3">
      <w:pPr>
        <w:numPr>
          <w:ilvl w:val="0"/>
          <w:numId w:val="11"/>
        </w:numPr>
        <w:spacing w:before="100" w:beforeAutospacing="1" w:after="100" w:afterAutospacing="1"/>
        <w:jc w:val="both"/>
      </w:pPr>
      <w:r w:rsidRPr="003D258D">
        <w:t>Portada ilustrada en colores con título, período que abarcan los datos, fecha de conclusión, organismo autor del material;</w:t>
      </w:r>
    </w:p>
    <w:p w14:paraId="102CAC15" w14:textId="77777777" w:rsidR="00467DB3" w:rsidRPr="003D258D" w:rsidRDefault="00467DB3" w:rsidP="00467DB3">
      <w:pPr>
        <w:numPr>
          <w:ilvl w:val="0"/>
          <w:numId w:val="11"/>
        </w:numPr>
        <w:spacing w:before="100" w:beforeAutospacing="1" w:after="100" w:afterAutospacing="1"/>
        <w:jc w:val="both"/>
      </w:pPr>
      <w:r w:rsidRPr="003D258D">
        <w:t>Introducción con una breve explicación de los datos;</w:t>
      </w:r>
    </w:p>
    <w:p w14:paraId="1CD26C2F" w14:textId="77777777" w:rsidR="00467DB3" w:rsidRPr="003D258D" w:rsidRDefault="00467DB3" w:rsidP="00467DB3">
      <w:pPr>
        <w:numPr>
          <w:ilvl w:val="0"/>
          <w:numId w:val="11"/>
        </w:numPr>
        <w:spacing w:before="100" w:beforeAutospacing="1" w:after="100" w:afterAutospacing="1"/>
        <w:jc w:val="both"/>
      </w:pPr>
      <w:r w:rsidRPr="003D258D">
        <w:t>Tablas de datos con título y diseño en colores;</w:t>
      </w:r>
    </w:p>
    <w:p w14:paraId="42BA5065" w14:textId="002A9C51" w:rsidR="008E4392" w:rsidRDefault="00467DB3" w:rsidP="003D258D">
      <w:pPr>
        <w:numPr>
          <w:ilvl w:val="0"/>
          <w:numId w:val="11"/>
        </w:numPr>
        <w:spacing w:before="100" w:beforeAutospacing="1" w:after="100" w:afterAutospacing="1"/>
      </w:pPr>
      <w:r w:rsidRPr="003D258D">
        <w:t>Contraportada</w:t>
      </w:r>
    </w:p>
    <w:p w14:paraId="3D9103C5" w14:textId="77777777" w:rsidR="00C367E5" w:rsidRDefault="00C367E5" w:rsidP="00B67AD0">
      <w:pPr>
        <w:pBdr>
          <w:top w:val="nil"/>
          <w:left w:val="nil"/>
          <w:bottom w:val="nil"/>
          <w:right w:val="nil"/>
          <w:between w:val="nil"/>
        </w:pBdr>
        <w:jc w:val="both"/>
        <w:rPr>
          <w:b/>
        </w:rPr>
      </w:pPr>
    </w:p>
    <w:p w14:paraId="2BD49A51" w14:textId="77777777" w:rsidR="00E75B99" w:rsidRDefault="00C955CD" w:rsidP="002409F4">
      <w:pPr>
        <w:pStyle w:val="Prrafodelista"/>
        <w:widowControl w:val="0"/>
        <w:numPr>
          <w:ilvl w:val="0"/>
          <w:numId w:val="7"/>
        </w:numPr>
        <w:pBdr>
          <w:top w:val="nil"/>
          <w:left w:val="nil"/>
          <w:bottom w:val="nil"/>
          <w:right w:val="nil"/>
          <w:between w:val="nil"/>
        </w:pBdr>
        <w:ind w:left="567" w:hanging="567"/>
        <w:jc w:val="both"/>
        <w:rPr>
          <w:b/>
          <w:color w:val="000000"/>
        </w:rPr>
      </w:pPr>
      <w:r>
        <w:rPr>
          <w:b/>
          <w:color w:val="000000"/>
        </w:rPr>
        <w:t>CONSIDERACIONES DE LAS INSTRUCCIONES DEL GMC AL SGT N° 1</w:t>
      </w:r>
    </w:p>
    <w:p w14:paraId="3F0462E6" w14:textId="77777777" w:rsidR="00EB5BA2" w:rsidRDefault="00EB5BA2" w:rsidP="00EB5BA2">
      <w:pPr>
        <w:widowControl w:val="0"/>
        <w:pBdr>
          <w:top w:val="nil"/>
          <w:left w:val="nil"/>
          <w:bottom w:val="nil"/>
          <w:right w:val="nil"/>
          <w:between w:val="nil"/>
        </w:pBdr>
        <w:ind w:left="567"/>
        <w:jc w:val="both"/>
        <w:rPr>
          <w:b/>
          <w:color w:val="000000"/>
        </w:rPr>
      </w:pPr>
    </w:p>
    <w:p w14:paraId="5AD1172F" w14:textId="0525968B" w:rsidR="001A44F5" w:rsidRDefault="00EB5BA2" w:rsidP="00EB5BA2">
      <w:pPr>
        <w:jc w:val="both"/>
        <w:rPr>
          <w:bCs/>
        </w:rPr>
      </w:pPr>
      <w:r w:rsidRPr="001A44F5">
        <w:t xml:space="preserve">Se tomó conocimiento que por </w:t>
      </w:r>
      <w:r w:rsidR="0085234F" w:rsidRPr="001A44F5">
        <w:rPr>
          <w:b/>
        </w:rPr>
        <w:t>Acta MERCOSUR/GMC/ACTA Nº 01/25</w:t>
      </w:r>
      <w:r w:rsidRPr="001A44F5">
        <w:t xml:space="preserve"> de la </w:t>
      </w:r>
      <w:r w:rsidR="0085234F" w:rsidRPr="001A44F5">
        <w:rPr>
          <w:bCs/>
        </w:rPr>
        <w:t>C</w:t>
      </w:r>
      <w:r w:rsidRPr="001A44F5">
        <w:rPr>
          <w:bCs/>
        </w:rPr>
        <w:t>X</w:t>
      </w:r>
      <w:r w:rsidR="0085234F" w:rsidRPr="001A44F5">
        <w:rPr>
          <w:bCs/>
        </w:rPr>
        <w:t>XX</w:t>
      </w:r>
      <w:r w:rsidRPr="001A44F5">
        <w:rPr>
          <w:bCs/>
        </w:rPr>
        <w:t>I</w:t>
      </w:r>
      <w:r w:rsidR="0085234F" w:rsidRPr="001A44F5">
        <w:rPr>
          <w:bCs/>
        </w:rPr>
        <w:t>V</w:t>
      </w:r>
      <w:r w:rsidRPr="001A44F5">
        <w:rPr>
          <w:bCs/>
        </w:rPr>
        <w:t xml:space="preserve"> Reunión del Grupo Mer</w:t>
      </w:r>
      <w:r w:rsidR="001A44F5">
        <w:rPr>
          <w:bCs/>
        </w:rPr>
        <w:t>cado Común, el GMC tomó nota del Informe de cumplimiento del Programa de Trabajo 2023 – 2024 y aprobó el Programa de Trabajo 2025 – 2026 del SGT</w:t>
      </w:r>
      <w:r w:rsidR="009B4F19">
        <w:rPr>
          <w:bCs/>
        </w:rPr>
        <w:t xml:space="preserve"> N° </w:t>
      </w:r>
      <w:r w:rsidR="001A44F5">
        <w:rPr>
          <w:bCs/>
        </w:rPr>
        <w:t>1</w:t>
      </w:r>
    </w:p>
    <w:p w14:paraId="59A9548F" w14:textId="352519F8" w:rsidR="00F56094" w:rsidRDefault="00F56094" w:rsidP="00F56094">
      <w:pPr>
        <w:jc w:val="both"/>
      </w:pPr>
    </w:p>
    <w:p w14:paraId="2CDEB019" w14:textId="77777777" w:rsidR="00E75B99" w:rsidRDefault="00E75B99">
      <w:pPr>
        <w:widowControl w:val="0"/>
        <w:pBdr>
          <w:top w:val="nil"/>
          <w:left w:val="nil"/>
          <w:bottom w:val="nil"/>
          <w:right w:val="nil"/>
          <w:between w:val="nil"/>
        </w:pBdr>
        <w:jc w:val="both"/>
        <w:rPr>
          <w:b/>
        </w:rPr>
      </w:pPr>
    </w:p>
    <w:p w14:paraId="76166CBF" w14:textId="77777777" w:rsidR="00E75B99" w:rsidRDefault="00C955CD" w:rsidP="002409F4">
      <w:pPr>
        <w:pStyle w:val="Prrafodelista"/>
        <w:widowControl w:val="0"/>
        <w:numPr>
          <w:ilvl w:val="0"/>
          <w:numId w:val="7"/>
        </w:numPr>
        <w:pBdr>
          <w:top w:val="nil"/>
          <w:left w:val="nil"/>
          <w:bottom w:val="nil"/>
          <w:right w:val="nil"/>
          <w:between w:val="nil"/>
        </w:pBdr>
        <w:ind w:left="567" w:hanging="567"/>
        <w:jc w:val="both"/>
        <w:rPr>
          <w:b/>
          <w:color w:val="000000"/>
        </w:rPr>
      </w:pPr>
      <w:r>
        <w:rPr>
          <w:b/>
          <w:color w:val="000000"/>
        </w:rPr>
        <w:t>INCORPORACIÓN DE LAS NORMAS MERCOSUR</w:t>
      </w:r>
    </w:p>
    <w:p w14:paraId="5556C808" w14:textId="77777777" w:rsidR="00E75B99" w:rsidRDefault="00E75B99">
      <w:pPr>
        <w:widowControl w:val="0"/>
        <w:pBdr>
          <w:top w:val="nil"/>
          <w:left w:val="nil"/>
          <w:bottom w:val="nil"/>
          <w:right w:val="nil"/>
          <w:between w:val="nil"/>
        </w:pBdr>
        <w:jc w:val="both"/>
        <w:rPr>
          <w:b/>
        </w:rPr>
      </w:pPr>
    </w:p>
    <w:p w14:paraId="4813D663" w14:textId="4D6CA484" w:rsidR="008B17B6" w:rsidRPr="00CB655E" w:rsidRDefault="00B02A90" w:rsidP="008B17B6">
      <w:pPr>
        <w:jc w:val="both"/>
        <w:rPr>
          <w:szCs w:val="32"/>
        </w:rPr>
      </w:pPr>
      <w:r w:rsidRPr="00B02A90">
        <w:rPr>
          <w:lang w:val="es-ES"/>
        </w:rPr>
        <w:t xml:space="preserve">La </w:t>
      </w:r>
      <w:r w:rsidR="00680EE9">
        <w:rPr>
          <w:lang w:val="es-ES"/>
        </w:rPr>
        <w:t>d</w:t>
      </w:r>
      <w:r w:rsidRPr="00B02A90">
        <w:rPr>
          <w:lang w:val="es-ES"/>
        </w:rPr>
        <w:t>el</w:t>
      </w:r>
      <w:r>
        <w:rPr>
          <w:lang w:val="es-ES"/>
        </w:rPr>
        <w:t>e</w:t>
      </w:r>
      <w:r w:rsidRPr="00B02A90">
        <w:rPr>
          <w:lang w:val="es-ES"/>
        </w:rPr>
        <w:t xml:space="preserve">gación de Brasil informó que </w:t>
      </w:r>
      <w:r w:rsidRPr="00B02A90">
        <w:rPr>
          <w:szCs w:val="32"/>
        </w:rPr>
        <w:t>p</w:t>
      </w:r>
      <w:r w:rsidR="008B17B6" w:rsidRPr="00B02A90">
        <w:rPr>
          <w:szCs w:val="32"/>
        </w:rPr>
        <w:t>or Resolución ANATEL Nº 778/2025, se</w:t>
      </w:r>
      <w:r>
        <w:rPr>
          <w:szCs w:val="32"/>
        </w:rPr>
        <w:t xml:space="preserve"> internalizó</w:t>
      </w:r>
      <w:r w:rsidR="008B17B6" w:rsidRPr="00CB655E">
        <w:rPr>
          <w:szCs w:val="32"/>
        </w:rPr>
        <w:t xml:space="preserve"> al Ordenamiento Jurídico Nacional la Resolución MERCOSUR/GMC/RES. Nº 19/24 "Manual de Procedimientos de Coordinación de Frecuencias para Sistemas IMT”.</w:t>
      </w:r>
    </w:p>
    <w:p w14:paraId="3C1480D6" w14:textId="77777777" w:rsidR="008B17B6" w:rsidRDefault="008B17B6" w:rsidP="008B17B6">
      <w:pPr>
        <w:jc w:val="both"/>
        <w:rPr>
          <w:b/>
          <w:lang w:val="es-ES"/>
        </w:rPr>
      </w:pPr>
    </w:p>
    <w:p w14:paraId="737EE9D7" w14:textId="2732F69B" w:rsidR="008B17B6" w:rsidRDefault="00B02A90" w:rsidP="008B17B6">
      <w:pPr>
        <w:jc w:val="both"/>
        <w:rPr>
          <w:szCs w:val="32"/>
        </w:rPr>
      </w:pPr>
      <w:r>
        <w:rPr>
          <w:szCs w:val="32"/>
        </w:rPr>
        <w:t xml:space="preserve">La </w:t>
      </w:r>
      <w:r w:rsidR="00680EE9">
        <w:rPr>
          <w:szCs w:val="32"/>
        </w:rPr>
        <w:t>d</w:t>
      </w:r>
      <w:r>
        <w:rPr>
          <w:szCs w:val="32"/>
        </w:rPr>
        <w:t>elegación de Paraguay, por su parte,</w:t>
      </w:r>
      <w:r w:rsidR="008B17B6">
        <w:rPr>
          <w:szCs w:val="32"/>
        </w:rPr>
        <w:t xml:space="preserve"> presentó la </w:t>
      </w:r>
      <w:r w:rsidR="008B17B6" w:rsidRPr="00B04BE3">
        <w:rPr>
          <w:szCs w:val="32"/>
        </w:rPr>
        <w:t xml:space="preserve">Resolución </w:t>
      </w:r>
      <w:r w:rsidR="008B17B6">
        <w:rPr>
          <w:szCs w:val="32"/>
        </w:rPr>
        <w:t xml:space="preserve">de Directorio </w:t>
      </w:r>
      <w:r w:rsidR="008B17B6" w:rsidRPr="00B04BE3">
        <w:rPr>
          <w:szCs w:val="32"/>
        </w:rPr>
        <w:t xml:space="preserve">N° </w:t>
      </w:r>
      <w:r w:rsidR="008B17B6">
        <w:rPr>
          <w:szCs w:val="32"/>
        </w:rPr>
        <w:t xml:space="preserve">3465/2024 </w:t>
      </w:r>
      <w:r w:rsidR="008B17B6" w:rsidRPr="00B04BE3">
        <w:rPr>
          <w:szCs w:val="32"/>
        </w:rPr>
        <w:t xml:space="preserve">de </w:t>
      </w:r>
      <w:r w:rsidR="008B17B6">
        <w:rPr>
          <w:szCs w:val="32"/>
        </w:rPr>
        <w:t xml:space="preserve">CONATEL, respecto a la incorporación al Ordenamiento Jurídico Nacional de la Resolución </w:t>
      </w:r>
      <w:r w:rsidR="008B17B6" w:rsidRPr="00143137">
        <w:rPr>
          <w:szCs w:val="32"/>
        </w:rPr>
        <w:t>MERCOSUR/GMC/RES. Nº 19/24</w:t>
      </w:r>
      <w:r w:rsidR="008B17B6">
        <w:rPr>
          <w:szCs w:val="32"/>
        </w:rPr>
        <w:t xml:space="preserve"> </w:t>
      </w:r>
      <w:r w:rsidR="008B17B6" w:rsidRPr="006C3D29">
        <w:rPr>
          <w:szCs w:val="32"/>
        </w:rPr>
        <w:t>"</w:t>
      </w:r>
      <w:r w:rsidR="008B17B6">
        <w:rPr>
          <w:szCs w:val="32"/>
        </w:rPr>
        <w:t>M</w:t>
      </w:r>
      <w:r w:rsidR="008B17B6" w:rsidRPr="006C3D29">
        <w:rPr>
          <w:szCs w:val="32"/>
        </w:rPr>
        <w:t xml:space="preserve">anual de </w:t>
      </w:r>
      <w:r w:rsidR="008B17B6">
        <w:rPr>
          <w:szCs w:val="32"/>
        </w:rPr>
        <w:t>P</w:t>
      </w:r>
      <w:r w:rsidR="008B17B6" w:rsidRPr="006C3D29">
        <w:rPr>
          <w:szCs w:val="32"/>
        </w:rPr>
        <w:t xml:space="preserve">rocedimientos de </w:t>
      </w:r>
      <w:r w:rsidR="008B17B6">
        <w:rPr>
          <w:szCs w:val="32"/>
        </w:rPr>
        <w:t>C</w:t>
      </w:r>
      <w:r w:rsidR="008B17B6" w:rsidRPr="006C3D29">
        <w:rPr>
          <w:szCs w:val="32"/>
        </w:rPr>
        <w:t xml:space="preserve">oordinación </w:t>
      </w:r>
      <w:r w:rsidR="008B17B6">
        <w:rPr>
          <w:szCs w:val="32"/>
        </w:rPr>
        <w:t>de F</w:t>
      </w:r>
      <w:r w:rsidR="008B17B6" w:rsidRPr="006C3D29">
        <w:rPr>
          <w:szCs w:val="32"/>
        </w:rPr>
        <w:t xml:space="preserve">recuencias para </w:t>
      </w:r>
      <w:r w:rsidR="008B17B6">
        <w:rPr>
          <w:szCs w:val="32"/>
        </w:rPr>
        <w:t>Sistemas IMT”.</w:t>
      </w:r>
    </w:p>
    <w:p w14:paraId="66DDE433" w14:textId="77777777" w:rsidR="008B17B6" w:rsidRDefault="008B17B6" w:rsidP="008B17B6">
      <w:pPr>
        <w:jc w:val="both"/>
        <w:rPr>
          <w:szCs w:val="32"/>
        </w:rPr>
      </w:pPr>
    </w:p>
    <w:p w14:paraId="30AC90B7" w14:textId="22235427" w:rsidR="008B17B6" w:rsidRPr="00B02A90" w:rsidRDefault="00B02A90" w:rsidP="008B17B6">
      <w:pPr>
        <w:jc w:val="both"/>
        <w:rPr>
          <w:b/>
          <w:lang w:val="es-ES"/>
        </w:rPr>
      </w:pPr>
      <w:r>
        <w:rPr>
          <w:lang w:val="es-ES"/>
        </w:rPr>
        <w:t>L</w:t>
      </w:r>
      <w:r w:rsidRPr="00B02A90">
        <w:rPr>
          <w:lang w:val="es-ES"/>
        </w:rPr>
        <w:t xml:space="preserve">a </w:t>
      </w:r>
      <w:r w:rsidR="00680EE9">
        <w:rPr>
          <w:lang w:val="es-ES"/>
        </w:rPr>
        <w:t>d</w:t>
      </w:r>
      <w:r w:rsidRPr="00B02A90">
        <w:rPr>
          <w:lang w:val="es-ES"/>
        </w:rPr>
        <w:t xml:space="preserve">elegación de </w:t>
      </w:r>
      <w:r w:rsidR="008B17B6" w:rsidRPr="00B02A90">
        <w:rPr>
          <w:lang w:val="es-ES"/>
        </w:rPr>
        <w:t>Uruguay</w:t>
      </w:r>
      <w:r w:rsidRPr="00B02A90">
        <w:rPr>
          <w:lang w:val="es-ES"/>
        </w:rPr>
        <w:t xml:space="preserve"> informó que por </w:t>
      </w:r>
      <w:r w:rsidR="008B17B6" w:rsidRPr="00B02A90">
        <w:rPr>
          <w:szCs w:val="32"/>
        </w:rPr>
        <w:t>Decreto Nro.328/2024,</w:t>
      </w:r>
      <w:r>
        <w:rPr>
          <w:szCs w:val="32"/>
        </w:rPr>
        <w:t xml:space="preserve"> incorporó a su </w:t>
      </w:r>
      <w:r w:rsidR="008B17B6" w:rsidRPr="00244BC0">
        <w:rPr>
          <w:szCs w:val="32"/>
        </w:rPr>
        <w:t>ordenamiento jurídico, la Resolución GMC N</w:t>
      </w:r>
      <w:r w:rsidR="00680EE9">
        <w:rPr>
          <w:szCs w:val="32"/>
        </w:rPr>
        <w:t>°</w:t>
      </w:r>
      <w:r w:rsidR="008B17B6" w:rsidRPr="00244BC0">
        <w:rPr>
          <w:szCs w:val="32"/>
        </w:rPr>
        <w:t xml:space="preserve"> 03/023 referida al “Sistema de Distribución de Señales Multipunto Multicanal en el </w:t>
      </w:r>
      <w:r w:rsidR="00680EE9" w:rsidRPr="00244BC0">
        <w:rPr>
          <w:szCs w:val="32"/>
        </w:rPr>
        <w:t>MERCOSUR</w:t>
      </w:r>
      <w:r w:rsidR="008B17B6" w:rsidRPr="00244BC0">
        <w:rPr>
          <w:szCs w:val="32"/>
        </w:rPr>
        <w:t xml:space="preserve"> (Derogación de las Resoluciones GMC N</w:t>
      </w:r>
      <w:r w:rsidR="00680EE9">
        <w:rPr>
          <w:szCs w:val="32"/>
        </w:rPr>
        <w:t>°</w:t>
      </w:r>
      <w:r w:rsidR="008B17B6" w:rsidRPr="00244BC0">
        <w:rPr>
          <w:szCs w:val="32"/>
        </w:rPr>
        <w:t xml:space="preserve"> 71/97 y 43/98)”.</w:t>
      </w:r>
    </w:p>
    <w:p w14:paraId="4E7D4779" w14:textId="77777777" w:rsidR="008B17B6" w:rsidRDefault="008B17B6" w:rsidP="008B17B6">
      <w:pPr>
        <w:jc w:val="both"/>
        <w:rPr>
          <w:szCs w:val="32"/>
        </w:rPr>
      </w:pPr>
    </w:p>
    <w:p w14:paraId="673882B0" w14:textId="6D22FAD6" w:rsidR="008B17B6" w:rsidRDefault="00B02A90" w:rsidP="008B17B6">
      <w:pPr>
        <w:jc w:val="both"/>
        <w:rPr>
          <w:szCs w:val="32"/>
        </w:rPr>
      </w:pPr>
      <w:r w:rsidRPr="00B02A90">
        <w:rPr>
          <w:lang w:val="es-ES"/>
        </w:rPr>
        <w:t>Finalment</w:t>
      </w:r>
      <w:r>
        <w:rPr>
          <w:lang w:val="es-ES"/>
        </w:rPr>
        <w:t>e, y por</w:t>
      </w:r>
      <w:r w:rsidR="008B17B6">
        <w:rPr>
          <w:szCs w:val="32"/>
        </w:rPr>
        <w:t xml:space="preserve"> Resolución </w:t>
      </w:r>
      <w:r w:rsidR="008B17B6" w:rsidRPr="00244BC0">
        <w:rPr>
          <w:szCs w:val="32"/>
        </w:rPr>
        <w:t>URSEC Nro.042/2025</w:t>
      </w:r>
      <w:r w:rsidR="008B17B6">
        <w:rPr>
          <w:szCs w:val="32"/>
        </w:rPr>
        <w:t xml:space="preserve">, </w:t>
      </w:r>
      <w:r>
        <w:rPr>
          <w:szCs w:val="32"/>
        </w:rPr>
        <w:t>incorporó a su</w:t>
      </w:r>
      <w:r w:rsidR="008B17B6" w:rsidRPr="00244BC0">
        <w:rPr>
          <w:szCs w:val="32"/>
        </w:rPr>
        <w:t xml:space="preserve"> ordenamiento jurídico la Resolución GMC N</w:t>
      </w:r>
      <w:r w:rsidR="00680EE9">
        <w:rPr>
          <w:szCs w:val="32"/>
        </w:rPr>
        <w:t>°</w:t>
      </w:r>
      <w:r w:rsidR="008B17B6" w:rsidRPr="00244BC0">
        <w:rPr>
          <w:szCs w:val="32"/>
        </w:rPr>
        <w:t xml:space="preserve"> 45/020 referida al “Despliegue de estaciones terrenas del Servicio Fijo por Satélite (Tierra-espacio) para usos distintos de los enlaces de conexión para el Servicio de Radiodifusión por Satélite”.</w:t>
      </w:r>
    </w:p>
    <w:p w14:paraId="699A22D0" w14:textId="77777777" w:rsidR="00E75B99" w:rsidRDefault="00E75B99">
      <w:pPr>
        <w:widowControl w:val="0"/>
        <w:pBdr>
          <w:top w:val="nil"/>
          <w:left w:val="nil"/>
          <w:bottom w:val="nil"/>
          <w:right w:val="nil"/>
          <w:between w:val="nil"/>
        </w:pBdr>
        <w:jc w:val="both"/>
        <w:rPr>
          <w:b/>
        </w:rPr>
      </w:pPr>
    </w:p>
    <w:p w14:paraId="2CEE579B" w14:textId="77777777" w:rsidR="008647F9" w:rsidRDefault="008647F9">
      <w:pPr>
        <w:widowControl w:val="0"/>
        <w:pBdr>
          <w:top w:val="nil"/>
          <w:left w:val="nil"/>
          <w:bottom w:val="nil"/>
          <w:right w:val="nil"/>
          <w:between w:val="nil"/>
        </w:pBdr>
        <w:jc w:val="both"/>
        <w:rPr>
          <w:b/>
        </w:rPr>
      </w:pPr>
    </w:p>
    <w:p w14:paraId="59366FE2" w14:textId="1D6C1A90" w:rsidR="00E75B99" w:rsidRPr="00AB4F7F" w:rsidRDefault="00C955CD" w:rsidP="002409F4">
      <w:pPr>
        <w:pStyle w:val="Prrafodelista"/>
        <w:widowControl w:val="0"/>
        <w:numPr>
          <w:ilvl w:val="0"/>
          <w:numId w:val="7"/>
        </w:numPr>
        <w:pBdr>
          <w:top w:val="nil"/>
          <w:left w:val="nil"/>
          <w:bottom w:val="nil"/>
          <w:right w:val="nil"/>
          <w:between w:val="nil"/>
        </w:pBdr>
        <w:ind w:left="567" w:hanging="567"/>
        <w:jc w:val="both"/>
        <w:rPr>
          <w:b/>
          <w:color w:val="000000"/>
        </w:rPr>
      </w:pPr>
      <w:r w:rsidRPr="00AB4F7F">
        <w:rPr>
          <w:b/>
          <w:color w:val="000000"/>
        </w:rPr>
        <w:t xml:space="preserve">INFORME </w:t>
      </w:r>
      <w:r w:rsidR="00AB4F7F" w:rsidRPr="00AB4F7F">
        <w:rPr>
          <w:b/>
          <w:color w:val="000000"/>
        </w:rPr>
        <w:t xml:space="preserve">SEMESTRAL SOBRE EL GRADO DE AVANCE DEL </w:t>
      </w:r>
      <w:r w:rsidRPr="00AB4F7F">
        <w:rPr>
          <w:b/>
          <w:color w:val="000000"/>
        </w:rPr>
        <w:t>PROGRAMA DE TRABAJO 202</w:t>
      </w:r>
      <w:r w:rsidR="00F453A8" w:rsidRPr="00AB4F7F">
        <w:rPr>
          <w:b/>
          <w:color w:val="000000"/>
        </w:rPr>
        <w:t>5</w:t>
      </w:r>
      <w:r w:rsidRPr="00AB4F7F">
        <w:rPr>
          <w:b/>
          <w:color w:val="000000"/>
        </w:rPr>
        <w:t>-202</w:t>
      </w:r>
      <w:r w:rsidR="00F453A8" w:rsidRPr="00AB4F7F">
        <w:rPr>
          <w:b/>
          <w:color w:val="000000"/>
        </w:rPr>
        <w:t>6</w:t>
      </w:r>
    </w:p>
    <w:p w14:paraId="53A75F25" w14:textId="77777777" w:rsidR="00F204B6" w:rsidRPr="00F453A8" w:rsidRDefault="00F204B6">
      <w:pPr>
        <w:widowControl w:val="0"/>
        <w:pBdr>
          <w:top w:val="nil"/>
          <w:left w:val="nil"/>
          <w:bottom w:val="nil"/>
          <w:right w:val="nil"/>
          <w:between w:val="nil"/>
        </w:pBdr>
        <w:jc w:val="both"/>
        <w:rPr>
          <w:color w:val="000000"/>
          <w:highlight w:val="yellow"/>
        </w:rPr>
      </w:pPr>
    </w:p>
    <w:p w14:paraId="7B507FB0" w14:textId="470229FD" w:rsidR="00E75B99" w:rsidRDefault="00F204B6">
      <w:pPr>
        <w:widowControl w:val="0"/>
        <w:pBdr>
          <w:top w:val="nil"/>
          <w:left w:val="nil"/>
          <w:bottom w:val="nil"/>
          <w:right w:val="nil"/>
          <w:between w:val="nil"/>
        </w:pBdr>
        <w:jc w:val="both"/>
      </w:pPr>
      <w:r w:rsidRPr="000D6FC7">
        <w:rPr>
          <w:color w:val="000000"/>
        </w:rPr>
        <w:t xml:space="preserve">El SGT N° 1 </w:t>
      </w:r>
      <w:r w:rsidRPr="000D6FC7">
        <w:t xml:space="preserve">elevó a consideración del GMC los </w:t>
      </w:r>
      <w:r w:rsidR="00C955CD" w:rsidRPr="000D6FC7">
        <w:t xml:space="preserve">Informes </w:t>
      </w:r>
      <w:r w:rsidR="00AB4F7F">
        <w:t xml:space="preserve">semestrales </w:t>
      </w:r>
      <w:r w:rsidR="005224BC">
        <w:t>sobre el</w:t>
      </w:r>
      <w:r w:rsidR="00AB4F7F">
        <w:t xml:space="preserve"> grado de avance del Programa de Trabajo 2025 - 2026</w:t>
      </w:r>
      <w:r w:rsidR="002474F3" w:rsidRPr="000D6FC7">
        <w:t xml:space="preserve"> </w:t>
      </w:r>
      <w:r w:rsidR="00C955CD" w:rsidRPr="000D6FC7">
        <w:t xml:space="preserve">de las Comisiones </w:t>
      </w:r>
      <w:r w:rsidR="00637918" w:rsidRPr="000D6FC7">
        <w:t xml:space="preserve">dependientes </w:t>
      </w:r>
      <w:r w:rsidR="00C955CD" w:rsidRPr="000D6FC7">
        <w:t xml:space="preserve">y del Subgrupo </w:t>
      </w:r>
      <w:r w:rsidRPr="000D6FC7">
        <w:t xml:space="preserve">que </w:t>
      </w:r>
      <w:r w:rsidR="002474F3" w:rsidRPr="000D6FC7">
        <w:t>constan</w:t>
      </w:r>
      <w:r w:rsidR="00C955CD" w:rsidRPr="000D6FC7">
        <w:t xml:space="preserve"> en el </w:t>
      </w:r>
      <w:r w:rsidR="00C955CD" w:rsidRPr="000D6FC7">
        <w:rPr>
          <w:b/>
        </w:rPr>
        <w:t xml:space="preserve">Anexo </w:t>
      </w:r>
      <w:r w:rsidR="00285AC1">
        <w:rPr>
          <w:b/>
        </w:rPr>
        <w:t>IX</w:t>
      </w:r>
      <w:r w:rsidR="00C955CD" w:rsidRPr="000D6FC7">
        <w:t>.</w:t>
      </w:r>
    </w:p>
    <w:p w14:paraId="47936968" w14:textId="77777777" w:rsidR="00D71217" w:rsidRDefault="00D71217">
      <w:pPr>
        <w:widowControl w:val="0"/>
        <w:pBdr>
          <w:top w:val="nil"/>
          <w:left w:val="nil"/>
          <w:bottom w:val="nil"/>
          <w:right w:val="nil"/>
          <w:between w:val="nil"/>
        </w:pBdr>
        <w:jc w:val="both"/>
      </w:pPr>
    </w:p>
    <w:p w14:paraId="16E931CD" w14:textId="77777777" w:rsidR="006B002F" w:rsidRDefault="006B002F">
      <w:pPr>
        <w:widowControl w:val="0"/>
        <w:pBdr>
          <w:top w:val="nil"/>
          <w:left w:val="nil"/>
          <w:bottom w:val="nil"/>
          <w:right w:val="nil"/>
          <w:between w:val="nil"/>
        </w:pBdr>
        <w:jc w:val="both"/>
      </w:pPr>
    </w:p>
    <w:p w14:paraId="26CF64F1" w14:textId="30F8FB3A" w:rsidR="00E75B99" w:rsidRPr="00F453A8" w:rsidRDefault="00C955CD" w:rsidP="002409F4">
      <w:pPr>
        <w:pStyle w:val="Prrafodelista"/>
        <w:widowControl w:val="0"/>
        <w:numPr>
          <w:ilvl w:val="0"/>
          <w:numId w:val="7"/>
        </w:numPr>
        <w:pBdr>
          <w:top w:val="nil"/>
          <w:left w:val="nil"/>
          <w:bottom w:val="nil"/>
          <w:right w:val="nil"/>
          <w:between w:val="nil"/>
        </w:pBdr>
        <w:ind w:left="567" w:hanging="567"/>
        <w:jc w:val="both"/>
        <w:rPr>
          <w:b/>
          <w:color w:val="000000"/>
        </w:rPr>
      </w:pPr>
      <w:r w:rsidRPr="00F453A8">
        <w:rPr>
          <w:b/>
          <w:color w:val="000000"/>
        </w:rPr>
        <w:t xml:space="preserve">POSICIONAMIENTO COMÚN EN LOS DISTINTOS FOROS INTERNACIONALES </w:t>
      </w:r>
    </w:p>
    <w:p w14:paraId="7D6027B8" w14:textId="77777777" w:rsidR="00E75B99" w:rsidRDefault="00E75B99">
      <w:pPr>
        <w:widowControl w:val="0"/>
        <w:pBdr>
          <w:top w:val="nil"/>
          <w:left w:val="nil"/>
          <w:bottom w:val="nil"/>
          <w:right w:val="nil"/>
          <w:between w:val="nil"/>
        </w:pBdr>
        <w:ind w:left="426"/>
        <w:jc w:val="both"/>
        <w:rPr>
          <w:b/>
          <w:color w:val="FF0000"/>
        </w:rPr>
      </w:pPr>
    </w:p>
    <w:p w14:paraId="539EC345" w14:textId="2B8EF365" w:rsidR="00F524A3" w:rsidRDefault="00F524A3">
      <w:pPr>
        <w:widowControl w:val="0"/>
        <w:pBdr>
          <w:top w:val="nil"/>
          <w:left w:val="nil"/>
          <w:bottom w:val="nil"/>
          <w:right w:val="nil"/>
          <w:between w:val="nil"/>
        </w:pBdr>
        <w:jc w:val="both"/>
      </w:pPr>
    </w:p>
    <w:p w14:paraId="4DCD8DB1" w14:textId="798BAC73" w:rsidR="00467DB3" w:rsidRPr="002225F3" w:rsidRDefault="00114C4B" w:rsidP="00467DB3">
      <w:pPr>
        <w:widowControl w:val="0"/>
        <w:pBdr>
          <w:top w:val="nil"/>
          <w:left w:val="nil"/>
          <w:bottom w:val="nil"/>
          <w:right w:val="nil"/>
          <w:between w:val="nil"/>
        </w:pBdr>
        <w:jc w:val="both"/>
        <w:rPr>
          <w:color w:val="000000" w:themeColor="text1"/>
        </w:rPr>
      </w:pPr>
      <w:r w:rsidRPr="002225F3">
        <w:rPr>
          <w:color w:val="000000" w:themeColor="text1"/>
        </w:rPr>
        <w:t xml:space="preserve">Durante el presente año </w:t>
      </w:r>
      <w:r w:rsidR="00467DB3" w:rsidRPr="002225F3">
        <w:rPr>
          <w:color w:val="000000" w:themeColor="text1"/>
        </w:rPr>
        <w:t xml:space="preserve">tendrá lugar en </w:t>
      </w:r>
      <w:proofErr w:type="spellStart"/>
      <w:r w:rsidR="00467DB3" w:rsidRPr="002225F3">
        <w:rPr>
          <w:color w:val="000000" w:themeColor="text1"/>
        </w:rPr>
        <w:t>Dubai</w:t>
      </w:r>
      <w:proofErr w:type="spellEnd"/>
      <w:r w:rsidRPr="002225F3">
        <w:rPr>
          <w:color w:val="000000" w:themeColor="text1"/>
        </w:rPr>
        <w:t xml:space="preserve"> </w:t>
      </w:r>
      <w:r w:rsidR="00467DB3" w:rsidRPr="002225F3">
        <w:rPr>
          <w:color w:val="000000" w:themeColor="text1"/>
        </w:rPr>
        <w:t xml:space="preserve">- Emiratos Árabes Unidos el 28° Congreso de la Unión Postal Universal (UPU), entre el 8 y el 19 de setiembre. </w:t>
      </w:r>
    </w:p>
    <w:p w14:paraId="61C1988A" w14:textId="77777777" w:rsidR="00467DB3" w:rsidRPr="002225F3" w:rsidRDefault="00467DB3" w:rsidP="00467DB3">
      <w:pPr>
        <w:widowControl w:val="0"/>
        <w:pBdr>
          <w:top w:val="nil"/>
          <w:left w:val="nil"/>
          <w:bottom w:val="nil"/>
          <w:right w:val="nil"/>
          <w:between w:val="nil"/>
        </w:pBdr>
        <w:jc w:val="both"/>
        <w:rPr>
          <w:color w:val="000000" w:themeColor="text1"/>
        </w:rPr>
      </w:pPr>
    </w:p>
    <w:p w14:paraId="79C04B9B" w14:textId="77777777" w:rsidR="00114C4B" w:rsidRPr="002225F3" w:rsidRDefault="00467DB3" w:rsidP="00467DB3">
      <w:pPr>
        <w:widowControl w:val="0"/>
        <w:pBdr>
          <w:top w:val="nil"/>
          <w:left w:val="nil"/>
          <w:bottom w:val="nil"/>
          <w:right w:val="nil"/>
          <w:between w:val="nil"/>
        </w:pBdr>
        <w:jc w:val="both"/>
        <w:rPr>
          <w:color w:val="000000" w:themeColor="text1"/>
        </w:rPr>
      </w:pPr>
      <w:r w:rsidRPr="002225F3">
        <w:rPr>
          <w:color w:val="000000" w:themeColor="text1"/>
        </w:rPr>
        <w:t>Durante el Congreso además de elegirse al Director General y Vice Director General de la Unión para el próximo ciclo, ocurrirá la elección de los países miembros para integrar los Consejos de Explotación Postal (CEP) y de Administración (CA</w:t>
      </w:r>
      <w:r w:rsidR="00114C4B" w:rsidRPr="002225F3">
        <w:rPr>
          <w:color w:val="000000" w:themeColor="text1"/>
        </w:rPr>
        <w:t>).</w:t>
      </w:r>
    </w:p>
    <w:p w14:paraId="5AE957A6" w14:textId="77777777" w:rsidR="00114C4B" w:rsidRPr="002225F3" w:rsidRDefault="00114C4B" w:rsidP="00467DB3">
      <w:pPr>
        <w:widowControl w:val="0"/>
        <w:pBdr>
          <w:top w:val="nil"/>
          <w:left w:val="nil"/>
          <w:bottom w:val="nil"/>
          <w:right w:val="nil"/>
          <w:between w:val="nil"/>
        </w:pBdr>
        <w:jc w:val="both"/>
        <w:rPr>
          <w:color w:val="000000" w:themeColor="text1"/>
        </w:rPr>
      </w:pPr>
    </w:p>
    <w:p w14:paraId="5B05CCC9" w14:textId="304A58D6" w:rsidR="00467DB3" w:rsidRPr="002225F3" w:rsidRDefault="00467DB3" w:rsidP="00467DB3">
      <w:pPr>
        <w:widowControl w:val="0"/>
        <w:pBdr>
          <w:top w:val="nil"/>
          <w:left w:val="nil"/>
          <w:bottom w:val="nil"/>
          <w:right w:val="nil"/>
          <w:between w:val="nil"/>
        </w:pBdr>
        <w:jc w:val="both"/>
        <w:rPr>
          <w:color w:val="000000" w:themeColor="text1"/>
        </w:rPr>
      </w:pPr>
      <w:r w:rsidRPr="002225F3">
        <w:rPr>
          <w:color w:val="000000" w:themeColor="text1"/>
        </w:rPr>
        <w:t>Se enfatiz</w:t>
      </w:r>
      <w:r w:rsidR="00680EE9">
        <w:rPr>
          <w:color w:val="000000" w:themeColor="text1"/>
        </w:rPr>
        <w:t>ó</w:t>
      </w:r>
      <w:r w:rsidRPr="002225F3">
        <w:rPr>
          <w:color w:val="000000" w:themeColor="text1"/>
        </w:rPr>
        <w:t xml:space="preserve"> la importancia de contar con una buena representación regional, para mejor defensa de los intereses comunes. Se  espera contar con el apoyo recíproco del Bloque para las candidaturas presentadas.</w:t>
      </w:r>
    </w:p>
    <w:p w14:paraId="088E0F05" w14:textId="77777777" w:rsidR="00467DB3" w:rsidRPr="002225F3" w:rsidRDefault="00467DB3" w:rsidP="00467DB3">
      <w:pPr>
        <w:widowControl w:val="0"/>
        <w:pBdr>
          <w:top w:val="nil"/>
          <w:left w:val="nil"/>
          <w:bottom w:val="nil"/>
          <w:right w:val="nil"/>
          <w:between w:val="nil"/>
        </w:pBdr>
        <w:jc w:val="both"/>
        <w:rPr>
          <w:color w:val="000000" w:themeColor="text1"/>
        </w:rPr>
      </w:pPr>
    </w:p>
    <w:p w14:paraId="4CE2D7AE" w14:textId="77777777" w:rsidR="00467DB3" w:rsidRPr="002225F3" w:rsidRDefault="00467DB3" w:rsidP="00467DB3">
      <w:pPr>
        <w:widowControl w:val="0"/>
        <w:pBdr>
          <w:top w:val="nil"/>
          <w:left w:val="nil"/>
          <w:bottom w:val="nil"/>
          <w:right w:val="nil"/>
          <w:between w:val="nil"/>
        </w:pBdr>
        <w:jc w:val="both"/>
        <w:rPr>
          <w:color w:val="000000" w:themeColor="text1"/>
        </w:rPr>
      </w:pPr>
      <w:r w:rsidRPr="002225F3">
        <w:rPr>
          <w:color w:val="000000" w:themeColor="text1"/>
        </w:rPr>
        <w:t>Por otra parte y previo al Congreso, tendrá lugar en São Luís de Maranhão, República Federativa de Brasil, durante los días 12 a 14 de agosto tanto la reunión preparatoria del  28° Congreso, como el Coloquio sobre Estrategia de nuestra Unión Regional, enfatizando la importancia de participar en estos eventos, que definen prioridades regionales.</w:t>
      </w:r>
    </w:p>
    <w:p w14:paraId="35791623" w14:textId="77777777" w:rsidR="00467DB3" w:rsidRPr="002225F3" w:rsidRDefault="00467DB3" w:rsidP="00467DB3">
      <w:pPr>
        <w:widowControl w:val="0"/>
        <w:pBdr>
          <w:top w:val="nil"/>
          <w:left w:val="nil"/>
          <w:bottom w:val="nil"/>
          <w:right w:val="nil"/>
          <w:between w:val="nil"/>
        </w:pBdr>
        <w:jc w:val="both"/>
        <w:rPr>
          <w:color w:val="000000" w:themeColor="text1"/>
        </w:rPr>
      </w:pPr>
    </w:p>
    <w:p w14:paraId="01531416" w14:textId="1A969DD7" w:rsidR="00467DB3" w:rsidRPr="002225F3" w:rsidRDefault="00467DB3" w:rsidP="00467DB3">
      <w:pPr>
        <w:jc w:val="both"/>
        <w:rPr>
          <w:color w:val="000000" w:themeColor="text1"/>
        </w:rPr>
      </w:pPr>
      <w:r w:rsidRPr="002225F3">
        <w:rPr>
          <w:color w:val="000000" w:themeColor="text1"/>
        </w:rPr>
        <w:t>En relación a la UIT se destac</w:t>
      </w:r>
      <w:r w:rsidR="00680EE9">
        <w:rPr>
          <w:color w:val="000000" w:themeColor="text1"/>
        </w:rPr>
        <w:t>ó</w:t>
      </w:r>
      <w:r w:rsidRPr="002225F3">
        <w:rPr>
          <w:color w:val="000000" w:themeColor="text1"/>
        </w:rPr>
        <w:t xml:space="preserve"> la celebración de la Conferencia Mundial de Desarrollo de las Telecomunicaciones (CMDT-25), de la Unión Internacional de Telecomunicaciones (UIT), que tendrá lugar entre los días 17 a 28 de noviembre de 2025, en </w:t>
      </w:r>
      <w:proofErr w:type="spellStart"/>
      <w:r w:rsidRPr="002225F3">
        <w:rPr>
          <w:color w:val="000000" w:themeColor="text1"/>
        </w:rPr>
        <w:t>Baku</w:t>
      </w:r>
      <w:proofErr w:type="spellEnd"/>
      <w:r w:rsidRPr="002225F3">
        <w:rPr>
          <w:color w:val="000000" w:themeColor="text1"/>
        </w:rPr>
        <w:t xml:space="preserve">, República de </w:t>
      </w:r>
      <w:proofErr w:type="spellStart"/>
      <w:r w:rsidRPr="002225F3">
        <w:rPr>
          <w:color w:val="000000" w:themeColor="text1"/>
        </w:rPr>
        <w:t>Azerbaiján</w:t>
      </w:r>
      <w:proofErr w:type="spellEnd"/>
      <w:r w:rsidRPr="002225F3">
        <w:rPr>
          <w:color w:val="000000" w:themeColor="text1"/>
        </w:rPr>
        <w:t>. La CMDT es el evento de mayor relevancia del Sector de Desarrollo de la UIT.</w:t>
      </w:r>
    </w:p>
    <w:p w14:paraId="651FC16C" w14:textId="77777777" w:rsidR="00441229" w:rsidRPr="002225F3" w:rsidRDefault="00441229" w:rsidP="00467DB3">
      <w:pPr>
        <w:jc w:val="both"/>
        <w:rPr>
          <w:color w:val="000000" w:themeColor="text1"/>
        </w:rPr>
      </w:pPr>
    </w:p>
    <w:p w14:paraId="185DE763" w14:textId="59A093E3" w:rsidR="00441229" w:rsidRPr="002225F3" w:rsidRDefault="00441229" w:rsidP="00114C4B">
      <w:pPr>
        <w:widowControl w:val="0"/>
        <w:pBdr>
          <w:top w:val="nil"/>
          <w:left w:val="nil"/>
          <w:bottom w:val="nil"/>
          <w:right w:val="nil"/>
          <w:between w:val="nil"/>
        </w:pBdr>
        <w:jc w:val="both"/>
        <w:rPr>
          <w:color w:val="000000" w:themeColor="text1"/>
        </w:rPr>
      </w:pPr>
      <w:r w:rsidRPr="002225F3">
        <w:rPr>
          <w:color w:val="000000" w:themeColor="text1"/>
        </w:rPr>
        <w:lastRenderedPageBreak/>
        <w:t xml:space="preserve">La </w:t>
      </w:r>
      <w:r w:rsidR="00680EE9">
        <w:rPr>
          <w:color w:val="000000" w:themeColor="text1"/>
        </w:rPr>
        <w:t>d</w:t>
      </w:r>
      <w:r w:rsidRPr="002225F3">
        <w:rPr>
          <w:color w:val="000000" w:themeColor="text1"/>
        </w:rPr>
        <w:t>elegación de Uruguay, dado que ocupa la presidencia de la Comisión de Estudio 2 Regional – Américas de</w:t>
      </w:r>
      <w:r w:rsidR="00114C4B" w:rsidRPr="002225F3">
        <w:rPr>
          <w:color w:val="000000" w:themeColor="text1"/>
        </w:rPr>
        <w:t>l</w:t>
      </w:r>
      <w:r w:rsidRPr="002225F3">
        <w:rPr>
          <w:color w:val="000000" w:themeColor="text1"/>
        </w:rPr>
        <w:t xml:space="preserve"> UIT-T, invitó a participar en la Reunión de dicha Comisión que se efectuará totalmente</w:t>
      </w:r>
      <w:r w:rsidR="00114C4B" w:rsidRPr="002225F3">
        <w:rPr>
          <w:color w:val="000000" w:themeColor="text1"/>
        </w:rPr>
        <w:t xml:space="preserve"> virtual el 11 de junio de 2025.</w:t>
      </w:r>
    </w:p>
    <w:p w14:paraId="21BEAB71" w14:textId="77777777" w:rsidR="00114C4B" w:rsidRPr="002225F3" w:rsidRDefault="00114C4B" w:rsidP="00114C4B">
      <w:pPr>
        <w:widowControl w:val="0"/>
        <w:pBdr>
          <w:top w:val="nil"/>
          <w:left w:val="nil"/>
          <w:bottom w:val="nil"/>
          <w:right w:val="nil"/>
          <w:between w:val="nil"/>
        </w:pBdr>
        <w:jc w:val="both"/>
        <w:rPr>
          <w:color w:val="000000" w:themeColor="text1"/>
        </w:rPr>
      </w:pPr>
    </w:p>
    <w:p w14:paraId="0E4C3A75" w14:textId="56516511" w:rsidR="00441229" w:rsidRPr="002225F3" w:rsidRDefault="00441229" w:rsidP="00114C4B">
      <w:pPr>
        <w:widowControl w:val="0"/>
        <w:pBdr>
          <w:top w:val="nil"/>
          <w:left w:val="nil"/>
          <w:bottom w:val="nil"/>
          <w:right w:val="nil"/>
          <w:between w:val="nil"/>
        </w:pBdr>
        <w:jc w:val="both"/>
        <w:rPr>
          <w:color w:val="000000" w:themeColor="text1"/>
        </w:rPr>
      </w:pPr>
      <w:r w:rsidRPr="002225F3">
        <w:rPr>
          <w:color w:val="000000" w:themeColor="text1"/>
        </w:rPr>
        <w:t xml:space="preserve">Por otra parte, invitó a participar en el evento presencial que se realizará en Montevideo de “ITU </w:t>
      </w:r>
      <w:proofErr w:type="spellStart"/>
      <w:r w:rsidRPr="002225F3">
        <w:rPr>
          <w:color w:val="000000" w:themeColor="text1"/>
        </w:rPr>
        <w:t>Policy</w:t>
      </w:r>
      <w:proofErr w:type="spellEnd"/>
      <w:r w:rsidRPr="002225F3">
        <w:rPr>
          <w:color w:val="000000" w:themeColor="text1"/>
        </w:rPr>
        <w:t xml:space="preserve"> and </w:t>
      </w:r>
      <w:proofErr w:type="spellStart"/>
      <w:r w:rsidRPr="002225F3">
        <w:rPr>
          <w:color w:val="000000" w:themeColor="text1"/>
        </w:rPr>
        <w:t>Economic</w:t>
      </w:r>
      <w:proofErr w:type="spellEnd"/>
      <w:r w:rsidRPr="002225F3">
        <w:rPr>
          <w:color w:val="000000" w:themeColor="text1"/>
        </w:rPr>
        <w:t xml:space="preserve"> </w:t>
      </w:r>
      <w:proofErr w:type="spellStart"/>
      <w:r w:rsidRPr="002225F3">
        <w:rPr>
          <w:color w:val="000000" w:themeColor="text1"/>
        </w:rPr>
        <w:t>Colloquium</w:t>
      </w:r>
      <w:proofErr w:type="spellEnd"/>
      <w:r w:rsidRPr="002225F3">
        <w:rPr>
          <w:color w:val="000000" w:themeColor="text1"/>
        </w:rPr>
        <w:t xml:space="preserve"> </w:t>
      </w:r>
      <w:proofErr w:type="spellStart"/>
      <w:r w:rsidRPr="002225F3">
        <w:rPr>
          <w:color w:val="000000" w:themeColor="text1"/>
        </w:rPr>
        <w:t>for</w:t>
      </w:r>
      <w:proofErr w:type="spellEnd"/>
      <w:r w:rsidRPr="002225F3">
        <w:rPr>
          <w:color w:val="000000" w:themeColor="text1"/>
        </w:rPr>
        <w:t xml:space="preserve"> </w:t>
      </w:r>
      <w:proofErr w:type="spellStart"/>
      <w:r w:rsidRPr="002225F3">
        <w:rPr>
          <w:color w:val="000000" w:themeColor="text1"/>
        </w:rPr>
        <w:t>the</w:t>
      </w:r>
      <w:proofErr w:type="spellEnd"/>
      <w:r w:rsidRPr="002225F3">
        <w:rPr>
          <w:color w:val="000000" w:themeColor="text1"/>
        </w:rPr>
        <w:t xml:space="preserve"> </w:t>
      </w:r>
      <w:proofErr w:type="spellStart"/>
      <w:r w:rsidRPr="002225F3">
        <w:rPr>
          <w:color w:val="000000" w:themeColor="text1"/>
        </w:rPr>
        <w:t>Americas</w:t>
      </w:r>
      <w:proofErr w:type="spellEnd"/>
      <w:r w:rsidRPr="002225F3">
        <w:rPr>
          <w:color w:val="000000" w:themeColor="text1"/>
        </w:rPr>
        <w:t>” (IPEC-25) en conjunto con las reuniones de Comisión de Estudio 3 Regional y la Comisión de Estudio 2 Regional de ITU-T, durante la semana del 6 al 10 de octubre de 2025.</w:t>
      </w:r>
    </w:p>
    <w:p w14:paraId="3727C55F" w14:textId="77777777" w:rsidR="002474F3" w:rsidRDefault="002474F3">
      <w:pPr>
        <w:widowControl w:val="0"/>
        <w:pBdr>
          <w:top w:val="nil"/>
          <w:left w:val="nil"/>
          <w:bottom w:val="nil"/>
          <w:right w:val="nil"/>
          <w:between w:val="nil"/>
        </w:pBdr>
        <w:jc w:val="both"/>
      </w:pPr>
    </w:p>
    <w:p w14:paraId="24A81343" w14:textId="77777777" w:rsidR="009B4F19" w:rsidRDefault="009B4F19">
      <w:pPr>
        <w:widowControl w:val="0"/>
        <w:pBdr>
          <w:top w:val="nil"/>
          <w:left w:val="nil"/>
          <w:bottom w:val="nil"/>
          <w:right w:val="nil"/>
          <w:between w:val="nil"/>
        </w:pBdr>
        <w:jc w:val="both"/>
      </w:pPr>
    </w:p>
    <w:p w14:paraId="1060503E" w14:textId="77777777" w:rsidR="004079D6" w:rsidRDefault="00063804" w:rsidP="004079D6">
      <w:pPr>
        <w:pStyle w:val="Prrafodelista"/>
        <w:widowControl w:val="0"/>
        <w:numPr>
          <w:ilvl w:val="0"/>
          <w:numId w:val="7"/>
        </w:numPr>
        <w:pBdr>
          <w:top w:val="nil"/>
          <w:left w:val="nil"/>
          <w:bottom w:val="nil"/>
          <w:right w:val="nil"/>
          <w:between w:val="nil"/>
        </w:pBdr>
        <w:ind w:left="567" w:hanging="567"/>
        <w:jc w:val="both"/>
        <w:rPr>
          <w:b/>
          <w:color w:val="000000"/>
        </w:rPr>
      </w:pPr>
      <w:r>
        <w:rPr>
          <w:b/>
          <w:color w:val="000000"/>
        </w:rPr>
        <w:t>OTROS ASUNTOS</w:t>
      </w:r>
    </w:p>
    <w:p w14:paraId="2DC3BE05" w14:textId="77777777" w:rsidR="009C2640" w:rsidRDefault="009C2640" w:rsidP="009C2640">
      <w:pPr>
        <w:pStyle w:val="Prrafodelista"/>
        <w:widowControl w:val="0"/>
        <w:pBdr>
          <w:top w:val="nil"/>
          <w:left w:val="nil"/>
          <w:bottom w:val="nil"/>
          <w:right w:val="nil"/>
          <w:between w:val="nil"/>
        </w:pBdr>
        <w:ind w:left="567"/>
        <w:jc w:val="both"/>
        <w:rPr>
          <w:b/>
          <w:color w:val="000000"/>
        </w:rPr>
      </w:pPr>
    </w:p>
    <w:p w14:paraId="66243DE7" w14:textId="40F8B09F" w:rsidR="00DD55B9" w:rsidRPr="00DD55B9" w:rsidRDefault="00DD55B9" w:rsidP="009C2640">
      <w:pPr>
        <w:pStyle w:val="Prrafodelista"/>
        <w:numPr>
          <w:ilvl w:val="1"/>
          <w:numId w:val="7"/>
        </w:numPr>
        <w:jc w:val="both"/>
        <w:rPr>
          <w:b/>
        </w:rPr>
      </w:pPr>
      <w:r w:rsidRPr="00DD55B9">
        <w:rPr>
          <w:b/>
        </w:rPr>
        <w:t>Temas del Grupo Agenda Digital del MERCOSUR</w:t>
      </w:r>
    </w:p>
    <w:p w14:paraId="78DFB5AA" w14:textId="05A5FCBE" w:rsidR="009C2640" w:rsidRDefault="009C2640" w:rsidP="008B3658">
      <w:pPr>
        <w:pStyle w:val="Prrafodelista"/>
        <w:ind w:left="426"/>
        <w:jc w:val="both"/>
      </w:pPr>
      <w:r>
        <w:t>En oportunidad de la participación d</w:t>
      </w:r>
      <w:r w:rsidR="00DD55B9">
        <w:t>e un</w:t>
      </w:r>
      <w:r>
        <w:t xml:space="preserve"> funcionario de la Cancillería argentina, se realizaron consultas relacionadas con temas vinculados el Grupo de Agenda Digital del MERCOSUR.</w:t>
      </w:r>
    </w:p>
    <w:p w14:paraId="495D8D4C" w14:textId="77777777" w:rsidR="009C2640" w:rsidRDefault="009C2640" w:rsidP="008B3658">
      <w:pPr>
        <w:pStyle w:val="Prrafodelista"/>
        <w:ind w:left="426"/>
        <w:jc w:val="both"/>
      </w:pPr>
    </w:p>
    <w:p w14:paraId="59D1192C" w14:textId="32835F66" w:rsidR="009C2640" w:rsidRDefault="009C2640" w:rsidP="008B3658">
      <w:pPr>
        <w:pStyle w:val="Prrafodelista"/>
        <w:ind w:left="426"/>
        <w:jc w:val="both"/>
      </w:pPr>
      <w:r>
        <w:t xml:space="preserve">Al respecto, se acordó que </w:t>
      </w:r>
      <w:r w:rsidR="00DD55B9">
        <w:t xml:space="preserve">el </w:t>
      </w:r>
      <w:r>
        <w:t xml:space="preserve">SGT-1 realice una presentación en la próxima reunión del GAD </w:t>
      </w:r>
      <w:r w:rsidR="00DD55B9">
        <w:t xml:space="preserve">sobre la </w:t>
      </w:r>
      <w:r w:rsidR="00DD55B9" w:rsidRPr="00234BB5">
        <w:t>Guía de Seguridad Cibernética para Prestadores de Servicios de Telecomunicaciones</w:t>
      </w:r>
      <w:r w:rsidR="00DD55B9">
        <w:t xml:space="preserve"> propuesta por Brasil,</w:t>
      </w:r>
      <w:r w:rsidR="00DD55B9" w:rsidRPr="00DD55B9">
        <w:t xml:space="preserve"> </w:t>
      </w:r>
      <w:r w:rsidR="00DD55B9">
        <w:t>a efectos de evitar duplicación de tareas y precisar competencias.</w:t>
      </w:r>
    </w:p>
    <w:p w14:paraId="4807E698" w14:textId="77777777" w:rsidR="009C2640" w:rsidRPr="00DD55B9" w:rsidRDefault="009C2640" w:rsidP="00DD55B9">
      <w:pPr>
        <w:widowControl w:val="0"/>
        <w:pBdr>
          <w:top w:val="nil"/>
          <w:left w:val="nil"/>
          <w:bottom w:val="nil"/>
          <w:right w:val="nil"/>
          <w:between w:val="nil"/>
        </w:pBdr>
        <w:jc w:val="both"/>
        <w:rPr>
          <w:b/>
          <w:color w:val="000000"/>
        </w:rPr>
      </w:pPr>
    </w:p>
    <w:p w14:paraId="5E445276" w14:textId="77777777" w:rsidR="004079D6" w:rsidRDefault="004079D6" w:rsidP="004079D6">
      <w:pPr>
        <w:pStyle w:val="Prrafodelista"/>
        <w:widowControl w:val="0"/>
        <w:pBdr>
          <w:top w:val="nil"/>
          <w:left w:val="nil"/>
          <w:bottom w:val="nil"/>
          <w:right w:val="nil"/>
          <w:between w:val="nil"/>
        </w:pBdr>
        <w:ind w:left="567"/>
        <w:jc w:val="both"/>
        <w:rPr>
          <w:b/>
          <w:color w:val="000000"/>
        </w:rPr>
      </w:pPr>
    </w:p>
    <w:p w14:paraId="39DFB664" w14:textId="62145473" w:rsidR="00680EE9" w:rsidRPr="00DD55B9" w:rsidRDefault="00680EE9" w:rsidP="00DD55B9">
      <w:pPr>
        <w:pStyle w:val="Prrafodelista"/>
        <w:widowControl w:val="0"/>
        <w:numPr>
          <w:ilvl w:val="1"/>
          <w:numId w:val="7"/>
        </w:numPr>
        <w:pBdr>
          <w:top w:val="nil"/>
          <w:left w:val="nil"/>
          <w:bottom w:val="nil"/>
          <w:right w:val="nil"/>
          <w:between w:val="nil"/>
        </w:pBdr>
        <w:jc w:val="both"/>
        <w:rPr>
          <w:b/>
          <w:color w:val="000000"/>
        </w:rPr>
      </w:pPr>
      <w:r>
        <w:rPr>
          <w:b/>
          <w:color w:val="000000"/>
        </w:rPr>
        <w:t>N</w:t>
      </w:r>
      <w:r w:rsidRPr="00680EE9">
        <w:rPr>
          <w:b/>
          <w:color w:val="000000"/>
        </w:rPr>
        <w:t>uevas autoridades de la Unidad Reguladora de Servicios de Comunicaciones – URSEC</w:t>
      </w:r>
    </w:p>
    <w:p w14:paraId="26A82883" w14:textId="75E7A35D" w:rsidR="004B6863" w:rsidRPr="00680EE9" w:rsidRDefault="00680EE9" w:rsidP="008B3658">
      <w:pPr>
        <w:widowControl w:val="0"/>
        <w:pBdr>
          <w:top w:val="nil"/>
          <w:left w:val="nil"/>
          <w:bottom w:val="nil"/>
          <w:right w:val="nil"/>
          <w:between w:val="nil"/>
        </w:pBdr>
        <w:ind w:left="426"/>
        <w:jc w:val="both"/>
        <w:rPr>
          <w:b/>
          <w:color w:val="000000"/>
        </w:rPr>
      </w:pPr>
      <w:r>
        <w:rPr>
          <w:lang w:val="es-ES"/>
        </w:rPr>
        <w:t xml:space="preserve">La delegación de </w:t>
      </w:r>
      <w:r w:rsidR="004079D6" w:rsidRPr="00680EE9">
        <w:rPr>
          <w:lang w:val="es-ES"/>
        </w:rPr>
        <w:t xml:space="preserve">Uruguay informó que recientemente han tomado posesión en sus cargos parte de las nuevas autoridades de la Unidad Reguladora de Servicios de Comunicaciones – URSEC-. Así el </w:t>
      </w:r>
      <w:r w:rsidR="000A0B6E">
        <w:rPr>
          <w:lang w:val="es-ES"/>
        </w:rPr>
        <w:t>e</w:t>
      </w:r>
      <w:r w:rsidR="004079D6" w:rsidRPr="00680EE9">
        <w:rPr>
          <w:lang w:val="es-ES"/>
        </w:rPr>
        <w:t>c</w:t>
      </w:r>
      <w:r w:rsidR="000A0B6E">
        <w:rPr>
          <w:lang w:val="es-ES"/>
        </w:rPr>
        <w:t>onomista</w:t>
      </w:r>
      <w:r w:rsidR="004079D6" w:rsidRPr="00680EE9">
        <w:rPr>
          <w:lang w:val="es-ES"/>
        </w:rPr>
        <w:t xml:space="preserve"> Gonzalo Balseiro fue designado en calidad de Presidente del Directorio y el Dr. Bruno Fernández en calidad de Vicepresidente. Para completar el cuerpo aún falta la</w:t>
      </w:r>
      <w:r w:rsidR="00E9350F">
        <w:rPr>
          <w:lang w:val="es-ES"/>
        </w:rPr>
        <w:t xml:space="preserve"> asunción del tercer integrante</w:t>
      </w:r>
      <w:r w:rsidR="004B6863" w:rsidRPr="00680EE9">
        <w:rPr>
          <w:lang w:val="es-ES"/>
        </w:rPr>
        <w:t>.</w:t>
      </w:r>
    </w:p>
    <w:p w14:paraId="1B68B66D" w14:textId="77777777" w:rsidR="004B6863" w:rsidRPr="004B6863" w:rsidRDefault="004B6863" w:rsidP="004B6863">
      <w:pPr>
        <w:pStyle w:val="Prrafodelista"/>
        <w:widowControl w:val="0"/>
        <w:pBdr>
          <w:top w:val="nil"/>
          <w:left w:val="nil"/>
          <w:bottom w:val="nil"/>
          <w:right w:val="nil"/>
          <w:between w:val="nil"/>
        </w:pBdr>
        <w:ind w:left="426"/>
        <w:jc w:val="both"/>
        <w:rPr>
          <w:b/>
          <w:color w:val="000000"/>
        </w:rPr>
      </w:pPr>
    </w:p>
    <w:p w14:paraId="767FAF40" w14:textId="5A79B7F8" w:rsidR="00680EE9" w:rsidRPr="00DD55B9" w:rsidRDefault="004B6863" w:rsidP="00DD55B9">
      <w:pPr>
        <w:pStyle w:val="Prrafodelista"/>
        <w:widowControl w:val="0"/>
        <w:numPr>
          <w:ilvl w:val="1"/>
          <w:numId w:val="7"/>
        </w:numPr>
        <w:pBdr>
          <w:top w:val="nil"/>
          <w:left w:val="nil"/>
          <w:bottom w:val="nil"/>
          <w:right w:val="nil"/>
          <w:between w:val="nil"/>
        </w:pBdr>
        <w:jc w:val="both"/>
        <w:rPr>
          <w:b/>
          <w:bCs/>
          <w:color w:val="000000"/>
        </w:rPr>
      </w:pPr>
      <w:r w:rsidRPr="00680EE9">
        <w:rPr>
          <w:b/>
          <w:bCs/>
          <w:lang w:val="es-ES"/>
        </w:rPr>
        <w:t>Fallecimiento de</w:t>
      </w:r>
      <w:r w:rsidR="00D61554">
        <w:rPr>
          <w:b/>
          <w:bCs/>
          <w:lang w:val="es-ES"/>
        </w:rPr>
        <w:t>l ingeniero</w:t>
      </w:r>
      <w:r w:rsidRPr="00680EE9">
        <w:rPr>
          <w:b/>
          <w:bCs/>
          <w:lang w:val="es-ES"/>
        </w:rPr>
        <w:t xml:space="preserve"> Claudio </w:t>
      </w:r>
      <w:proofErr w:type="spellStart"/>
      <w:r w:rsidRPr="00680EE9">
        <w:rPr>
          <w:b/>
          <w:bCs/>
          <w:lang w:val="es-ES"/>
        </w:rPr>
        <w:t>Uesugui</w:t>
      </w:r>
      <w:proofErr w:type="spellEnd"/>
    </w:p>
    <w:p w14:paraId="3598FA16" w14:textId="054784A3" w:rsidR="004B6863" w:rsidRDefault="004B6863" w:rsidP="00DD55B9">
      <w:pPr>
        <w:ind w:left="426"/>
        <w:jc w:val="both"/>
        <w:rPr>
          <w:lang w:val="es-ES"/>
        </w:rPr>
      </w:pPr>
      <w:r>
        <w:rPr>
          <w:lang w:val="es-ES"/>
        </w:rPr>
        <w:t>L</w:t>
      </w:r>
      <w:r w:rsidR="00D61554">
        <w:rPr>
          <w:lang w:val="es-ES"/>
        </w:rPr>
        <w:t>a A</w:t>
      </w:r>
      <w:r w:rsidRPr="001E47CE">
        <w:rPr>
          <w:lang w:val="es-ES"/>
        </w:rPr>
        <w:t>dministración argentina comunicó a las demás administraciones, con mucho pesar, el fallecimiento durante</w:t>
      </w:r>
      <w:r w:rsidR="00D61554">
        <w:rPr>
          <w:lang w:val="es-ES"/>
        </w:rPr>
        <w:t xml:space="preserve"> el pasado mes de abril del ingeniero</w:t>
      </w:r>
      <w:r w:rsidRPr="001E47CE">
        <w:rPr>
          <w:lang w:val="es-ES"/>
        </w:rPr>
        <w:t xml:space="preserve"> Claudio </w:t>
      </w:r>
      <w:proofErr w:type="spellStart"/>
      <w:r w:rsidRPr="001E47CE">
        <w:rPr>
          <w:lang w:val="es-ES"/>
        </w:rPr>
        <w:t>Uesugui</w:t>
      </w:r>
      <w:proofErr w:type="spellEnd"/>
      <w:r w:rsidRPr="001E47CE">
        <w:rPr>
          <w:lang w:val="es-ES"/>
        </w:rPr>
        <w:t xml:space="preserve">, quien integró sus delegaciones en </w:t>
      </w:r>
      <w:r>
        <w:rPr>
          <w:lang w:val="es-ES"/>
        </w:rPr>
        <w:t>la</w:t>
      </w:r>
      <w:r w:rsidRPr="001E47CE">
        <w:rPr>
          <w:lang w:val="es-ES"/>
        </w:rPr>
        <w:t xml:space="preserve"> Comisión Temática </w:t>
      </w:r>
      <w:r>
        <w:rPr>
          <w:lang w:val="es-ES"/>
        </w:rPr>
        <w:t xml:space="preserve">de Radiodifusión </w:t>
      </w:r>
      <w:r w:rsidRPr="001E47CE">
        <w:rPr>
          <w:lang w:val="es-ES"/>
        </w:rPr>
        <w:t>entre los años 2015 y 2024</w:t>
      </w:r>
      <w:r>
        <w:rPr>
          <w:lang w:val="es-ES"/>
        </w:rPr>
        <w:t>.</w:t>
      </w:r>
    </w:p>
    <w:p w14:paraId="6DDE924F" w14:textId="77777777" w:rsidR="00E639BF" w:rsidRDefault="00E639BF" w:rsidP="00DD55B9">
      <w:pPr>
        <w:ind w:left="426"/>
        <w:jc w:val="both"/>
        <w:rPr>
          <w:lang w:val="es-ES"/>
        </w:rPr>
      </w:pPr>
    </w:p>
    <w:p w14:paraId="3FF2F316" w14:textId="1D1D6FB5" w:rsidR="004B6863" w:rsidRPr="004B6863" w:rsidRDefault="004B6863" w:rsidP="00DD55B9">
      <w:pPr>
        <w:ind w:left="426"/>
        <w:jc w:val="both"/>
        <w:rPr>
          <w:lang w:val="es-ES"/>
        </w:rPr>
      </w:pPr>
      <w:r w:rsidRPr="001E47CE">
        <w:rPr>
          <w:lang w:val="es-ES"/>
        </w:rPr>
        <w:t>L</w:t>
      </w:r>
      <w:r>
        <w:rPr>
          <w:lang w:val="es-ES"/>
        </w:rPr>
        <w:t>os</w:t>
      </w:r>
      <w:r w:rsidRPr="001E47CE">
        <w:rPr>
          <w:lang w:val="es-ES"/>
        </w:rPr>
        <w:t xml:space="preserve"> </w:t>
      </w:r>
      <w:r>
        <w:rPr>
          <w:lang w:val="es-ES"/>
        </w:rPr>
        <w:t>representante</w:t>
      </w:r>
      <w:r w:rsidR="00E639BF">
        <w:rPr>
          <w:lang w:val="es-ES"/>
        </w:rPr>
        <w:t>s</w:t>
      </w:r>
      <w:r>
        <w:rPr>
          <w:lang w:val="es-ES"/>
        </w:rPr>
        <w:t xml:space="preserve"> de las </w:t>
      </w:r>
      <w:r w:rsidRPr="001E47CE">
        <w:rPr>
          <w:lang w:val="es-ES"/>
        </w:rPr>
        <w:t>demás administraciones</w:t>
      </w:r>
      <w:r>
        <w:rPr>
          <w:lang w:val="es-ES"/>
        </w:rPr>
        <w:t xml:space="preserve">, tanto en el ámbito de la Comisión Temática como de este Subgrupo de Trabajo, </w:t>
      </w:r>
      <w:r w:rsidRPr="001E47CE">
        <w:rPr>
          <w:lang w:val="es-ES"/>
        </w:rPr>
        <w:t>expresaron sus más sentidas condolencias a los representantes de la administración argentina por tan lamentable pérdida</w:t>
      </w:r>
      <w:r>
        <w:rPr>
          <w:lang w:val="es-ES"/>
        </w:rPr>
        <w:t>, gesto que la administración argentina agradece muy especialmente.</w:t>
      </w:r>
    </w:p>
    <w:p w14:paraId="2BB72512" w14:textId="77777777" w:rsidR="00063804" w:rsidRPr="00680EE9" w:rsidRDefault="00063804" w:rsidP="00680EE9">
      <w:pPr>
        <w:widowControl w:val="0"/>
        <w:pBdr>
          <w:top w:val="nil"/>
          <w:left w:val="nil"/>
          <w:bottom w:val="nil"/>
          <w:right w:val="nil"/>
          <w:between w:val="nil"/>
        </w:pBdr>
        <w:jc w:val="both"/>
        <w:rPr>
          <w:b/>
          <w:color w:val="000000"/>
        </w:rPr>
      </w:pPr>
    </w:p>
    <w:p w14:paraId="78BB25AE" w14:textId="63A1E0F4" w:rsidR="00E75B99" w:rsidRPr="00F453A8" w:rsidRDefault="00C955CD" w:rsidP="002409F4">
      <w:pPr>
        <w:pStyle w:val="Prrafodelista"/>
        <w:widowControl w:val="0"/>
        <w:numPr>
          <w:ilvl w:val="0"/>
          <w:numId w:val="7"/>
        </w:numPr>
        <w:pBdr>
          <w:top w:val="nil"/>
          <w:left w:val="nil"/>
          <w:bottom w:val="nil"/>
          <w:right w:val="nil"/>
          <w:between w:val="nil"/>
        </w:pBdr>
        <w:ind w:left="567" w:hanging="567"/>
        <w:jc w:val="both"/>
        <w:rPr>
          <w:b/>
          <w:color w:val="000000"/>
        </w:rPr>
      </w:pPr>
      <w:r w:rsidRPr="00F453A8">
        <w:rPr>
          <w:b/>
          <w:color w:val="000000"/>
        </w:rPr>
        <w:t>AGENDA, LUGAR Y FECHA DE LA PRÓXIMA REUNIÓN</w:t>
      </w:r>
    </w:p>
    <w:p w14:paraId="3EA18D55" w14:textId="77777777" w:rsidR="00E75B99" w:rsidRPr="002409F4" w:rsidRDefault="00E75B99" w:rsidP="002409F4">
      <w:pPr>
        <w:pStyle w:val="Prrafodelista"/>
        <w:widowControl w:val="0"/>
        <w:pBdr>
          <w:top w:val="nil"/>
          <w:left w:val="nil"/>
          <w:bottom w:val="nil"/>
          <w:right w:val="nil"/>
          <w:between w:val="nil"/>
        </w:pBdr>
        <w:ind w:left="567"/>
        <w:jc w:val="both"/>
        <w:rPr>
          <w:b/>
          <w:color w:val="000000"/>
        </w:rPr>
      </w:pPr>
    </w:p>
    <w:p w14:paraId="56B7B8F0" w14:textId="3242F505" w:rsidR="00E75B99" w:rsidRPr="00CC2BB7" w:rsidRDefault="00C955CD">
      <w:pPr>
        <w:widowControl w:val="0"/>
        <w:jc w:val="both"/>
      </w:pPr>
      <w:r>
        <w:t>La Agenda Tentativa de la LXV</w:t>
      </w:r>
      <w:r w:rsidR="00E83230">
        <w:t>I</w:t>
      </w:r>
      <w:r w:rsidR="00F453A8">
        <w:t>I</w:t>
      </w:r>
      <w:r>
        <w:t xml:space="preserve"> Reunión Ordinaria del SGT N° 1 consta en el </w:t>
      </w:r>
      <w:r w:rsidRPr="00CC2BB7">
        <w:rPr>
          <w:b/>
        </w:rPr>
        <w:t xml:space="preserve">Anexo </w:t>
      </w:r>
      <w:r w:rsidR="006B002F" w:rsidRPr="00CC2BB7">
        <w:rPr>
          <w:b/>
        </w:rPr>
        <w:t>X</w:t>
      </w:r>
      <w:r w:rsidRPr="00CC2BB7">
        <w:t>.</w:t>
      </w:r>
    </w:p>
    <w:p w14:paraId="27E21462" w14:textId="77777777" w:rsidR="00565A31" w:rsidRPr="00F453A8" w:rsidRDefault="00565A31">
      <w:pPr>
        <w:widowControl w:val="0"/>
        <w:jc w:val="both"/>
        <w:rPr>
          <w:highlight w:val="yellow"/>
        </w:rPr>
      </w:pPr>
    </w:p>
    <w:p w14:paraId="3F2BBD95" w14:textId="5C7B7AF7" w:rsidR="00E75B99" w:rsidRPr="00D7440F" w:rsidRDefault="00C955CD">
      <w:pPr>
        <w:widowControl w:val="0"/>
        <w:jc w:val="both"/>
      </w:pPr>
      <w:r w:rsidRPr="00FE28A3">
        <w:t xml:space="preserve">La próxima reunión será convocada por la próxima PPT en </w:t>
      </w:r>
      <w:r w:rsidR="00FE28A3" w:rsidRPr="00FE28A3">
        <w:t>ejercicio</w:t>
      </w:r>
      <w:r w:rsidR="008B497F">
        <w:t>.</w:t>
      </w:r>
    </w:p>
    <w:p w14:paraId="1DF7F753" w14:textId="77777777" w:rsidR="00D71217" w:rsidRDefault="00D71217">
      <w:pPr>
        <w:widowControl w:val="0"/>
        <w:jc w:val="both"/>
        <w:rPr>
          <w:b/>
        </w:rPr>
      </w:pPr>
    </w:p>
    <w:p w14:paraId="5F4A3127" w14:textId="113FE05D" w:rsidR="001766F9" w:rsidRDefault="001766F9">
      <w:pPr>
        <w:rPr>
          <w:b/>
        </w:rPr>
      </w:pPr>
    </w:p>
    <w:p w14:paraId="1313509B" w14:textId="77777777" w:rsidR="008B497F" w:rsidRDefault="008B497F">
      <w:pPr>
        <w:rPr>
          <w:b/>
        </w:rPr>
      </w:pPr>
    </w:p>
    <w:p w14:paraId="67080B32" w14:textId="77777777" w:rsidR="008B497F" w:rsidRDefault="008B497F">
      <w:pPr>
        <w:rPr>
          <w:b/>
        </w:rPr>
      </w:pPr>
    </w:p>
    <w:p w14:paraId="5E7FA242" w14:textId="242FF802" w:rsidR="00E75B99" w:rsidRPr="00560712" w:rsidRDefault="00C955CD" w:rsidP="00560712">
      <w:pPr>
        <w:widowControl w:val="0"/>
        <w:jc w:val="both"/>
        <w:rPr>
          <w:b/>
        </w:rPr>
      </w:pPr>
      <w:r>
        <w:rPr>
          <w:b/>
        </w:rPr>
        <w:lastRenderedPageBreak/>
        <w:t>ANEXOS</w:t>
      </w:r>
    </w:p>
    <w:p w14:paraId="1BC24DB9" w14:textId="77777777" w:rsidR="009B4F19" w:rsidRDefault="009B4F19">
      <w:pPr>
        <w:widowControl w:val="0"/>
        <w:tabs>
          <w:tab w:val="center" w:pos="4252"/>
          <w:tab w:val="right" w:pos="8504"/>
        </w:tabs>
        <w:jc w:val="both"/>
      </w:pPr>
    </w:p>
    <w:p w14:paraId="6180A6E0" w14:textId="16447B1C" w:rsidR="00E75B99" w:rsidRDefault="00C955CD">
      <w:pPr>
        <w:widowControl w:val="0"/>
        <w:tabs>
          <w:tab w:val="center" w:pos="4252"/>
          <w:tab w:val="right" w:pos="8504"/>
        </w:tabs>
        <w:jc w:val="both"/>
      </w:pPr>
      <w:r>
        <w:t>Los Anexos que forman parte del Acta son los siguientes:</w:t>
      </w:r>
    </w:p>
    <w:p w14:paraId="1F8EC49B" w14:textId="77777777" w:rsidR="00E75B99" w:rsidRDefault="00E75B99">
      <w:pPr>
        <w:widowControl w:val="0"/>
        <w:tabs>
          <w:tab w:val="center" w:pos="4252"/>
          <w:tab w:val="right" w:pos="8504"/>
        </w:tabs>
        <w:jc w:val="both"/>
      </w:pPr>
    </w:p>
    <w:tbl>
      <w:tblPr>
        <w:tblStyle w:val="2"/>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7829"/>
      </w:tblGrid>
      <w:tr w:rsidR="00E75B99" w14:paraId="264E707F" w14:textId="77777777" w:rsidTr="008B497F">
        <w:trPr>
          <w:trHeight w:val="284"/>
        </w:trPr>
        <w:tc>
          <w:tcPr>
            <w:tcW w:w="1419" w:type="dxa"/>
            <w:vAlign w:val="center"/>
          </w:tcPr>
          <w:p w14:paraId="431930FF" w14:textId="77777777" w:rsidR="00E75B99" w:rsidRDefault="00C955CD" w:rsidP="008B497F">
            <w:pPr>
              <w:pBdr>
                <w:top w:val="nil"/>
                <w:left w:val="nil"/>
                <w:bottom w:val="nil"/>
                <w:right w:val="nil"/>
                <w:between w:val="nil"/>
              </w:pBdr>
              <w:tabs>
                <w:tab w:val="center" w:pos="4252"/>
                <w:tab w:val="right" w:pos="8504"/>
              </w:tabs>
              <w:rPr>
                <w:b/>
              </w:rPr>
            </w:pPr>
            <w:r>
              <w:rPr>
                <w:b/>
              </w:rPr>
              <w:t>Anexo I</w:t>
            </w:r>
          </w:p>
        </w:tc>
        <w:tc>
          <w:tcPr>
            <w:tcW w:w="7829" w:type="dxa"/>
          </w:tcPr>
          <w:p w14:paraId="38797370" w14:textId="0ED9D273" w:rsidR="00F524A3" w:rsidRPr="0042162F" w:rsidRDefault="00C955CD">
            <w:pPr>
              <w:jc w:val="both"/>
            </w:pPr>
            <w:r>
              <w:t>Lista de Participantes</w:t>
            </w:r>
          </w:p>
        </w:tc>
      </w:tr>
      <w:tr w:rsidR="00E75B99" w14:paraId="5924E618" w14:textId="77777777" w:rsidTr="008B497F">
        <w:trPr>
          <w:trHeight w:val="284"/>
        </w:trPr>
        <w:tc>
          <w:tcPr>
            <w:tcW w:w="1419" w:type="dxa"/>
            <w:vAlign w:val="center"/>
          </w:tcPr>
          <w:p w14:paraId="2A3E85B0" w14:textId="67187816" w:rsidR="00E75B99" w:rsidRDefault="00C955CD" w:rsidP="008B497F">
            <w:pPr>
              <w:pBdr>
                <w:top w:val="nil"/>
                <w:left w:val="nil"/>
                <w:bottom w:val="nil"/>
                <w:right w:val="nil"/>
                <w:between w:val="nil"/>
              </w:pBdr>
              <w:tabs>
                <w:tab w:val="center" w:pos="4252"/>
                <w:tab w:val="right" w:pos="8504"/>
              </w:tabs>
              <w:rPr>
                <w:b/>
              </w:rPr>
            </w:pPr>
            <w:r>
              <w:rPr>
                <w:b/>
              </w:rPr>
              <w:t>Anexo II</w:t>
            </w:r>
          </w:p>
        </w:tc>
        <w:tc>
          <w:tcPr>
            <w:tcW w:w="7829" w:type="dxa"/>
          </w:tcPr>
          <w:p w14:paraId="3B9B8AB4" w14:textId="637B41D6" w:rsidR="00F524A3" w:rsidRDefault="00C955CD">
            <w:pPr>
              <w:jc w:val="both"/>
            </w:pPr>
            <w:r>
              <w:t>Agenda</w:t>
            </w:r>
          </w:p>
        </w:tc>
      </w:tr>
      <w:tr w:rsidR="00E75B99" w14:paraId="3CE5D4DE" w14:textId="77777777" w:rsidTr="008B497F">
        <w:trPr>
          <w:trHeight w:val="284"/>
        </w:trPr>
        <w:tc>
          <w:tcPr>
            <w:tcW w:w="1419" w:type="dxa"/>
            <w:vAlign w:val="center"/>
          </w:tcPr>
          <w:p w14:paraId="779C043A" w14:textId="44551189" w:rsidR="00E75B99" w:rsidRDefault="00C955CD" w:rsidP="008B497F">
            <w:pPr>
              <w:pBdr>
                <w:top w:val="nil"/>
                <w:left w:val="nil"/>
                <w:bottom w:val="nil"/>
                <w:right w:val="nil"/>
                <w:between w:val="nil"/>
              </w:pBdr>
              <w:tabs>
                <w:tab w:val="center" w:pos="4252"/>
                <w:tab w:val="right" w:pos="8504"/>
              </w:tabs>
              <w:rPr>
                <w:b/>
              </w:rPr>
            </w:pPr>
            <w:r>
              <w:rPr>
                <w:b/>
              </w:rPr>
              <w:t>Anexo III</w:t>
            </w:r>
          </w:p>
        </w:tc>
        <w:tc>
          <w:tcPr>
            <w:tcW w:w="7829" w:type="dxa"/>
          </w:tcPr>
          <w:p w14:paraId="375B1949" w14:textId="6D9D98FC" w:rsidR="00F524A3" w:rsidRDefault="00C955CD">
            <w:pPr>
              <w:jc w:val="both"/>
            </w:pPr>
            <w:r>
              <w:t>Resumen del Acta</w:t>
            </w:r>
          </w:p>
        </w:tc>
      </w:tr>
      <w:tr w:rsidR="00E54BC0" w14:paraId="12881924" w14:textId="77777777" w:rsidTr="008B497F">
        <w:tblPrEx>
          <w:tblLook w:val="04A0" w:firstRow="1" w:lastRow="0" w:firstColumn="1" w:lastColumn="0" w:noHBand="0" w:noVBand="1"/>
        </w:tblPrEx>
        <w:trPr>
          <w:trHeight w:val="284"/>
        </w:trPr>
        <w:tc>
          <w:tcPr>
            <w:tcW w:w="1419" w:type="dxa"/>
            <w:vAlign w:val="center"/>
          </w:tcPr>
          <w:p w14:paraId="4E151B8E" w14:textId="23A97B1E" w:rsidR="00E54BC0" w:rsidRDefault="00E54BC0" w:rsidP="008B497F">
            <w:pPr>
              <w:pBdr>
                <w:top w:val="nil"/>
                <w:left w:val="nil"/>
                <w:bottom w:val="nil"/>
                <w:right w:val="nil"/>
                <w:between w:val="nil"/>
              </w:pBdr>
              <w:tabs>
                <w:tab w:val="center" w:pos="4252"/>
                <w:tab w:val="right" w:pos="8504"/>
              </w:tabs>
              <w:rPr>
                <w:b/>
              </w:rPr>
            </w:pPr>
            <w:r>
              <w:rPr>
                <w:b/>
              </w:rPr>
              <w:t>Anexo  IV</w:t>
            </w:r>
          </w:p>
        </w:tc>
        <w:tc>
          <w:tcPr>
            <w:tcW w:w="7829" w:type="dxa"/>
          </w:tcPr>
          <w:p w14:paraId="1ACF01E3" w14:textId="77777777" w:rsidR="00E54BC0" w:rsidRDefault="00E54BC0" w:rsidP="00CA5163">
            <w:pPr>
              <w:jc w:val="both"/>
            </w:pPr>
            <w:r>
              <w:t>Proyectos de Recomendación</w:t>
            </w:r>
          </w:p>
        </w:tc>
      </w:tr>
      <w:tr w:rsidR="00E83230" w:rsidRPr="00E97295" w14:paraId="38429C03" w14:textId="77777777" w:rsidTr="008B497F">
        <w:trPr>
          <w:trHeight w:val="284"/>
        </w:trPr>
        <w:tc>
          <w:tcPr>
            <w:tcW w:w="1419" w:type="dxa"/>
            <w:vAlign w:val="center"/>
          </w:tcPr>
          <w:p w14:paraId="58243033" w14:textId="65DFEC6E" w:rsidR="00E83230" w:rsidRPr="00E97295" w:rsidRDefault="00E54BC0" w:rsidP="008B497F">
            <w:pPr>
              <w:pBdr>
                <w:top w:val="nil"/>
                <w:left w:val="nil"/>
                <w:bottom w:val="nil"/>
                <w:right w:val="nil"/>
                <w:between w:val="nil"/>
              </w:pBdr>
              <w:tabs>
                <w:tab w:val="center" w:pos="4252"/>
                <w:tab w:val="right" w:pos="8504"/>
              </w:tabs>
              <w:rPr>
                <w:b/>
              </w:rPr>
            </w:pPr>
            <w:r>
              <w:rPr>
                <w:b/>
              </w:rPr>
              <w:t xml:space="preserve">Anexo </w:t>
            </w:r>
            <w:r w:rsidR="00E83230" w:rsidRPr="00E97295">
              <w:rPr>
                <w:b/>
              </w:rPr>
              <w:t>V</w:t>
            </w:r>
          </w:p>
        </w:tc>
        <w:tc>
          <w:tcPr>
            <w:tcW w:w="7829" w:type="dxa"/>
          </w:tcPr>
          <w:p w14:paraId="7F59EF69" w14:textId="5ACFBB73" w:rsidR="00F524A3" w:rsidRPr="00E97295" w:rsidRDefault="00E83230">
            <w:pPr>
              <w:widowControl w:val="0"/>
              <w:pBdr>
                <w:top w:val="nil"/>
                <w:left w:val="nil"/>
                <w:bottom w:val="nil"/>
                <w:right w:val="nil"/>
                <w:between w:val="nil"/>
              </w:pBdr>
              <w:jc w:val="both"/>
            </w:pPr>
            <w:r w:rsidRPr="00E97295">
              <w:t xml:space="preserve">Acta de la </w:t>
            </w:r>
            <w:r w:rsidRPr="00441229">
              <w:t>LX</w:t>
            </w:r>
            <w:r w:rsidR="00745B53" w:rsidRPr="00441229">
              <w:t>I</w:t>
            </w:r>
            <w:r w:rsidR="00441229" w:rsidRPr="00441229">
              <w:t>I</w:t>
            </w:r>
            <w:r w:rsidR="00745B53">
              <w:t xml:space="preserve"> </w:t>
            </w:r>
            <w:r w:rsidRPr="00E97295">
              <w:t>Reunión Ordinaria de la Comisión Temática de Asuntos Postales (CTAP)</w:t>
            </w:r>
          </w:p>
        </w:tc>
      </w:tr>
      <w:tr w:rsidR="00E83230" w:rsidRPr="00E97295" w14:paraId="6F3382C1" w14:textId="77777777" w:rsidTr="008B497F">
        <w:trPr>
          <w:trHeight w:val="284"/>
        </w:trPr>
        <w:tc>
          <w:tcPr>
            <w:tcW w:w="1419" w:type="dxa"/>
            <w:vAlign w:val="center"/>
          </w:tcPr>
          <w:p w14:paraId="6E67E525" w14:textId="62389D58" w:rsidR="00E83230" w:rsidRPr="00E97295" w:rsidRDefault="00E83230" w:rsidP="008B497F">
            <w:pPr>
              <w:pBdr>
                <w:top w:val="nil"/>
                <w:left w:val="nil"/>
                <w:bottom w:val="nil"/>
                <w:right w:val="nil"/>
                <w:between w:val="nil"/>
              </w:pBdr>
              <w:tabs>
                <w:tab w:val="center" w:pos="4252"/>
                <w:tab w:val="right" w:pos="8504"/>
              </w:tabs>
              <w:rPr>
                <w:b/>
              </w:rPr>
            </w:pPr>
            <w:r w:rsidRPr="00E97295">
              <w:rPr>
                <w:b/>
              </w:rPr>
              <w:t>Anexo V</w:t>
            </w:r>
            <w:r w:rsidR="00E54BC0">
              <w:rPr>
                <w:b/>
              </w:rPr>
              <w:t>I</w:t>
            </w:r>
          </w:p>
        </w:tc>
        <w:tc>
          <w:tcPr>
            <w:tcW w:w="7829" w:type="dxa"/>
          </w:tcPr>
          <w:p w14:paraId="22CEB647" w14:textId="63B722CB" w:rsidR="00F524A3" w:rsidRPr="00E97295" w:rsidRDefault="00E83230">
            <w:pPr>
              <w:widowControl w:val="0"/>
              <w:pBdr>
                <w:top w:val="nil"/>
                <w:left w:val="nil"/>
                <w:bottom w:val="nil"/>
                <w:right w:val="nil"/>
                <w:between w:val="nil"/>
              </w:pBdr>
              <w:jc w:val="both"/>
            </w:pPr>
            <w:r w:rsidRPr="00E97295">
              <w:t xml:space="preserve">Acta de la </w:t>
            </w:r>
            <w:r w:rsidRPr="00441229">
              <w:t>LX</w:t>
            </w:r>
            <w:r w:rsidR="00F453A8" w:rsidRPr="00441229">
              <w:t>V</w:t>
            </w:r>
            <w:r w:rsidRPr="00E97295">
              <w:t xml:space="preserve"> Reunión Ordinaria de la Comisión Temática de Radiocomunicaciones (</w:t>
            </w:r>
            <w:proofErr w:type="spellStart"/>
            <w:r w:rsidRPr="00E97295">
              <w:t>CTRc</w:t>
            </w:r>
            <w:proofErr w:type="spellEnd"/>
            <w:r w:rsidRPr="00E97295">
              <w:t>)</w:t>
            </w:r>
          </w:p>
        </w:tc>
      </w:tr>
      <w:tr w:rsidR="00E83230" w:rsidRPr="00E97295" w14:paraId="6B59922F" w14:textId="77777777" w:rsidTr="008B497F">
        <w:trPr>
          <w:trHeight w:val="284"/>
        </w:trPr>
        <w:tc>
          <w:tcPr>
            <w:tcW w:w="1419" w:type="dxa"/>
            <w:vAlign w:val="center"/>
          </w:tcPr>
          <w:p w14:paraId="262C1276" w14:textId="5ACE3FF8" w:rsidR="00E83230" w:rsidRPr="00E97295" w:rsidRDefault="00E83230" w:rsidP="008B497F">
            <w:pPr>
              <w:pBdr>
                <w:top w:val="nil"/>
                <w:left w:val="nil"/>
                <w:bottom w:val="nil"/>
                <w:right w:val="nil"/>
                <w:between w:val="nil"/>
              </w:pBdr>
              <w:tabs>
                <w:tab w:val="center" w:pos="4252"/>
                <w:tab w:val="right" w:pos="8504"/>
              </w:tabs>
              <w:rPr>
                <w:b/>
              </w:rPr>
            </w:pPr>
            <w:r w:rsidRPr="00E97295">
              <w:rPr>
                <w:b/>
              </w:rPr>
              <w:t>Anexo</w:t>
            </w:r>
            <w:r w:rsidR="008B497F">
              <w:rPr>
                <w:b/>
              </w:rPr>
              <w:t xml:space="preserve"> </w:t>
            </w:r>
            <w:r w:rsidRPr="00E97295">
              <w:rPr>
                <w:b/>
              </w:rPr>
              <w:t>VI</w:t>
            </w:r>
            <w:r w:rsidR="00E54BC0">
              <w:rPr>
                <w:b/>
              </w:rPr>
              <w:t>I</w:t>
            </w:r>
          </w:p>
        </w:tc>
        <w:tc>
          <w:tcPr>
            <w:tcW w:w="7829" w:type="dxa"/>
          </w:tcPr>
          <w:p w14:paraId="03CD0586" w14:textId="3531D5BC" w:rsidR="00F524A3" w:rsidRPr="00E97295" w:rsidRDefault="00E83230">
            <w:pPr>
              <w:jc w:val="both"/>
            </w:pPr>
            <w:r w:rsidRPr="00E97295">
              <w:t xml:space="preserve">Acta de la </w:t>
            </w:r>
            <w:r w:rsidRPr="00441229">
              <w:t>LXI</w:t>
            </w:r>
            <w:r w:rsidR="00441229" w:rsidRPr="00441229">
              <w:t>V</w:t>
            </w:r>
            <w:r w:rsidRPr="00E97295">
              <w:t xml:space="preserve"> Reunión Ordinaria de la Comisión Temática de Radiodifusión (</w:t>
            </w:r>
            <w:proofErr w:type="spellStart"/>
            <w:r w:rsidRPr="00E97295">
              <w:t>CTRd</w:t>
            </w:r>
            <w:proofErr w:type="spellEnd"/>
            <w:r w:rsidRPr="00E97295">
              <w:t>)</w:t>
            </w:r>
          </w:p>
        </w:tc>
      </w:tr>
      <w:tr w:rsidR="00E83230" w14:paraId="57D63665" w14:textId="77777777" w:rsidTr="008B497F">
        <w:trPr>
          <w:trHeight w:val="284"/>
        </w:trPr>
        <w:tc>
          <w:tcPr>
            <w:tcW w:w="1419" w:type="dxa"/>
            <w:vAlign w:val="center"/>
          </w:tcPr>
          <w:p w14:paraId="664A113A" w14:textId="0710D47B" w:rsidR="00E83230" w:rsidRPr="00E97295" w:rsidRDefault="00E83230" w:rsidP="008B497F">
            <w:pPr>
              <w:pBdr>
                <w:top w:val="nil"/>
                <w:left w:val="nil"/>
                <w:bottom w:val="nil"/>
                <w:right w:val="nil"/>
                <w:between w:val="nil"/>
              </w:pBdr>
              <w:tabs>
                <w:tab w:val="center" w:pos="4252"/>
                <w:tab w:val="right" w:pos="8504"/>
              </w:tabs>
              <w:rPr>
                <w:b/>
              </w:rPr>
            </w:pPr>
            <w:r w:rsidRPr="00E97295">
              <w:rPr>
                <w:b/>
              </w:rPr>
              <w:t>Anexo VII</w:t>
            </w:r>
            <w:r w:rsidR="00E54BC0">
              <w:rPr>
                <w:b/>
              </w:rPr>
              <w:t>I</w:t>
            </w:r>
          </w:p>
        </w:tc>
        <w:tc>
          <w:tcPr>
            <w:tcW w:w="7829" w:type="dxa"/>
          </w:tcPr>
          <w:p w14:paraId="4283DD86" w14:textId="382BCFF3" w:rsidR="00F524A3" w:rsidRPr="00E97295" w:rsidRDefault="00F453A8">
            <w:pPr>
              <w:jc w:val="both"/>
            </w:pPr>
            <w:r w:rsidRPr="00E97295">
              <w:t>Acta de la LXV</w:t>
            </w:r>
            <w:r w:rsidR="00E83230" w:rsidRPr="00E97295">
              <w:t xml:space="preserve"> Reunión Ordinaria de la Comisión Temática de Servicios Públicos de Telecomunicaciones (CTSPT)</w:t>
            </w:r>
          </w:p>
        </w:tc>
      </w:tr>
      <w:tr w:rsidR="00E83230" w14:paraId="35E28628" w14:textId="77777777" w:rsidTr="008B497F">
        <w:trPr>
          <w:trHeight w:val="284"/>
        </w:trPr>
        <w:tc>
          <w:tcPr>
            <w:tcW w:w="1419" w:type="dxa"/>
            <w:vAlign w:val="center"/>
          </w:tcPr>
          <w:p w14:paraId="4FF19CED" w14:textId="150E0BF3" w:rsidR="00E83230" w:rsidRDefault="00E54BC0" w:rsidP="008B497F">
            <w:pPr>
              <w:pBdr>
                <w:top w:val="nil"/>
                <w:left w:val="nil"/>
                <w:bottom w:val="nil"/>
                <w:right w:val="nil"/>
                <w:between w:val="nil"/>
              </w:pBdr>
              <w:tabs>
                <w:tab w:val="center" w:pos="4252"/>
                <w:tab w:val="right" w:pos="8504"/>
              </w:tabs>
              <w:rPr>
                <w:b/>
              </w:rPr>
            </w:pPr>
            <w:r>
              <w:rPr>
                <w:b/>
              </w:rPr>
              <w:t>Anexo IX</w:t>
            </w:r>
          </w:p>
        </w:tc>
        <w:tc>
          <w:tcPr>
            <w:tcW w:w="7829" w:type="dxa"/>
          </w:tcPr>
          <w:p w14:paraId="031E20F2" w14:textId="76106272" w:rsidR="009B4F19" w:rsidRDefault="00E83230">
            <w:pPr>
              <w:jc w:val="both"/>
            </w:pPr>
            <w:r>
              <w:t xml:space="preserve">Informe Semestral </w:t>
            </w:r>
            <w:r w:rsidR="00E54BC0">
              <w:t>sobre el</w:t>
            </w:r>
            <w:r>
              <w:t xml:space="preserve"> Grado de Avance del Programa de Trabajo 202</w:t>
            </w:r>
            <w:r w:rsidR="00F453A8">
              <w:t>5</w:t>
            </w:r>
            <w:r>
              <w:t>-202</w:t>
            </w:r>
            <w:r w:rsidR="00F453A8">
              <w:t>6</w:t>
            </w:r>
            <w:r w:rsidR="00933449">
              <w:t xml:space="preserve"> del SGT N° 1 y Comisiones</w:t>
            </w:r>
          </w:p>
        </w:tc>
      </w:tr>
      <w:tr w:rsidR="00E83230" w14:paraId="3F26B3C5" w14:textId="77777777" w:rsidTr="008B497F">
        <w:trPr>
          <w:trHeight w:val="284"/>
        </w:trPr>
        <w:tc>
          <w:tcPr>
            <w:tcW w:w="1419" w:type="dxa"/>
            <w:vAlign w:val="center"/>
          </w:tcPr>
          <w:p w14:paraId="11AAA0E8" w14:textId="0800D675" w:rsidR="00E83230" w:rsidRDefault="00E83230" w:rsidP="008B497F">
            <w:pPr>
              <w:pBdr>
                <w:top w:val="nil"/>
                <w:left w:val="nil"/>
                <w:bottom w:val="nil"/>
                <w:right w:val="nil"/>
                <w:between w:val="nil"/>
              </w:pBdr>
              <w:tabs>
                <w:tab w:val="center" w:pos="4252"/>
                <w:tab w:val="right" w:pos="8504"/>
              </w:tabs>
              <w:rPr>
                <w:b/>
              </w:rPr>
            </w:pPr>
            <w:r>
              <w:rPr>
                <w:b/>
              </w:rPr>
              <w:t xml:space="preserve">Anexo </w:t>
            </w:r>
            <w:r w:rsidR="00EF7B29">
              <w:rPr>
                <w:b/>
              </w:rPr>
              <w:t xml:space="preserve"> </w:t>
            </w:r>
            <w:r>
              <w:rPr>
                <w:b/>
              </w:rPr>
              <w:t>X</w:t>
            </w:r>
          </w:p>
        </w:tc>
        <w:tc>
          <w:tcPr>
            <w:tcW w:w="7829" w:type="dxa"/>
          </w:tcPr>
          <w:p w14:paraId="59EB9E59" w14:textId="5AE7797E" w:rsidR="0042162F" w:rsidRDefault="00E83230">
            <w:pPr>
              <w:jc w:val="both"/>
            </w:pPr>
            <w:r>
              <w:t xml:space="preserve">Agenda Tentativa </w:t>
            </w:r>
            <w:r w:rsidRPr="00E54BC0">
              <w:t>LXV</w:t>
            </w:r>
            <w:r w:rsidR="00F453A8" w:rsidRPr="00E54BC0">
              <w:t>I</w:t>
            </w:r>
            <w:r w:rsidR="00EF7B29" w:rsidRPr="00E54BC0">
              <w:t>I</w:t>
            </w:r>
            <w:r>
              <w:t xml:space="preserve"> Reunión Ordinaria del SGT N° 1</w:t>
            </w:r>
          </w:p>
        </w:tc>
      </w:tr>
    </w:tbl>
    <w:p w14:paraId="57002B5E" w14:textId="77777777" w:rsidR="002409F4" w:rsidRDefault="002409F4">
      <w:pPr>
        <w:rPr>
          <w:b/>
        </w:rPr>
      </w:pPr>
    </w:p>
    <w:p w14:paraId="2DE072BC" w14:textId="77777777" w:rsidR="009B4F19" w:rsidRDefault="009B4F19">
      <w:pPr>
        <w:rPr>
          <w:b/>
        </w:rPr>
      </w:pPr>
    </w:p>
    <w:p w14:paraId="5469811B" w14:textId="77777777" w:rsidR="009B4F19" w:rsidRDefault="009B4F19">
      <w:pPr>
        <w:rPr>
          <w:b/>
        </w:rPr>
      </w:pPr>
    </w:p>
    <w:p w14:paraId="5D4E80FB" w14:textId="77777777" w:rsidR="009B4F19" w:rsidRDefault="009B4F19">
      <w:pPr>
        <w:rPr>
          <w:b/>
        </w:rPr>
      </w:pPr>
    </w:p>
    <w:p w14:paraId="362039F3" w14:textId="77777777" w:rsidR="009B4F19" w:rsidRDefault="009B4F19">
      <w:pPr>
        <w:rPr>
          <w:b/>
        </w:rPr>
      </w:pPr>
    </w:p>
    <w:p w14:paraId="6C931325" w14:textId="77777777" w:rsidR="00745B53" w:rsidRDefault="00745B53">
      <w:pPr>
        <w:rPr>
          <w:b/>
        </w:rPr>
      </w:pPr>
    </w:p>
    <w:tbl>
      <w:tblPr>
        <w:tblStyle w:val="1"/>
        <w:tblW w:w="8971" w:type="dxa"/>
        <w:tblInd w:w="-356" w:type="dxa"/>
        <w:tblLayout w:type="fixed"/>
        <w:tblLook w:val="0400" w:firstRow="0" w:lastRow="0" w:firstColumn="0" w:lastColumn="0" w:noHBand="0" w:noVBand="1"/>
      </w:tblPr>
      <w:tblGrid>
        <w:gridCol w:w="4693"/>
        <w:gridCol w:w="4278"/>
      </w:tblGrid>
      <w:tr w:rsidR="00E75B99" w14:paraId="68A1BAF0" w14:textId="77777777" w:rsidTr="0030274A">
        <w:trPr>
          <w:trHeight w:val="1070"/>
        </w:trPr>
        <w:tc>
          <w:tcPr>
            <w:tcW w:w="4693" w:type="dxa"/>
          </w:tcPr>
          <w:p w14:paraId="06B36B35" w14:textId="77777777" w:rsidR="00E75B99" w:rsidRPr="006B002F" w:rsidRDefault="00C955CD">
            <w:pPr>
              <w:widowControl w:val="0"/>
              <w:tabs>
                <w:tab w:val="left" w:pos="1418"/>
                <w:tab w:val="center" w:pos="4252"/>
                <w:tab w:val="right" w:pos="8504"/>
              </w:tabs>
              <w:jc w:val="center"/>
              <w:rPr>
                <w:b/>
              </w:rPr>
            </w:pPr>
            <w:r w:rsidRPr="006B002F">
              <w:rPr>
                <w:b/>
              </w:rPr>
              <w:t>_______________________________</w:t>
            </w:r>
          </w:p>
          <w:p w14:paraId="2E1939A6" w14:textId="77BF1AE3" w:rsidR="00830DA9" w:rsidRPr="006B002F" w:rsidRDefault="00830DA9" w:rsidP="00830DA9">
            <w:pPr>
              <w:widowControl w:val="0"/>
              <w:tabs>
                <w:tab w:val="center" w:pos="4252"/>
                <w:tab w:val="right" w:pos="8504"/>
              </w:tabs>
              <w:jc w:val="center"/>
              <w:rPr>
                <w:b/>
              </w:rPr>
            </w:pPr>
            <w:r w:rsidRPr="006B002F">
              <w:rPr>
                <w:b/>
              </w:rPr>
              <w:t xml:space="preserve">Por la delegación de </w:t>
            </w:r>
            <w:r w:rsidR="00E83230" w:rsidRPr="006B002F">
              <w:rPr>
                <w:b/>
              </w:rPr>
              <w:t>Argentina</w:t>
            </w:r>
          </w:p>
          <w:p w14:paraId="07BB9A7C" w14:textId="4ADF1351" w:rsidR="00E75B99" w:rsidRPr="0030274A" w:rsidRDefault="00F453A8" w:rsidP="006B002F">
            <w:pPr>
              <w:jc w:val="center"/>
              <w:rPr>
                <w:bCs/>
                <w:lang w:val="es-PY"/>
              </w:rPr>
            </w:pPr>
            <w:r>
              <w:rPr>
                <w:bCs/>
                <w:lang w:val="es-PY"/>
              </w:rPr>
              <w:t>Guillermo</w:t>
            </w:r>
            <w:r w:rsidR="007942D1" w:rsidRPr="0030274A">
              <w:rPr>
                <w:bCs/>
                <w:lang w:val="es-PY"/>
              </w:rPr>
              <w:t xml:space="preserve"> C</w:t>
            </w:r>
            <w:r>
              <w:rPr>
                <w:bCs/>
                <w:lang w:val="es-PY"/>
              </w:rPr>
              <w:t>lemente</w:t>
            </w:r>
          </w:p>
          <w:p w14:paraId="155C7F23" w14:textId="77777777" w:rsidR="00560712" w:rsidRDefault="00560712" w:rsidP="006B002F">
            <w:pPr>
              <w:jc w:val="center"/>
              <w:rPr>
                <w:b/>
                <w:lang w:val="es-PY"/>
              </w:rPr>
            </w:pPr>
          </w:p>
          <w:p w14:paraId="5449F333" w14:textId="77777777" w:rsidR="00F524A3" w:rsidRDefault="00F524A3" w:rsidP="006B002F">
            <w:pPr>
              <w:jc w:val="center"/>
              <w:rPr>
                <w:b/>
                <w:lang w:val="es-PY"/>
              </w:rPr>
            </w:pPr>
          </w:p>
          <w:p w14:paraId="110209F3" w14:textId="77777777" w:rsidR="00F524A3" w:rsidRDefault="00F524A3" w:rsidP="008B497F">
            <w:pPr>
              <w:rPr>
                <w:b/>
                <w:lang w:val="es-PY"/>
              </w:rPr>
            </w:pPr>
          </w:p>
          <w:p w14:paraId="2B188031" w14:textId="77777777" w:rsidR="0042162F" w:rsidRDefault="0042162F" w:rsidP="006B002F">
            <w:pPr>
              <w:jc w:val="center"/>
              <w:rPr>
                <w:b/>
                <w:lang w:val="es-PY"/>
              </w:rPr>
            </w:pPr>
          </w:p>
          <w:p w14:paraId="77958EBC" w14:textId="77777777" w:rsidR="002409F4" w:rsidRDefault="002409F4" w:rsidP="006B002F">
            <w:pPr>
              <w:jc w:val="center"/>
              <w:rPr>
                <w:b/>
                <w:lang w:val="es-PY"/>
              </w:rPr>
            </w:pPr>
          </w:p>
          <w:p w14:paraId="65FAA786" w14:textId="77777777" w:rsidR="0042162F" w:rsidRDefault="0042162F" w:rsidP="006B002F">
            <w:pPr>
              <w:jc w:val="center"/>
              <w:rPr>
                <w:b/>
                <w:lang w:val="es-PY"/>
              </w:rPr>
            </w:pPr>
          </w:p>
          <w:p w14:paraId="0DF004DA" w14:textId="6424ADBC" w:rsidR="00560712" w:rsidRPr="006B002F" w:rsidRDefault="00560712" w:rsidP="006B002F">
            <w:pPr>
              <w:jc w:val="center"/>
              <w:rPr>
                <w:b/>
                <w:lang w:val="es-PY"/>
              </w:rPr>
            </w:pPr>
          </w:p>
        </w:tc>
        <w:tc>
          <w:tcPr>
            <w:tcW w:w="4278" w:type="dxa"/>
          </w:tcPr>
          <w:p w14:paraId="4BF6E481" w14:textId="77777777" w:rsidR="00E75B99" w:rsidRPr="006B002F" w:rsidRDefault="00C955CD">
            <w:pPr>
              <w:widowControl w:val="0"/>
              <w:tabs>
                <w:tab w:val="left" w:pos="1418"/>
                <w:tab w:val="center" w:pos="4252"/>
                <w:tab w:val="right" w:pos="8504"/>
              </w:tabs>
              <w:jc w:val="center"/>
              <w:rPr>
                <w:b/>
              </w:rPr>
            </w:pPr>
            <w:r w:rsidRPr="006B002F">
              <w:rPr>
                <w:b/>
              </w:rPr>
              <w:t>_______________________________</w:t>
            </w:r>
          </w:p>
          <w:p w14:paraId="05B20E7A" w14:textId="35625E44" w:rsidR="00830DA9" w:rsidRPr="006B002F" w:rsidRDefault="00830DA9" w:rsidP="00830DA9">
            <w:pPr>
              <w:widowControl w:val="0"/>
              <w:tabs>
                <w:tab w:val="center" w:pos="4252"/>
                <w:tab w:val="right" w:pos="8504"/>
              </w:tabs>
              <w:jc w:val="center"/>
              <w:rPr>
                <w:b/>
              </w:rPr>
            </w:pPr>
            <w:r w:rsidRPr="006B002F">
              <w:rPr>
                <w:b/>
              </w:rPr>
              <w:t xml:space="preserve">Por la delegación de </w:t>
            </w:r>
            <w:r w:rsidR="006B002F">
              <w:rPr>
                <w:b/>
              </w:rPr>
              <w:t>Br</w:t>
            </w:r>
            <w:r w:rsidR="00E83230" w:rsidRPr="006B002F">
              <w:rPr>
                <w:b/>
              </w:rPr>
              <w:t>asil</w:t>
            </w:r>
          </w:p>
          <w:p w14:paraId="6B4C4937" w14:textId="56E72688" w:rsidR="00E75B99" w:rsidRPr="0030274A" w:rsidRDefault="006B002F" w:rsidP="006B002F">
            <w:pPr>
              <w:widowControl w:val="0"/>
              <w:tabs>
                <w:tab w:val="left" w:pos="1418"/>
                <w:tab w:val="center" w:pos="4252"/>
                <w:tab w:val="right" w:pos="8504"/>
              </w:tabs>
              <w:jc w:val="center"/>
              <w:rPr>
                <w:bCs/>
              </w:rPr>
            </w:pPr>
            <w:r w:rsidRPr="0030274A">
              <w:rPr>
                <w:bCs/>
              </w:rPr>
              <w:t xml:space="preserve">Daniel </w:t>
            </w:r>
            <w:proofErr w:type="spellStart"/>
            <w:r w:rsidRPr="0030274A">
              <w:rPr>
                <w:bCs/>
                <w:lang w:val="es-PY"/>
              </w:rPr>
              <w:t>Romão</w:t>
            </w:r>
            <w:proofErr w:type="spellEnd"/>
            <w:r w:rsidRPr="0030274A">
              <w:rPr>
                <w:bCs/>
              </w:rPr>
              <w:t xml:space="preserve"> </w:t>
            </w:r>
          </w:p>
        </w:tc>
      </w:tr>
      <w:tr w:rsidR="00E83230" w14:paraId="5614EE5C" w14:textId="77777777" w:rsidTr="0030274A">
        <w:trPr>
          <w:trHeight w:val="1070"/>
        </w:trPr>
        <w:tc>
          <w:tcPr>
            <w:tcW w:w="4693" w:type="dxa"/>
          </w:tcPr>
          <w:p w14:paraId="43CEDFFD" w14:textId="77777777" w:rsidR="00E83230" w:rsidRDefault="00E83230" w:rsidP="009B4468">
            <w:pPr>
              <w:widowControl w:val="0"/>
              <w:tabs>
                <w:tab w:val="left" w:pos="1418"/>
                <w:tab w:val="center" w:pos="4252"/>
                <w:tab w:val="right" w:pos="8504"/>
              </w:tabs>
              <w:jc w:val="center"/>
              <w:rPr>
                <w:b/>
              </w:rPr>
            </w:pPr>
            <w:r>
              <w:rPr>
                <w:b/>
              </w:rPr>
              <w:t>_______________________________</w:t>
            </w:r>
          </w:p>
          <w:p w14:paraId="7273D715" w14:textId="4A275260" w:rsidR="00E83230" w:rsidRDefault="00E83230" w:rsidP="009B4468">
            <w:pPr>
              <w:widowControl w:val="0"/>
              <w:tabs>
                <w:tab w:val="center" w:pos="4252"/>
                <w:tab w:val="right" w:pos="8504"/>
              </w:tabs>
              <w:jc w:val="center"/>
              <w:rPr>
                <w:b/>
              </w:rPr>
            </w:pPr>
            <w:r>
              <w:rPr>
                <w:b/>
              </w:rPr>
              <w:t xml:space="preserve">Por la delegación de </w:t>
            </w:r>
            <w:r w:rsidR="006B002F">
              <w:rPr>
                <w:b/>
              </w:rPr>
              <w:t>Paraguay</w:t>
            </w:r>
          </w:p>
          <w:p w14:paraId="610F293A" w14:textId="65AD581C" w:rsidR="00E83230" w:rsidRPr="0030274A" w:rsidRDefault="00006601" w:rsidP="006B002F">
            <w:pPr>
              <w:jc w:val="center"/>
              <w:rPr>
                <w:bCs/>
                <w:lang w:val="es-PY"/>
              </w:rPr>
            </w:pPr>
            <w:r>
              <w:rPr>
                <w:bCs/>
                <w:lang w:val="es-PY"/>
              </w:rPr>
              <w:t xml:space="preserve">Neri </w:t>
            </w:r>
            <w:proofErr w:type="spellStart"/>
            <w:r>
              <w:rPr>
                <w:bCs/>
                <w:lang w:val="es-PY"/>
              </w:rPr>
              <w:t>Gonzalez</w:t>
            </w:r>
            <w:proofErr w:type="spellEnd"/>
          </w:p>
        </w:tc>
        <w:tc>
          <w:tcPr>
            <w:tcW w:w="4278" w:type="dxa"/>
          </w:tcPr>
          <w:p w14:paraId="1DAD85CA" w14:textId="77777777" w:rsidR="00E83230" w:rsidRDefault="00E83230" w:rsidP="009B4468">
            <w:pPr>
              <w:widowControl w:val="0"/>
              <w:tabs>
                <w:tab w:val="left" w:pos="1418"/>
                <w:tab w:val="center" w:pos="4252"/>
                <w:tab w:val="right" w:pos="8504"/>
              </w:tabs>
              <w:jc w:val="center"/>
              <w:rPr>
                <w:b/>
              </w:rPr>
            </w:pPr>
            <w:r>
              <w:rPr>
                <w:b/>
              </w:rPr>
              <w:t>_______________________________</w:t>
            </w:r>
          </w:p>
          <w:p w14:paraId="135BD816" w14:textId="77777777" w:rsidR="006B002F" w:rsidRDefault="00E83230" w:rsidP="006B002F">
            <w:pPr>
              <w:widowControl w:val="0"/>
              <w:tabs>
                <w:tab w:val="center" w:pos="4252"/>
                <w:tab w:val="right" w:pos="8504"/>
              </w:tabs>
              <w:jc w:val="center"/>
              <w:rPr>
                <w:b/>
              </w:rPr>
            </w:pPr>
            <w:r>
              <w:rPr>
                <w:b/>
              </w:rPr>
              <w:t xml:space="preserve">Por la delegación de </w:t>
            </w:r>
            <w:r w:rsidR="006B002F">
              <w:rPr>
                <w:b/>
              </w:rPr>
              <w:t>Uruguay</w:t>
            </w:r>
          </w:p>
          <w:p w14:paraId="02C837E5" w14:textId="457D6CAE" w:rsidR="00E83230" w:rsidRPr="0030274A" w:rsidRDefault="006B002F" w:rsidP="006B002F">
            <w:pPr>
              <w:widowControl w:val="0"/>
              <w:tabs>
                <w:tab w:val="center" w:pos="4252"/>
                <w:tab w:val="right" w:pos="8504"/>
              </w:tabs>
              <w:jc w:val="center"/>
              <w:rPr>
                <w:bCs/>
              </w:rPr>
            </w:pPr>
            <w:r>
              <w:rPr>
                <w:b/>
              </w:rPr>
              <w:t xml:space="preserve"> </w:t>
            </w:r>
            <w:r w:rsidRPr="0030274A">
              <w:rPr>
                <w:bCs/>
              </w:rPr>
              <w:t xml:space="preserve">Carol </w:t>
            </w:r>
            <w:proofErr w:type="spellStart"/>
            <w:r w:rsidRPr="0030274A">
              <w:rPr>
                <w:bCs/>
              </w:rPr>
              <w:t>Dolinkas</w:t>
            </w:r>
            <w:proofErr w:type="spellEnd"/>
            <w:r w:rsidR="00E83230" w:rsidRPr="0030274A">
              <w:rPr>
                <w:bCs/>
              </w:rPr>
              <w:t xml:space="preserve"> </w:t>
            </w:r>
          </w:p>
        </w:tc>
      </w:tr>
    </w:tbl>
    <w:p w14:paraId="5BF9A3B5" w14:textId="77777777" w:rsidR="0042162F" w:rsidRDefault="0042162F">
      <w:pPr>
        <w:widowControl w:val="0"/>
        <w:pBdr>
          <w:top w:val="nil"/>
          <w:left w:val="nil"/>
          <w:bottom w:val="nil"/>
          <w:right w:val="nil"/>
          <w:between w:val="nil"/>
        </w:pBdr>
        <w:tabs>
          <w:tab w:val="center" w:pos="4252"/>
          <w:tab w:val="right" w:pos="8504"/>
        </w:tabs>
        <w:jc w:val="both"/>
        <w:rPr>
          <w:color w:val="000000"/>
        </w:rPr>
      </w:pPr>
    </w:p>
    <w:p w14:paraId="3F91B41D" w14:textId="77777777" w:rsidR="002409F4" w:rsidRDefault="002409F4">
      <w:pPr>
        <w:widowControl w:val="0"/>
        <w:pBdr>
          <w:top w:val="nil"/>
          <w:left w:val="nil"/>
          <w:bottom w:val="nil"/>
          <w:right w:val="nil"/>
          <w:between w:val="nil"/>
        </w:pBdr>
        <w:tabs>
          <w:tab w:val="center" w:pos="4252"/>
          <w:tab w:val="right" w:pos="8504"/>
        </w:tabs>
        <w:jc w:val="both"/>
        <w:rPr>
          <w:color w:val="000000"/>
        </w:rPr>
      </w:pPr>
    </w:p>
    <w:p w14:paraId="130A4367" w14:textId="77777777" w:rsidR="0042162F" w:rsidRDefault="0042162F">
      <w:pPr>
        <w:widowControl w:val="0"/>
        <w:pBdr>
          <w:top w:val="nil"/>
          <w:left w:val="nil"/>
          <w:bottom w:val="nil"/>
          <w:right w:val="nil"/>
          <w:between w:val="nil"/>
        </w:pBdr>
        <w:tabs>
          <w:tab w:val="center" w:pos="4252"/>
          <w:tab w:val="right" w:pos="8504"/>
        </w:tabs>
        <w:jc w:val="both"/>
        <w:rPr>
          <w:color w:val="000000"/>
        </w:rPr>
      </w:pPr>
    </w:p>
    <w:p w14:paraId="54EFBDDF" w14:textId="77777777" w:rsidR="0042162F" w:rsidRDefault="0042162F">
      <w:pPr>
        <w:widowControl w:val="0"/>
        <w:pBdr>
          <w:top w:val="nil"/>
          <w:left w:val="nil"/>
          <w:bottom w:val="nil"/>
          <w:right w:val="nil"/>
          <w:between w:val="nil"/>
        </w:pBdr>
        <w:tabs>
          <w:tab w:val="center" w:pos="4252"/>
          <w:tab w:val="right" w:pos="8504"/>
        </w:tabs>
        <w:jc w:val="both"/>
        <w:rPr>
          <w:color w:val="000000"/>
        </w:rPr>
      </w:pPr>
    </w:p>
    <w:p w14:paraId="0D007D0A" w14:textId="77777777" w:rsidR="0042162F" w:rsidRPr="00C306EA" w:rsidRDefault="0042162F" w:rsidP="0042162F">
      <w:pPr>
        <w:widowControl w:val="0"/>
        <w:tabs>
          <w:tab w:val="left" w:pos="1418"/>
          <w:tab w:val="center" w:pos="4252"/>
          <w:tab w:val="right" w:pos="8504"/>
        </w:tabs>
        <w:jc w:val="center"/>
        <w:rPr>
          <w:b/>
          <w:lang w:val="es-UY"/>
        </w:rPr>
      </w:pPr>
      <w:r w:rsidRPr="00C306EA">
        <w:rPr>
          <w:b/>
          <w:lang w:val="es-UY"/>
        </w:rPr>
        <w:t>_______________________________</w:t>
      </w:r>
    </w:p>
    <w:p w14:paraId="66C9AA0B" w14:textId="77777777" w:rsidR="0042162F" w:rsidRDefault="0042162F" w:rsidP="0042162F">
      <w:pPr>
        <w:widowControl w:val="0"/>
        <w:tabs>
          <w:tab w:val="center" w:pos="4252"/>
          <w:tab w:val="right" w:pos="8504"/>
        </w:tabs>
        <w:jc w:val="center"/>
        <w:rPr>
          <w:b/>
          <w:lang w:val="es-UY"/>
        </w:rPr>
      </w:pPr>
      <w:r w:rsidRPr="00C306EA">
        <w:rPr>
          <w:b/>
          <w:lang w:val="es-UY"/>
        </w:rPr>
        <w:t xml:space="preserve">Por la delegación de </w:t>
      </w:r>
      <w:r>
        <w:rPr>
          <w:b/>
          <w:lang w:val="es-UY"/>
        </w:rPr>
        <w:t>Bolivia</w:t>
      </w:r>
    </w:p>
    <w:p w14:paraId="0C53FC3E" w14:textId="6845467B" w:rsidR="0042162F" w:rsidRPr="00CC2BB7" w:rsidRDefault="00006601" w:rsidP="00CC2BB7">
      <w:pPr>
        <w:jc w:val="center"/>
        <w:rPr>
          <w:lang w:val="es-UY"/>
        </w:rPr>
      </w:pPr>
      <w:proofErr w:type="spellStart"/>
      <w:r>
        <w:rPr>
          <w:lang w:val="es-UY"/>
        </w:rPr>
        <w:t>Jhonny</w:t>
      </w:r>
      <w:proofErr w:type="spellEnd"/>
      <w:r>
        <w:rPr>
          <w:lang w:val="es-UY"/>
        </w:rPr>
        <w:t xml:space="preserve"> Bedoya Magne</w:t>
      </w:r>
    </w:p>
    <w:sectPr w:rsidR="0042162F" w:rsidRPr="00CC2BB7" w:rsidSect="008B497F">
      <w:headerReference w:type="even" r:id="rId11"/>
      <w:footerReference w:type="default" r:id="rId12"/>
      <w:headerReference w:type="first" r:id="rId13"/>
      <w:pgSz w:w="11907" w:h="16840"/>
      <w:pgMar w:top="1276" w:right="850" w:bottom="1417" w:left="1701" w:header="680" w:footer="6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C40E" w14:textId="77777777" w:rsidR="003F5232" w:rsidRDefault="003F5232">
      <w:r>
        <w:separator/>
      </w:r>
    </w:p>
  </w:endnote>
  <w:endnote w:type="continuationSeparator" w:id="0">
    <w:p w14:paraId="1FF12E01" w14:textId="77777777" w:rsidR="003F5232" w:rsidRDefault="003F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3D16" w14:textId="799D7E01" w:rsidR="00E75B99" w:rsidRDefault="00C955C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8B497F">
      <w:rPr>
        <w:noProof/>
        <w:color w:val="000000"/>
      </w:rPr>
      <w:t>5</w:t>
    </w:r>
    <w:r>
      <w:rPr>
        <w:color w:val="000000"/>
      </w:rPr>
      <w:fldChar w:fldCharType="end"/>
    </w:r>
  </w:p>
  <w:p w14:paraId="16146EAE" w14:textId="77777777" w:rsidR="00E75B99" w:rsidRDefault="00E75B9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5575" w14:textId="77777777" w:rsidR="003F5232" w:rsidRDefault="003F5232">
      <w:r>
        <w:separator/>
      </w:r>
    </w:p>
  </w:footnote>
  <w:footnote w:type="continuationSeparator" w:id="0">
    <w:p w14:paraId="474AAE92" w14:textId="77777777" w:rsidR="003F5232" w:rsidRDefault="003F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6EDE" w14:textId="77777777" w:rsidR="00E75B99" w:rsidRDefault="00C955CD">
    <w:pPr>
      <w:widowControl w:val="0"/>
      <w:pBdr>
        <w:top w:val="nil"/>
        <w:left w:val="nil"/>
        <w:bottom w:val="nil"/>
        <w:right w:val="nil"/>
        <w:between w:val="nil"/>
      </w:pBdr>
      <w:tabs>
        <w:tab w:val="center" w:pos="4252"/>
        <w:tab w:val="right" w:pos="8504"/>
      </w:tabs>
      <w:rPr>
        <w:color w:val="000000"/>
      </w:rPr>
    </w:pPr>
    <w:r>
      <w:rPr>
        <w:noProof/>
        <w:color w:val="000000"/>
        <w:lang w:eastAsia="es-AR"/>
      </w:rPr>
      <w:drawing>
        <wp:anchor distT="0" distB="0" distL="0" distR="0" simplePos="0" relativeHeight="251659264" behindDoc="1" locked="0" layoutInCell="1" hidden="0" allowOverlap="1" wp14:anchorId="59F7CCB0" wp14:editId="12747433">
          <wp:simplePos x="0" y="0"/>
          <wp:positionH relativeFrom="margin">
            <wp:align>center</wp:align>
          </wp:positionH>
          <wp:positionV relativeFrom="margin">
            <wp:align>center</wp:align>
          </wp:positionV>
          <wp:extent cx="6498590" cy="39401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8590" cy="39401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53F0" w14:textId="445090F2" w:rsidR="00E75B99" w:rsidRPr="00F524A3" w:rsidRDefault="00C955CD" w:rsidP="00F524A3">
    <w:pPr>
      <w:pStyle w:val="Encabezado"/>
      <w:tabs>
        <w:tab w:val="clear" w:pos="8504"/>
        <w:tab w:val="right" w:pos="9072"/>
      </w:tabs>
    </w:pPr>
    <w:r>
      <w:rPr>
        <w:noProof/>
        <w:color w:val="000000"/>
        <w:lang w:val="es-AR" w:eastAsia="es-AR"/>
      </w:rPr>
      <w:drawing>
        <wp:anchor distT="0" distB="0" distL="0" distR="0" simplePos="0" relativeHeight="251658240" behindDoc="1" locked="0" layoutInCell="1" hidden="0" allowOverlap="1" wp14:anchorId="070A2DAD" wp14:editId="2C870743">
          <wp:simplePos x="0" y="0"/>
          <wp:positionH relativeFrom="margin">
            <wp:align>center</wp:align>
          </wp:positionH>
          <wp:positionV relativeFrom="margin">
            <wp:align>center</wp:align>
          </wp:positionV>
          <wp:extent cx="6498590" cy="39401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8590" cy="3940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2D0"/>
    <w:multiLevelType w:val="hybridMultilevel"/>
    <w:tmpl w:val="D994AF46"/>
    <w:lvl w:ilvl="0" w:tplc="2C0A000F">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9226AB"/>
    <w:multiLevelType w:val="hybridMultilevel"/>
    <w:tmpl w:val="56FA2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7D2E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AA0228"/>
    <w:multiLevelType w:val="multilevel"/>
    <w:tmpl w:val="D0947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C92999"/>
    <w:multiLevelType w:val="hybridMultilevel"/>
    <w:tmpl w:val="0F4633F6"/>
    <w:lvl w:ilvl="0" w:tplc="2C0A000F">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B964F45"/>
    <w:multiLevelType w:val="multilevel"/>
    <w:tmpl w:val="9D961D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2C5725"/>
    <w:multiLevelType w:val="multilevel"/>
    <w:tmpl w:val="26248036"/>
    <w:lvl w:ilvl="0">
      <w:start w:val="3"/>
      <w:numFmt w:val="decimal"/>
      <w:lvlText w:val="%1"/>
      <w:lvlJc w:val="left"/>
      <w:pPr>
        <w:ind w:left="360" w:hanging="360"/>
      </w:pPr>
      <w:rPr>
        <w:rFonts w:hint="default"/>
        <w:b/>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7" w15:restartNumberingAfterBreak="0">
    <w:nsid w:val="5FA16F8A"/>
    <w:multiLevelType w:val="multilevel"/>
    <w:tmpl w:val="B7A4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718CF"/>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660A8F"/>
    <w:multiLevelType w:val="hybridMultilevel"/>
    <w:tmpl w:val="5F4A15A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3251B92"/>
    <w:multiLevelType w:val="multilevel"/>
    <w:tmpl w:val="EFA8BD1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CB75FF"/>
    <w:multiLevelType w:val="hybridMultilevel"/>
    <w:tmpl w:val="051E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51887">
    <w:abstractNumId w:val="10"/>
  </w:num>
  <w:num w:numId="2" w16cid:durableId="381445974">
    <w:abstractNumId w:val="3"/>
  </w:num>
  <w:num w:numId="3" w16cid:durableId="1864902293">
    <w:abstractNumId w:val="11"/>
  </w:num>
  <w:num w:numId="4" w16cid:durableId="722481160">
    <w:abstractNumId w:val="2"/>
  </w:num>
  <w:num w:numId="5" w16cid:durableId="694500006">
    <w:abstractNumId w:val="5"/>
  </w:num>
  <w:num w:numId="6" w16cid:durableId="229928166">
    <w:abstractNumId w:val="0"/>
  </w:num>
  <w:num w:numId="7" w16cid:durableId="316419568">
    <w:abstractNumId w:val="8"/>
  </w:num>
  <w:num w:numId="8" w16cid:durableId="599215693">
    <w:abstractNumId w:val="6"/>
  </w:num>
  <w:num w:numId="9" w16cid:durableId="1534227000">
    <w:abstractNumId w:val="4"/>
  </w:num>
  <w:num w:numId="10" w16cid:durableId="1356156444">
    <w:abstractNumId w:val="1"/>
  </w:num>
  <w:num w:numId="11" w16cid:durableId="1609896023">
    <w:abstractNumId w:val="7"/>
  </w:num>
  <w:num w:numId="12" w16cid:durableId="2142113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AR" w:vendorID="64" w:dllVersion="6" w:nlCheck="1" w:checkStyle="1"/>
  <w:activeWritingStyle w:appName="MSWord" w:lang="es-UY" w:vendorID="64" w:dllVersion="6" w:nlCheck="1" w:checkStyle="1"/>
  <w:activeWritingStyle w:appName="MSWord" w:lang="es-ES" w:vendorID="64" w:dllVersion="6" w:nlCheck="1" w:checkStyle="1"/>
  <w:activeWritingStyle w:appName="MSWord" w:lang="es-PY" w:vendorID="64" w:dllVersion="6" w:nlCheck="1" w:checkStyle="1"/>
  <w:activeWritingStyle w:appName="MSWord" w:lang="es-AR"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99"/>
    <w:rsid w:val="00003397"/>
    <w:rsid w:val="00006601"/>
    <w:rsid w:val="00006FB1"/>
    <w:rsid w:val="00063804"/>
    <w:rsid w:val="00073261"/>
    <w:rsid w:val="000769B7"/>
    <w:rsid w:val="0008297C"/>
    <w:rsid w:val="000A0B6E"/>
    <w:rsid w:val="000A722C"/>
    <w:rsid w:val="000C4F4C"/>
    <w:rsid w:val="000D6FC7"/>
    <w:rsid w:val="00114C4B"/>
    <w:rsid w:val="00115D7A"/>
    <w:rsid w:val="0015363F"/>
    <w:rsid w:val="001766F9"/>
    <w:rsid w:val="00177160"/>
    <w:rsid w:val="001A44F5"/>
    <w:rsid w:val="001D4FD2"/>
    <w:rsid w:val="0020456B"/>
    <w:rsid w:val="00216641"/>
    <w:rsid w:val="002225F3"/>
    <w:rsid w:val="002409F4"/>
    <w:rsid w:val="002474F3"/>
    <w:rsid w:val="00266BFE"/>
    <w:rsid w:val="0027683A"/>
    <w:rsid w:val="00285AC1"/>
    <w:rsid w:val="002D1756"/>
    <w:rsid w:val="002E7240"/>
    <w:rsid w:val="002F034A"/>
    <w:rsid w:val="002F4C91"/>
    <w:rsid w:val="0030274A"/>
    <w:rsid w:val="00306FE0"/>
    <w:rsid w:val="00311F22"/>
    <w:rsid w:val="0031780C"/>
    <w:rsid w:val="00323688"/>
    <w:rsid w:val="0032488C"/>
    <w:rsid w:val="003544E4"/>
    <w:rsid w:val="003858D2"/>
    <w:rsid w:val="003D258D"/>
    <w:rsid w:val="003F101B"/>
    <w:rsid w:val="003F5232"/>
    <w:rsid w:val="004032BF"/>
    <w:rsid w:val="004079D6"/>
    <w:rsid w:val="0042162F"/>
    <w:rsid w:val="00441229"/>
    <w:rsid w:val="00447265"/>
    <w:rsid w:val="00467DB3"/>
    <w:rsid w:val="00474487"/>
    <w:rsid w:val="004B2FE3"/>
    <w:rsid w:val="004B605D"/>
    <w:rsid w:val="004B6863"/>
    <w:rsid w:val="004F61BC"/>
    <w:rsid w:val="00511FA2"/>
    <w:rsid w:val="00515059"/>
    <w:rsid w:val="005153FF"/>
    <w:rsid w:val="005224BC"/>
    <w:rsid w:val="005331A8"/>
    <w:rsid w:val="00550642"/>
    <w:rsid w:val="005507F0"/>
    <w:rsid w:val="00560712"/>
    <w:rsid w:val="00565790"/>
    <w:rsid w:val="00565A31"/>
    <w:rsid w:val="00566630"/>
    <w:rsid w:val="005C65E4"/>
    <w:rsid w:val="005E225D"/>
    <w:rsid w:val="00630ECE"/>
    <w:rsid w:val="0063477B"/>
    <w:rsid w:val="00637918"/>
    <w:rsid w:val="00661332"/>
    <w:rsid w:val="00675DBF"/>
    <w:rsid w:val="00680EE9"/>
    <w:rsid w:val="006B002F"/>
    <w:rsid w:val="006B2FF4"/>
    <w:rsid w:val="006B52A2"/>
    <w:rsid w:val="006E6A9E"/>
    <w:rsid w:val="00711235"/>
    <w:rsid w:val="0071400B"/>
    <w:rsid w:val="00745B53"/>
    <w:rsid w:val="007942D1"/>
    <w:rsid w:val="007A1554"/>
    <w:rsid w:val="007A6641"/>
    <w:rsid w:val="007B27BF"/>
    <w:rsid w:val="007D7BA0"/>
    <w:rsid w:val="008069DC"/>
    <w:rsid w:val="00830DA9"/>
    <w:rsid w:val="0085234F"/>
    <w:rsid w:val="008647F9"/>
    <w:rsid w:val="00865384"/>
    <w:rsid w:val="00885131"/>
    <w:rsid w:val="00887A21"/>
    <w:rsid w:val="008B17B6"/>
    <w:rsid w:val="008B3658"/>
    <w:rsid w:val="008B497F"/>
    <w:rsid w:val="008D3437"/>
    <w:rsid w:val="008D4EFC"/>
    <w:rsid w:val="008E4392"/>
    <w:rsid w:val="008F1A6F"/>
    <w:rsid w:val="009322EA"/>
    <w:rsid w:val="00933449"/>
    <w:rsid w:val="00937991"/>
    <w:rsid w:val="0096363E"/>
    <w:rsid w:val="00964CF8"/>
    <w:rsid w:val="0096771F"/>
    <w:rsid w:val="009971D2"/>
    <w:rsid w:val="009B4468"/>
    <w:rsid w:val="009B4F19"/>
    <w:rsid w:val="009C2640"/>
    <w:rsid w:val="009E04E2"/>
    <w:rsid w:val="00A247F7"/>
    <w:rsid w:val="00A4356F"/>
    <w:rsid w:val="00A47DE6"/>
    <w:rsid w:val="00A62DCD"/>
    <w:rsid w:val="00A80D10"/>
    <w:rsid w:val="00AB4F7F"/>
    <w:rsid w:val="00AC43CF"/>
    <w:rsid w:val="00B02A90"/>
    <w:rsid w:val="00B21DD0"/>
    <w:rsid w:val="00B244F8"/>
    <w:rsid w:val="00B67AD0"/>
    <w:rsid w:val="00B82DF2"/>
    <w:rsid w:val="00BA56A7"/>
    <w:rsid w:val="00BB6CBC"/>
    <w:rsid w:val="00BD2DB9"/>
    <w:rsid w:val="00BD6049"/>
    <w:rsid w:val="00BE6317"/>
    <w:rsid w:val="00C20DAC"/>
    <w:rsid w:val="00C2700D"/>
    <w:rsid w:val="00C367E5"/>
    <w:rsid w:val="00C41CD0"/>
    <w:rsid w:val="00C5153D"/>
    <w:rsid w:val="00C61AC6"/>
    <w:rsid w:val="00C81037"/>
    <w:rsid w:val="00C81EEA"/>
    <w:rsid w:val="00C9045C"/>
    <w:rsid w:val="00C955CD"/>
    <w:rsid w:val="00CB256A"/>
    <w:rsid w:val="00CC2BB7"/>
    <w:rsid w:val="00CC734E"/>
    <w:rsid w:val="00CD1D72"/>
    <w:rsid w:val="00D44508"/>
    <w:rsid w:val="00D6133B"/>
    <w:rsid w:val="00D61554"/>
    <w:rsid w:val="00D71217"/>
    <w:rsid w:val="00D7440F"/>
    <w:rsid w:val="00DA0BEE"/>
    <w:rsid w:val="00DA26B0"/>
    <w:rsid w:val="00DD52E3"/>
    <w:rsid w:val="00DD55B9"/>
    <w:rsid w:val="00DE2968"/>
    <w:rsid w:val="00E362C8"/>
    <w:rsid w:val="00E54BC0"/>
    <w:rsid w:val="00E551A2"/>
    <w:rsid w:val="00E639BF"/>
    <w:rsid w:val="00E75B99"/>
    <w:rsid w:val="00E82403"/>
    <w:rsid w:val="00E83230"/>
    <w:rsid w:val="00E9350F"/>
    <w:rsid w:val="00E97295"/>
    <w:rsid w:val="00EB5BA2"/>
    <w:rsid w:val="00ED551C"/>
    <w:rsid w:val="00ED6D12"/>
    <w:rsid w:val="00EF41CD"/>
    <w:rsid w:val="00EF7B29"/>
    <w:rsid w:val="00F204B6"/>
    <w:rsid w:val="00F30C3C"/>
    <w:rsid w:val="00F453A8"/>
    <w:rsid w:val="00F46E50"/>
    <w:rsid w:val="00F524A3"/>
    <w:rsid w:val="00F52AF8"/>
    <w:rsid w:val="00F56094"/>
    <w:rsid w:val="00F85596"/>
    <w:rsid w:val="00F9520D"/>
    <w:rsid w:val="00F97DC1"/>
    <w:rsid w:val="00FB1E74"/>
    <w:rsid w:val="00FE28A3"/>
    <w:rsid w:val="00FE3D5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2BB18"/>
  <w15:docId w15:val="{4106DBDA-E30F-4E39-9B10-43F02F2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AR"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outlineLvl w:val="0"/>
    </w:pPr>
    <w:rPr>
      <w:rFonts w:ascii="Corsiva" w:eastAsia="Corsiva" w:hAnsi="Corsiva" w:cs="Corsiva"/>
      <w:b/>
      <w:sz w:val="28"/>
      <w:szCs w:val="28"/>
    </w:rPr>
  </w:style>
  <w:style w:type="paragraph" w:styleId="Ttulo2">
    <w:name w:val="heading 2"/>
    <w:basedOn w:val="Normal"/>
    <w:next w:val="Normal"/>
    <w:uiPriority w:val="9"/>
    <w:semiHidden/>
    <w:unhideWhenUsed/>
    <w:qFormat/>
    <w:pPr>
      <w:keepNext/>
      <w:ind w:firstLine="567"/>
      <w:outlineLvl w:val="1"/>
    </w:pPr>
    <w:rPr>
      <w:b/>
    </w:rPr>
  </w:style>
  <w:style w:type="paragraph" w:styleId="Ttulo3">
    <w:name w:val="heading 3"/>
    <w:basedOn w:val="Normal"/>
    <w:next w:val="Normal"/>
    <w:uiPriority w:val="9"/>
    <w:semiHidden/>
    <w:unhideWhenUsed/>
    <w:qFormat/>
    <w:pPr>
      <w:keepNext/>
      <w:ind w:left="567" w:right="567"/>
      <w:jc w:val="center"/>
      <w:outlineLvl w:val="2"/>
    </w:pPr>
    <w:rPr>
      <w:b/>
    </w:rPr>
  </w:style>
  <w:style w:type="paragraph" w:styleId="Ttulo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Cambria" w:eastAsia="Cambria" w:hAnsi="Cambria" w:cs="Cambria"/>
      <w:b/>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08297C"/>
    <w:pPr>
      <w:tabs>
        <w:tab w:val="center" w:pos="4252"/>
        <w:tab w:val="right" w:pos="8504"/>
      </w:tabs>
    </w:pPr>
  </w:style>
  <w:style w:type="character" w:customStyle="1" w:styleId="PiedepginaCar">
    <w:name w:val="Pie de página Car"/>
    <w:basedOn w:val="Fuentedeprrafopredeter"/>
    <w:link w:val="Piedepgina"/>
    <w:uiPriority w:val="99"/>
    <w:rsid w:val="0008297C"/>
  </w:style>
  <w:style w:type="paragraph" w:styleId="Encabezado">
    <w:name w:val="header"/>
    <w:aliases w:val="Encabezado Car1 Car1,Encabezado Car Car1 Car,Header Char1 Car Car1 Car,Encabezado Car Car Car Car,Header Char1 Car Car Car Car,Encabezado Car1 Car Car,Encabezado Car1 Car Car Car Car,Encabezado Car Car1 Car Car Car Car"/>
    <w:basedOn w:val="Normal"/>
    <w:link w:val="EncabezadoCar"/>
    <w:qFormat/>
    <w:rsid w:val="0008297C"/>
    <w:pPr>
      <w:widowControl w:val="0"/>
      <w:tabs>
        <w:tab w:val="center" w:pos="4252"/>
        <w:tab w:val="right" w:pos="8504"/>
      </w:tabs>
    </w:pPr>
    <w:rPr>
      <w:rFonts w:eastAsia="Times New Roman" w:cs="Times New Roman"/>
      <w:snapToGrid w:val="0"/>
      <w:szCs w:val="20"/>
      <w:lang w:val="es-ES" w:eastAsia="es-ES"/>
    </w:rPr>
  </w:style>
  <w:style w:type="character" w:customStyle="1" w:styleId="EncabezadoCar">
    <w:name w:val="Encabezado Car"/>
    <w:aliases w:val="Encabezado Car1 Car1 Car,Encabezado Car Car1 Car Car,Header Char1 Car Car1 Car Car,Encabezado Car Car Car Car Car,Header Char1 Car Car Car Car Car,Encabezado Car1 Car Car Car,Encabezado Car1 Car Car Car Car Car"/>
    <w:basedOn w:val="Fuentedeprrafopredeter"/>
    <w:link w:val="Encabezado"/>
    <w:qFormat/>
    <w:rsid w:val="0008297C"/>
    <w:rPr>
      <w:rFonts w:eastAsia="Times New Roman" w:cs="Times New Roman"/>
      <w:snapToGrid w:val="0"/>
      <w:szCs w:val="20"/>
      <w:lang w:val="es-ES" w:eastAsia="es-ES"/>
    </w:rPr>
  </w:style>
  <w:style w:type="paragraph" w:styleId="Prrafodelista">
    <w:name w:val="List Paragraph"/>
    <w:basedOn w:val="Normal"/>
    <w:uiPriority w:val="34"/>
    <w:qFormat/>
    <w:rsid w:val="006E6A9E"/>
    <w:pPr>
      <w:ind w:left="720"/>
      <w:contextualSpacing/>
    </w:pPr>
  </w:style>
  <w:style w:type="paragraph" w:styleId="Textodeglobo">
    <w:name w:val="Balloon Text"/>
    <w:basedOn w:val="Normal"/>
    <w:link w:val="TextodegloboCar"/>
    <w:uiPriority w:val="99"/>
    <w:semiHidden/>
    <w:unhideWhenUsed/>
    <w:rsid w:val="001771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160"/>
    <w:rPr>
      <w:rFonts w:ascii="Tahoma" w:hAnsi="Tahoma" w:cs="Tahoma"/>
      <w:sz w:val="16"/>
      <w:szCs w:val="16"/>
    </w:rPr>
  </w:style>
  <w:style w:type="paragraph" w:customStyle="1" w:styleId="tit2">
    <w:name w:val="tit2"/>
    <w:basedOn w:val="Normal"/>
    <w:rsid w:val="00441229"/>
    <w:pPr>
      <w:spacing w:before="100" w:beforeAutospacing="1" w:after="100" w:afterAutospacing="1"/>
    </w:pPr>
    <w:rPr>
      <w:rFonts w:ascii="Times New Roman" w:eastAsia="Times New Roman" w:hAnsi="Times New Roman"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538335">
      <w:bodyDiv w:val="1"/>
      <w:marLeft w:val="0"/>
      <w:marRight w:val="0"/>
      <w:marTop w:val="0"/>
      <w:marBottom w:val="0"/>
      <w:divBdr>
        <w:top w:val="none" w:sz="0" w:space="0" w:color="auto"/>
        <w:left w:val="none" w:sz="0" w:space="0" w:color="auto"/>
        <w:bottom w:val="none" w:sz="0" w:space="0" w:color="auto"/>
        <w:right w:val="none" w:sz="0" w:space="0" w:color="auto"/>
      </w:divBdr>
    </w:div>
    <w:div w:id="936669621">
      <w:bodyDiv w:val="1"/>
      <w:marLeft w:val="0"/>
      <w:marRight w:val="0"/>
      <w:marTop w:val="0"/>
      <w:marBottom w:val="0"/>
      <w:divBdr>
        <w:top w:val="none" w:sz="0" w:space="0" w:color="auto"/>
        <w:left w:val="none" w:sz="0" w:space="0" w:color="auto"/>
        <w:bottom w:val="none" w:sz="0" w:space="0" w:color="auto"/>
        <w:right w:val="none" w:sz="0" w:space="0" w:color="auto"/>
      </w:divBdr>
    </w:div>
    <w:div w:id="1071466359">
      <w:bodyDiv w:val="1"/>
      <w:marLeft w:val="0"/>
      <w:marRight w:val="0"/>
      <w:marTop w:val="0"/>
      <w:marBottom w:val="0"/>
      <w:divBdr>
        <w:top w:val="none" w:sz="0" w:space="0" w:color="auto"/>
        <w:left w:val="none" w:sz="0" w:space="0" w:color="auto"/>
        <w:bottom w:val="none" w:sz="0" w:space="0" w:color="auto"/>
        <w:right w:val="none" w:sz="0" w:space="0" w:color="auto"/>
      </w:divBdr>
    </w:div>
    <w:div w:id="1345210179">
      <w:bodyDiv w:val="1"/>
      <w:marLeft w:val="0"/>
      <w:marRight w:val="0"/>
      <w:marTop w:val="0"/>
      <w:marBottom w:val="0"/>
      <w:divBdr>
        <w:top w:val="none" w:sz="0" w:space="0" w:color="auto"/>
        <w:left w:val="none" w:sz="0" w:space="0" w:color="auto"/>
        <w:bottom w:val="none" w:sz="0" w:space="0" w:color="auto"/>
        <w:right w:val="none" w:sz="0" w:space="0" w:color="auto"/>
      </w:divBdr>
    </w:div>
    <w:div w:id="1498113218">
      <w:bodyDiv w:val="1"/>
      <w:marLeft w:val="0"/>
      <w:marRight w:val="0"/>
      <w:marTop w:val="0"/>
      <w:marBottom w:val="0"/>
      <w:divBdr>
        <w:top w:val="none" w:sz="0" w:space="0" w:color="auto"/>
        <w:left w:val="none" w:sz="0" w:space="0" w:color="auto"/>
        <w:bottom w:val="none" w:sz="0" w:space="0" w:color="auto"/>
        <w:right w:val="none" w:sz="0" w:space="0" w:color="auto"/>
      </w:divBdr>
    </w:div>
    <w:div w:id="164666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cosur.int/media/publicaciones/aspectos-instituciona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A97D-95AF-4934-9F95-5CDB2AED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dc:creator>
  <cp:keywords/>
  <dc:description/>
  <cp:lastModifiedBy>Ruth Mencia</cp:lastModifiedBy>
  <cp:revision>2</cp:revision>
  <cp:lastPrinted>2024-11-22T14:22:00Z</cp:lastPrinted>
  <dcterms:created xsi:type="dcterms:W3CDTF">2025-05-19T18:21:00Z</dcterms:created>
  <dcterms:modified xsi:type="dcterms:W3CDTF">2025-05-19T18:21:00Z</dcterms:modified>
</cp:coreProperties>
</file>