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FDDDF" w14:textId="78A83E10" w:rsidR="005738CE" w:rsidRPr="00D22BC4" w:rsidRDefault="007C4DCD">
      <w:pPr>
        <w:jc w:val="both"/>
        <w:rPr>
          <w:b/>
        </w:rPr>
      </w:pPr>
      <w:r>
        <w:rPr>
          <w:b/>
        </w:rPr>
        <w:t xml:space="preserve"> </w:t>
      </w:r>
      <w:r w:rsidR="001A4A6D" w:rsidRPr="00D22BC4">
        <w:rPr>
          <w:b/>
        </w:rPr>
        <w:t>MERCOSUR/GMC/ACTA Nº 0</w:t>
      </w:r>
      <w:r w:rsidR="00147C6E" w:rsidRPr="00D22BC4">
        <w:rPr>
          <w:b/>
        </w:rPr>
        <w:t>1</w:t>
      </w:r>
      <w:r w:rsidR="001A4A6D" w:rsidRPr="00D22BC4">
        <w:rPr>
          <w:b/>
        </w:rPr>
        <w:t>/2</w:t>
      </w:r>
      <w:r w:rsidR="002B4897" w:rsidRPr="00D22BC4">
        <w:rPr>
          <w:b/>
        </w:rPr>
        <w:t>5</w:t>
      </w:r>
    </w:p>
    <w:p w14:paraId="62CA72CB" w14:textId="77777777" w:rsidR="0043421C" w:rsidRPr="00D22BC4" w:rsidRDefault="0043421C">
      <w:pPr>
        <w:jc w:val="both"/>
        <w:rPr>
          <w:b/>
        </w:rPr>
      </w:pPr>
    </w:p>
    <w:p w14:paraId="25AA5B93" w14:textId="311A5BEE" w:rsidR="005738CE" w:rsidRPr="00D22BC4" w:rsidRDefault="00147C6E">
      <w:pPr>
        <w:tabs>
          <w:tab w:val="left" w:pos="7460"/>
        </w:tabs>
        <w:jc w:val="center"/>
      </w:pPr>
      <w:r w:rsidRPr="00D22BC4">
        <w:rPr>
          <w:b/>
        </w:rPr>
        <w:t>CXXXIV</w:t>
      </w:r>
      <w:r w:rsidR="001A4A6D" w:rsidRPr="00D22BC4">
        <w:rPr>
          <w:b/>
        </w:rPr>
        <w:t xml:space="preserve"> REUNIÓN ORDINARIA DEL GRUPO MERCADO COMÚN </w:t>
      </w:r>
    </w:p>
    <w:p w14:paraId="1387E8AD" w14:textId="77777777" w:rsidR="005738CE" w:rsidRPr="00D22BC4" w:rsidRDefault="005738CE">
      <w:pPr>
        <w:jc w:val="both"/>
        <w:rPr>
          <w:i/>
        </w:rPr>
      </w:pPr>
    </w:p>
    <w:p w14:paraId="5FF5F941" w14:textId="3047C763" w:rsidR="005738CE" w:rsidRPr="00D22BC4" w:rsidRDefault="001A4A6D">
      <w:pPr>
        <w:jc w:val="both"/>
        <w:rPr>
          <w:bCs/>
        </w:rPr>
      </w:pPr>
      <w:r w:rsidRPr="00D22BC4">
        <w:t xml:space="preserve">Se realizó en la ciudad de </w:t>
      </w:r>
      <w:r w:rsidR="00D825F9" w:rsidRPr="00D22BC4">
        <w:t>Buenos Aires</w:t>
      </w:r>
      <w:r w:rsidRPr="00D22BC4">
        <w:t xml:space="preserve">, República </w:t>
      </w:r>
      <w:r w:rsidR="00D825F9" w:rsidRPr="00D22BC4">
        <w:t>Argentina</w:t>
      </w:r>
      <w:r w:rsidRPr="00D22BC4">
        <w:t xml:space="preserve">, los </w:t>
      </w:r>
      <w:r w:rsidRPr="007C4742">
        <w:t xml:space="preserve">días </w:t>
      </w:r>
      <w:r w:rsidR="005C25E0" w:rsidRPr="007C4742">
        <w:t>23</w:t>
      </w:r>
      <w:r w:rsidR="004C5BE8" w:rsidRPr="007C4742">
        <w:t xml:space="preserve"> y </w:t>
      </w:r>
      <w:r w:rsidR="005C25E0" w:rsidRPr="007C4742">
        <w:t>24</w:t>
      </w:r>
      <w:r w:rsidR="004C5BE8" w:rsidRPr="007C4742">
        <w:t xml:space="preserve"> de </w:t>
      </w:r>
      <w:r w:rsidR="002B4897" w:rsidRPr="007C4742">
        <w:t>abril</w:t>
      </w:r>
      <w:r w:rsidRPr="00D22BC4">
        <w:t xml:space="preserve"> de 202</w:t>
      </w:r>
      <w:r w:rsidR="00D825F9" w:rsidRPr="00D22BC4">
        <w:t>5</w:t>
      </w:r>
      <w:r w:rsidRPr="00D22BC4">
        <w:t xml:space="preserve">, la </w:t>
      </w:r>
      <w:r w:rsidR="00D825F9" w:rsidRPr="00D22BC4">
        <w:t>CXXXIV</w:t>
      </w:r>
      <w:r w:rsidRPr="00D22BC4">
        <w:t xml:space="preserve"> reunión ordinaria del Grupo Mercado Común (GMC), con la presencia de las delegaciones de Argentina, Brasil, Paraguay y Uruguay. </w:t>
      </w:r>
      <w:r w:rsidR="002E62F7" w:rsidRPr="00D22BC4">
        <w:rPr>
          <w:bCs/>
        </w:rPr>
        <w:t>La delegación de Bolivia participó de conformidad con lo establecido en la Decisión CMC N° 20/19.</w:t>
      </w:r>
    </w:p>
    <w:p w14:paraId="7A682C98" w14:textId="77777777" w:rsidR="005738CE" w:rsidRPr="00D22BC4" w:rsidRDefault="005738CE">
      <w:pPr>
        <w:jc w:val="both"/>
        <w:rPr>
          <w:b/>
        </w:rPr>
      </w:pPr>
    </w:p>
    <w:p w14:paraId="0983B856" w14:textId="77777777" w:rsidR="005738CE" w:rsidRPr="005100B5" w:rsidRDefault="001A4A6D">
      <w:pPr>
        <w:jc w:val="both"/>
        <w:rPr>
          <w:lang w:val="pt-BR"/>
        </w:rPr>
      </w:pPr>
      <w:r w:rsidRPr="005100B5">
        <w:rPr>
          <w:lang w:val="pt-BR"/>
        </w:rPr>
        <w:t xml:space="preserve">La Lista de </w:t>
      </w:r>
      <w:proofErr w:type="gramStart"/>
      <w:r w:rsidRPr="005100B5">
        <w:rPr>
          <w:lang w:val="pt-BR"/>
        </w:rPr>
        <w:t>Participantes consta</w:t>
      </w:r>
      <w:proofErr w:type="gramEnd"/>
      <w:r w:rsidRPr="005100B5">
        <w:rPr>
          <w:lang w:val="pt-BR"/>
        </w:rPr>
        <w:t xml:space="preserve"> como </w:t>
      </w:r>
      <w:r w:rsidRPr="005100B5">
        <w:rPr>
          <w:b/>
          <w:lang w:val="pt-BR"/>
        </w:rPr>
        <w:t>Anexo I</w:t>
      </w:r>
      <w:r w:rsidRPr="005100B5">
        <w:rPr>
          <w:lang w:val="pt-BR"/>
        </w:rPr>
        <w:t>.</w:t>
      </w:r>
    </w:p>
    <w:p w14:paraId="1D436B20" w14:textId="77777777" w:rsidR="005738CE" w:rsidRPr="005100B5" w:rsidRDefault="005738CE">
      <w:pPr>
        <w:jc w:val="both"/>
        <w:rPr>
          <w:lang w:val="pt-BR"/>
        </w:rPr>
      </w:pPr>
    </w:p>
    <w:p w14:paraId="3E7160B9" w14:textId="77777777" w:rsidR="005738CE" w:rsidRPr="00D22BC4" w:rsidRDefault="001A4A6D">
      <w:pPr>
        <w:jc w:val="both"/>
        <w:rPr>
          <w:b/>
        </w:rPr>
      </w:pPr>
      <w:r w:rsidRPr="00D22BC4">
        <w:t xml:space="preserve">La Agenda consta como </w:t>
      </w:r>
      <w:r w:rsidRPr="00D22BC4">
        <w:rPr>
          <w:b/>
        </w:rPr>
        <w:t>Anexo II</w:t>
      </w:r>
      <w:r w:rsidRPr="00D22BC4">
        <w:t>.</w:t>
      </w:r>
    </w:p>
    <w:p w14:paraId="5A571B76" w14:textId="77777777" w:rsidR="005738CE" w:rsidRPr="00D22BC4" w:rsidRDefault="005738CE">
      <w:pPr>
        <w:jc w:val="both"/>
      </w:pPr>
    </w:p>
    <w:p w14:paraId="5AC55934" w14:textId="77777777" w:rsidR="005738CE" w:rsidRPr="00D22BC4" w:rsidRDefault="001A4A6D">
      <w:pPr>
        <w:jc w:val="both"/>
      </w:pPr>
      <w:r w:rsidRPr="00D22BC4">
        <w:t>En la reunión se trataron los siguientes temas:</w:t>
      </w:r>
    </w:p>
    <w:p w14:paraId="631250CC" w14:textId="150D2A9D" w:rsidR="005738CE" w:rsidRPr="00D22BC4" w:rsidRDefault="005738CE">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35288667" w14:textId="77777777" w:rsidR="00437A50" w:rsidRPr="00D22BC4" w:rsidRDefault="00437A50">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4DD33A05" w14:textId="45D9A4A8" w:rsidR="00AD34F0" w:rsidRDefault="003E3813" w:rsidP="007A14DE">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D22BC4">
        <w:rPr>
          <w:b/>
        </w:rPr>
        <w:t>REFLEXIÓN SOBRE EL ESTADO DE SITUACIÓN DEL BLOQUE</w:t>
      </w:r>
      <w:r w:rsidR="006A7633">
        <w:rPr>
          <w:b/>
        </w:rPr>
        <w:t xml:space="preserve"> -</w:t>
      </w:r>
      <w:r w:rsidR="00DE50E0" w:rsidRPr="00D22BC4">
        <w:rPr>
          <w:b/>
        </w:rPr>
        <w:t xml:space="preserve"> RESULTADOS REUNIÓN MINISTROS DE RELACIONES EXTERIORES DE LOS ESTADOS PARTES DEL MERCOSUR</w:t>
      </w:r>
    </w:p>
    <w:p w14:paraId="18EA2A2E" w14:textId="622DE952" w:rsidR="007C4742" w:rsidRDefault="007C4742" w:rsidP="007C4742">
      <w:pPr>
        <w:spacing w:before="100" w:beforeAutospacing="1" w:after="100" w:afterAutospacing="1"/>
        <w:jc w:val="both"/>
        <w:rPr>
          <w:rFonts w:cstheme="minorHAnsi"/>
        </w:rPr>
      </w:pPr>
      <w:r w:rsidRPr="000A0ACF">
        <w:rPr>
          <w:rFonts w:eastAsia="Times New Roman"/>
          <w:lang w:eastAsia="es-AR"/>
        </w:rPr>
        <w:t xml:space="preserve">La </w:t>
      </w:r>
      <w:r w:rsidRPr="000A0ACF">
        <w:rPr>
          <w:rFonts w:eastAsia="Times New Roman"/>
          <w:bCs/>
          <w:lang w:eastAsia="es-AR"/>
        </w:rPr>
        <w:t>PPTA</w:t>
      </w:r>
      <w:r w:rsidRPr="000A0ACF">
        <w:rPr>
          <w:rFonts w:eastAsia="Times New Roman"/>
          <w:lang w:eastAsia="es-AR"/>
        </w:rPr>
        <w:t xml:space="preserve"> presentó los ejes de trabajo para el semestre en curso. En primer lugar, hizo referencia a la decisión de impulsar una </w:t>
      </w:r>
      <w:r w:rsidRPr="000A0ACF">
        <w:rPr>
          <w:rFonts w:cstheme="minorHAnsi"/>
        </w:rPr>
        <w:t>reflexión en conjunto sobre</w:t>
      </w:r>
      <w:r w:rsidRPr="000A0ACF">
        <w:rPr>
          <w:rFonts w:cstheme="minorHAnsi"/>
          <w:iCs/>
        </w:rPr>
        <w:t xml:space="preserve"> el estado de situación del MERCOSUR</w:t>
      </w:r>
      <w:r w:rsidRPr="000A0ACF">
        <w:rPr>
          <w:rFonts w:cstheme="minorHAnsi"/>
        </w:rPr>
        <w:t xml:space="preserve"> y las perspectivas del proceso de integración regional, destacando que la reunión de Ministros de Relaciones Exteriores de los Estados Partes del MERCOSUR, que tuvo lugar en la ciudad de Buenos Aires el pasado 11 de abril, brindó un espacio propicio</w:t>
      </w:r>
      <w:r w:rsidR="001A5F04" w:rsidRPr="000A0ACF">
        <w:rPr>
          <w:rFonts w:cstheme="minorHAnsi"/>
        </w:rPr>
        <w:t>, en un clima de cordialidad y confianza,</w:t>
      </w:r>
      <w:r w:rsidRPr="000A0ACF">
        <w:rPr>
          <w:rFonts w:cstheme="minorHAnsi"/>
        </w:rPr>
        <w:t xml:space="preserve"> para </w:t>
      </w:r>
      <w:r w:rsidR="001E72A9" w:rsidRPr="000A0ACF">
        <w:rPr>
          <w:rFonts w:cstheme="minorHAnsi"/>
        </w:rPr>
        <w:t xml:space="preserve">fortalecer </w:t>
      </w:r>
      <w:r w:rsidR="000A0ACF" w:rsidRPr="000A0ACF">
        <w:rPr>
          <w:rFonts w:cstheme="minorHAnsi"/>
        </w:rPr>
        <w:t>al</w:t>
      </w:r>
      <w:r w:rsidR="001E72A9" w:rsidRPr="000A0ACF">
        <w:rPr>
          <w:rFonts w:cstheme="minorHAnsi"/>
        </w:rPr>
        <w:t xml:space="preserve"> </w:t>
      </w:r>
      <w:r w:rsidRPr="000A0ACF">
        <w:rPr>
          <w:rFonts w:cstheme="minorHAnsi"/>
        </w:rPr>
        <w:t xml:space="preserve">MERCOSUR </w:t>
      </w:r>
      <w:r w:rsidR="000A0ACF" w:rsidRPr="000A0ACF">
        <w:rPr>
          <w:rFonts w:cstheme="minorHAnsi"/>
        </w:rPr>
        <w:t>como</w:t>
      </w:r>
      <w:r w:rsidRPr="000A0ACF">
        <w:rPr>
          <w:rFonts w:cstheme="minorHAnsi"/>
        </w:rPr>
        <w:t xml:space="preserve"> una plataforma ágil de inserción de bienes y servicios en las corrientes comerciales más dinámicas.</w:t>
      </w:r>
      <w:r w:rsidR="00BF38D4" w:rsidRPr="000A0ACF">
        <w:rPr>
          <w:rFonts w:cstheme="minorHAnsi"/>
        </w:rPr>
        <w:t xml:space="preserve"> </w:t>
      </w:r>
    </w:p>
    <w:p w14:paraId="6A60F229" w14:textId="0DC3BC15" w:rsidR="007C4742" w:rsidRDefault="007C4742" w:rsidP="007C4742">
      <w:pPr>
        <w:spacing w:before="100" w:beforeAutospacing="1" w:after="100" w:afterAutospacing="1"/>
        <w:jc w:val="both"/>
        <w:rPr>
          <w:rFonts w:cstheme="minorHAnsi"/>
        </w:rPr>
      </w:pPr>
      <w:r>
        <w:rPr>
          <w:rFonts w:cstheme="minorHAnsi"/>
        </w:rPr>
        <w:t xml:space="preserve">El GMC tomó nota del compromiso </w:t>
      </w:r>
      <w:r w:rsidR="001A5F04">
        <w:rPr>
          <w:rFonts w:cstheme="minorHAnsi"/>
        </w:rPr>
        <w:t>de</w:t>
      </w:r>
      <w:r>
        <w:rPr>
          <w:rFonts w:cstheme="minorHAnsi"/>
        </w:rPr>
        <w:t xml:space="preserve"> los Cancilleres </w:t>
      </w:r>
      <w:r w:rsidR="001A5F04">
        <w:rPr>
          <w:rFonts w:cstheme="minorHAnsi"/>
        </w:rPr>
        <w:t xml:space="preserve">para </w:t>
      </w:r>
      <w:r>
        <w:rPr>
          <w:rFonts w:cstheme="minorHAnsi"/>
        </w:rPr>
        <w:t xml:space="preserve">con el fortalecimiento y la </w:t>
      </w:r>
      <w:r w:rsidR="001A5F04">
        <w:rPr>
          <w:rFonts w:cstheme="minorHAnsi"/>
        </w:rPr>
        <w:t>u</w:t>
      </w:r>
      <w:r>
        <w:rPr>
          <w:rFonts w:cstheme="minorHAnsi"/>
        </w:rPr>
        <w:t>nidad del MERCOSUR</w:t>
      </w:r>
      <w:r w:rsidR="001A5F04">
        <w:rPr>
          <w:rFonts w:cstheme="minorHAnsi"/>
        </w:rPr>
        <w:t>, así como de la</w:t>
      </w:r>
      <w:r>
        <w:rPr>
          <w:rFonts w:cstheme="minorHAnsi"/>
        </w:rPr>
        <w:t xml:space="preserve"> determinación </w:t>
      </w:r>
      <w:r w:rsidRPr="00074AE8">
        <w:rPr>
          <w:rFonts w:cstheme="minorHAnsi"/>
        </w:rPr>
        <w:t>de</w:t>
      </w:r>
      <w:r w:rsidR="001A5F04">
        <w:rPr>
          <w:rFonts w:cstheme="minorHAnsi"/>
        </w:rPr>
        <w:t xml:space="preserve"> los Estados Partes de</w:t>
      </w:r>
      <w:r w:rsidRPr="00074AE8">
        <w:rPr>
          <w:rFonts w:cstheme="minorHAnsi"/>
        </w:rPr>
        <w:t xml:space="preserve"> </w:t>
      </w:r>
      <w:r w:rsidR="001A5F04">
        <w:rPr>
          <w:rFonts w:cstheme="minorHAnsi"/>
        </w:rPr>
        <w:t xml:space="preserve">modernizar al MERCOSUR y </w:t>
      </w:r>
      <w:r w:rsidRPr="00074AE8">
        <w:rPr>
          <w:rFonts w:cstheme="minorHAnsi"/>
        </w:rPr>
        <w:t>explorar</w:t>
      </w:r>
      <w:r w:rsidR="001A5F04">
        <w:rPr>
          <w:rFonts w:cstheme="minorHAnsi"/>
        </w:rPr>
        <w:t>,</w:t>
      </w:r>
      <w:r w:rsidRPr="00074AE8">
        <w:rPr>
          <w:rFonts w:cstheme="minorHAnsi"/>
        </w:rPr>
        <w:t xml:space="preserve"> de manera coordinada, como aprovechar mejor las circunstancias de una coyuntura internacional </w:t>
      </w:r>
      <w:r w:rsidR="001A5F04">
        <w:rPr>
          <w:rFonts w:cstheme="minorHAnsi"/>
        </w:rPr>
        <w:t xml:space="preserve">que se presenta </w:t>
      </w:r>
      <w:r w:rsidRPr="00074AE8">
        <w:rPr>
          <w:rFonts w:cstheme="minorHAnsi"/>
        </w:rPr>
        <w:t>cambiante y desafiante.</w:t>
      </w:r>
    </w:p>
    <w:p w14:paraId="4015B3CE" w14:textId="77777777" w:rsidR="00E2650C" w:rsidRDefault="00E2650C" w:rsidP="00E2650C">
      <w:pPr>
        <w:widowControl w:val="0"/>
        <w:numPr>
          <w:ilvl w:val="1"/>
          <w:numId w:val="28"/>
        </w:numPr>
        <w:pBdr>
          <w:top w:val="none" w:sz="0" w:space="0" w:color="000000"/>
          <w:left w:val="none" w:sz="0" w:space="0" w:color="000000"/>
          <w:bottom w:val="none" w:sz="0" w:space="0" w:color="000000"/>
          <w:right w:val="none" w:sz="0" w:space="0" w:color="000000"/>
          <w:between w:val="none" w:sz="0" w:space="0" w:color="000000"/>
        </w:pBdr>
        <w:jc w:val="both"/>
        <w:rPr>
          <w:b/>
        </w:rPr>
      </w:pPr>
      <w:r w:rsidRPr="00D22BC4">
        <w:rPr>
          <w:b/>
        </w:rPr>
        <w:t>Ampliación Lista Nacional de Excepciones al Arancel Externo Común (AEC)</w:t>
      </w:r>
    </w:p>
    <w:p w14:paraId="286146FB" w14:textId="77777777" w:rsidR="001A5F04" w:rsidRDefault="001A5F04" w:rsidP="00E2650C">
      <w:pPr>
        <w:widowControl w:val="0"/>
        <w:pBdr>
          <w:top w:val="none" w:sz="0" w:space="0" w:color="000000"/>
          <w:left w:val="none" w:sz="0" w:space="0" w:color="000000"/>
          <w:bottom w:val="none" w:sz="0" w:space="0" w:color="000000"/>
          <w:right w:val="none" w:sz="0" w:space="0" w:color="000000"/>
          <w:between w:val="none" w:sz="0" w:space="0" w:color="000000"/>
        </w:pBdr>
        <w:jc w:val="both"/>
        <w:rPr>
          <w:rFonts w:cstheme="minorHAnsi"/>
        </w:rPr>
      </w:pPr>
    </w:p>
    <w:p w14:paraId="4E819132" w14:textId="02FCE323" w:rsidR="00AC63C7" w:rsidRDefault="00AC63C7" w:rsidP="00AC63C7">
      <w:pPr>
        <w:jc w:val="both"/>
      </w:pPr>
      <w:r w:rsidRPr="00AC63C7">
        <w:t xml:space="preserve">En virtud del consenso alcanzado por los Cancilleres de los Estados Partes del MERCOSUR sobre la necesidad de ampliar </w:t>
      </w:r>
      <w:r w:rsidR="00AF670B">
        <w:t xml:space="preserve">temporariamente en hasta 50 códigos </w:t>
      </w:r>
      <w:r w:rsidRPr="00AC63C7">
        <w:t xml:space="preserve">las Listas Nacionales de Excepciones al Arancel Externo Común, en la reunión celebrada en la Ciudad de Buenos Aires el 11 de abril de 2025, que quedó reflejado en el Comunicado de los Cancilleres de esa fecha, la Presidencia </w:t>
      </w:r>
      <w:r w:rsidRPr="007A14DE">
        <w:rPr>
          <w:i/>
          <w:iCs/>
        </w:rPr>
        <w:t>Pro Tempore</w:t>
      </w:r>
      <w:r w:rsidRPr="00AC63C7">
        <w:t xml:space="preserve"> Argentina remitió a los demás Estados Partes un </w:t>
      </w:r>
      <w:r w:rsidR="00BB6949">
        <w:t>p</w:t>
      </w:r>
      <w:r w:rsidRPr="00AC63C7">
        <w:t xml:space="preserve">royecto de Decisión “Modificación de la Decisión CMC N° 58/10” </w:t>
      </w:r>
      <w:r w:rsidRPr="007A14DE">
        <w:rPr>
          <w:b/>
          <w:bCs/>
        </w:rPr>
        <w:t>(</w:t>
      </w:r>
      <w:r w:rsidRPr="001E72A9">
        <w:rPr>
          <w:b/>
          <w:bCs/>
        </w:rPr>
        <w:t>Anexo IV</w:t>
      </w:r>
      <w:r w:rsidRPr="007A14DE">
        <w:rPr>
          <w:b/>
          <w:bCs/>
        </w:rPr>
        <w:t>)</w:t>
      </w:r>
      <w:r w:rsidRPr="00AC63C7">
        <w:t xml:space="preserve">. </w:t>
      </w:r>
    </w:p>
    <w:p w14:paraId="7BA80021" w14:textId="77777777" w:rsidR="00BB6949" w:rsidRPr="00AC63C7" w:rsidRDefault="00BB6949" w:rsidP="00AC63C7">
      <w:pPr>
        <w:jc w:val="both"/>
      </w:pPr>
    </w:p>
    <w:p w14:paraId="5BAC0D18" w14:textId="1FD5078E" w:rsidR="00AC63C7" w:rsidRPr="00AC63C7" w:rsidRDefault="00AC63C7" w:rsidP="00AC63C7">
      <w:pPr>
        <w:jc w:val="both"/>
      </w:pPr>
      <w:r w:rsidRPr="00AC63C7">
        <w:lastRenderedPageBreak/>
        <w:t xml:space="preserve">Dicho </w:t>
      </w:r>
      <w:r w:rsidR="007A14DE">
        <w:t>p</w:t>
      </w:r>
      <w:r w:rsidRPr="00AC63C7">
        <w:t xml:space="preserve">royecto </w:t>
      </w:r>
      <w:r w:rsidR="00004D88">
        <w:t>propone</w:t>
      </w:r>
      <w:r w:rsidRPr="00AC63C7">
        <w:t xml:space="preserve"> la ampliación</w:t>
      </w:r>
      <w:r w:rsidR="00AF670B">
        <w:t xml:space="preserve"> </w:t>
      </w:r>
      <w:r w:rsidRPr="00AC63C7">
        <w:t xml:space="preserve">en </w:t>
      </w:r>
      <w:r w:rsidR="00004D88">
        <w:t xml:space="preserve">hasta </w:t>
      </w:r>
      <w:r w:rsidRPr="00AC63C7">
        <w:t xml:space="preserve">50 </w:t>
      </w:r>
      <w:r w:rsidR="00BB6949">
        <w:t>c</w:t>
      </w:r>
      <w:r w:rsidRPr="00AC63C7">
        <w:t xml:space="preserve">ódigos NCM de las Listas Nacionales de Excepciones de Argentina, Brasil, Paraguay y Uruguay. </w:t>
      </w:r>
    </w:p>
    <w:p w14:paraId="22657684" w14:textId="77777777" w:rsidR="00AC63C7" w:rsidRDefault="00AC63C7" w:rsidP="00AC63C7">
      <w:pPr>
        <w:jc w:val="both"/>
      </w:pPr>
    </w:p>
    <w:p w14:paraId="727F3B11" w14:textId="7C5F7A77" w:rsidR="00AC63C7" w:rsidRPr="00AC63C7" w:rsidRDefault="00AC63C7" w:rsidP="00AC63C7">
      <w:pPr>
        <w:jc w:val="both"/>
      </w:pPr>
      <w:r w:rsidRPr="00AC63C7">
        <w:t xml:space="preserve">En la presente reunión del GMC, las delegaciones analizaron el </w:t>
      </w:r>
      <w:r w:rsidR="00BB6949">
        <w:t>p</w:t>
      </w:r>
      <w:r w:rsidRPr="00AC63C7">
        <w:t>royecto de Decisión, propuesto por Argentina. Como resultado de ese análisis, se incorporaron los ajustes sugeridos por las delegaciones de Paraguay y de Uruguay, los que fueron acompañados por la delegación de Argentina.</w:t>
      </w:r>
    </w:p>
    <w:p w14:paraId="6A687088" w14:textId="77777777" w:rsidR="00AC63C7" w:rsidRDefault="00AC63C7" w:rsidP="00AC63C7">
      <w:pPr>
        <w:jc w:val="both"/>
      </w:pPr>
    </w:p>
    <w:p w14:paraId="1609E3DA" w14:textId="32314812" w:rsidR="00AC63C7" w:rsidRDefault="00AC63C7" w:rsidP="00AC63C7">
      <w:pPr>
        <w:jc w:val="both"/>
      </w:pPr>
      <w:r w:rsidRPr="00AC63C7">
        <w:t xml:space="preserve">Las delegaciones de Argentina, Paraguay y Uruguay manifestaron su conformidad con el </w:t>
      </w:r>
      <w:r w:rsidR="00BB6949">
        <w:t>p</w:t>
      </w:r>
      <w:r w:rsidRPr="00AC63C7">
        <w:t xml:space="preserve">royecto de Decisión revisado </w:t>
      </w:r>
      <w:r w:rsidRPr="007A14DE">
        <w:rPr>
          <w:b/>
          <w:bCs/>
        </w:rPr>
        <w:t>(</w:t>
      </w:r>
      <w:r w:rsidRPr="00E9581E">
        <w:rPr>
          <w:b/>
          <w:bCs/>
        </w:rPr>
        <w:t>Anexo V</w:t>
      </w:r>
      <w:r w:rsidRPr="00AC63C7">
        <w:rPr>
          <w:b/>
          <w:bCs/>
        </w:rPr>
        <w:t>)</w:t>
      </w:r>
      <w:r w:rsidRPr="00AC63C7">
        <w:t xml:space="preserve">. </w:t>
      </w:r>
    </w:p>
    <w:p w14:paraId="60C2DAC1" w14:textId="77777777" w:rsidR="00AC63C7" w:rsidRPr="00AC63C7" w:rsidRDefault="00AC63C7" w:rsidP="00AC63C7">
      <w:pPr>
        <w:jc w:val="both"/>
      </w:pPr>
    </w:p>
    <w:p w14:paraId="1476F299" w14:textId="4009CE6E" w:rsidR="00AC63C7" w:rsidRPr="00AC63C7" w:rsidRDefault="00AC63C7" w:rsidP="00AC63C7">
      <w:pPr>
        <w:jc w:val="both"/>
      </w:pPr>
      <w:r w:rsidRPr="00AC63C7">
        <w:t xml:space="preserve">Sobre el </w:t>
      </w:r>
      <w:r w:rsidR="00BB6949">
        <w:t>p</w:t>
      </w:r>
      <w:r w:rsidRPr="00AC63C7">
        <w:t xml:space="preserve">royecto de Decisión, la delegación de Brasil expresó que está realizando las consultas necesarias, de acuerdo a sus procedimientos internos, y que presentará su respuesta a la brevedad. </w:t>
      </w:r>
    </w:p>
    <w:p w14:paraId="1BF99427" w14:textId="77777777" w:rsidR="004F18B6" w:rsidRPr="00AC63C7" w:rsidRDefault="004F18B6" w:rsidP="004F18B6">
      <w:pPr>
        <w:widowControl w:val="0"/>
        <w:pBdr>
          <w:top w:val="none" w:sz="0" w:space="0" w:color="000000"/>
          <w:left w:val="none" w:sz="0" w:space="0" w:color="000000"/>
          <w:bottom w:val="none" w:sz="0" w:space="0" w:color="000000"/>
          <w:right w:val="none" w:sz="0" w:space="0" w:color="000000"/>
          <w:between w:val="none" w:sz="0" w:space="0" w:color="000000"/>
        </w:pBdr>
        <w:jc w:val="both"/>
        <w:rPr>
          <w:rFonts w:cstheme="minorHAnsi"/>
        </w:rPr>
      </w:pPr>
    </w:p>
    <w:p w14:paraId="7A672538" w14:textId="77777777" w:rsidR="00E2650C" w:rsidRDefault="00E2650C" w:rsidP="00E2650C">
      <w:pPr>
        <w:widowControl w:val="0"/>
        <w:numPr>
          <w:ilvl w:val="1"/>
          <w:numId w:val="28"/>
        </w:numPr>
        <w:pBdr>
          <w:top w:val="none" w:sz="0" w:space="0" w:color="000000"/>
          <w:left w:val="none" w:sz="0" w:space="0" w:color="000000"/>
          <w:bottom w:val="none" w:sz="0" w:space="0" w:color="000000"/>
          <w:right w:val="none" w:sz="0" w:space="0" w:color="000000"/>
          <w:between w:val="none" w:sz="0" w:space="0" w:color="000000"/>
        </w:pBdr>
        <w:jc w:val="both"/>
        <w:rPr>
          <w:b/>
        </w:rPr>
      </w:pPr>
      <w:r w:rsidRPr="00D22BC4">
        <w:rPr>
          <w:b/>
        </w:rPr>
        <w:t xml:space="preserve">Modernización del MERCOSUR </w:t>
      </w:r>
    </w:p>
    <w:p w14:paraId="620BDBD7" w14:textId="77777777" w:rsidR="00E2650C" w:rsidRPr="009E1B3F" w:rsidRDefault="00E2650C" w:rsidP="00E2650C">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7A1A7066" w14:textId="6E8672CB" w:rsidR="00965FB1" w:rsidRPr="00965FB1" w:rsidRDefault="00BE2F6F" w:rsidP="00965FB1">
      <w:pPr>
        <w:widowControl w:val="0"/>
        <w:jc w:val="both"/>
      </w:pPr>
      <w:r>
        <w:rPr>
          <w:rFonts w:cstheme="minorHAnsi"/>
        </w:rPr>
        <w:t>En atención a la instrucción impartida por los Cancilleres de los Estados Partes del MERCOSUR a los Coordinadores Nacionales, el GMC</w:t>
      </w:r>
      <w:r w:rsidR="00965FB1">
        <w:rPr>
          <w:rFonts w:cstheme="minorHAnsi"/>
        </w:rPr>
        <w:t xml:space="preserve"> </w:t>
      </w:r>
      <w:r w:rsidR="0019637B">
        <w:rPr>
          <w:rFonts w:cstheme="minorHAnsi"/>
        </w:rPr>
        <w:t xml:space="preserve">continuó </w:t>
      </w:r>
      <w:r w:rsidR="006B7CE0">
        <w:rPr>
          <w:rFonts w:cstheme="minorHAnsi"/>
        </w:rPr>
        <w:t>la</w:t>
      </w:r>
      <w:r w:rsidR="00965FB1">
        <w:rPr>
          <w:rFonts w:cstheme="minorHAnsi"/>
        </w:rPr>
        <w:t xml:space="preserve"> discusión </w:t>
      </w:r>
      <w:r w:rsidR="0019637B">
        <w:rPr>
          <w:rFonts w:cstheme="minorHAnsi"/>
        </w:rPr>
        <w:t>sobre</w:t>
      </w:r>
      <w:r w:rsidR="00965FB1">
        <w:rPr>
          <w:rFonts w:cstheme="minorHAnsi"/>
        </w:rPr>
        <w:t xml:space="preserve"> alternativas para la modernización del MERCOSUR.</w:t>
      </w:r>
    </w:p>
    <w:p w14:paraId="612B4DB8" w14:textId="77777777" w:rsidR="00965FB1" w:rsidRPr="00965FB1" w:rsidRDefault="00965FB1" w:rsidP="00965FB1">
      <w:pPr>
        <w:widowControl w:val="0"/>
        <w:jc w:val="both"/>
      </w:pPr>
    </w:p>
    <w:p w14:paraId="0E64D8BF" w14:textId="7A42B0F7" w:rsidR="00965FB1" w:rsidRPr="00965FB1" w:rsidRDefault="00965FB1" w:rsidP="00965FB1">
      <w:pPr>
        <w:jc w:val="both"/>
      </w:pPr>
      <w:r w:rsidRPr="00965FB1">
        <w:t xml:space="preserve">La delegación de Argentina presentó el </w:t>
      </w:r>
      <w:r w:rsidR="001119ED">
        <w:t>p</w:t>
      </w:r>
      <w:r w:rsidRPr="00965FB1">
        <w:t>royecto de Decisión sobre Relacionamiento Externo</w:t>
      </w:r>
      <w:r w:rsidR="006B7CE0">
        <w:t xml:space="preserve"> </w:t>
      </w:r>
      <w:r w:rsidR="006B7CE0" w:rsidRPr="00E9581E">
        <w:rPr>
          <w:b/>
        </w:rPr>
        <w:t>(Anexo V</w:t>
      </w:r>
      <w:r w:rsidR="002E1F22" w:rsidRPr="00E9581E">
        <w:rPr>
          <w:b/>
        </w:rPr>
        <w:t>I</w:t>
      </w:r>
      <w:r w:rsidR="006B7CE0" w:rsidRPr="00E9581E">
        <w:rPr>
          <w:b/>
        </w:rPr>
        <w:t>)</w:t>
      </w:r>
      <w:r w:rsidR="001119ED" w:rsidRPr="00E9581E">
        <w:t>,</w:t>
      </w:r>
      <w:r w:rsidRPr="00965FB1">
        <w:t xml:space="preserve"> </w:t>
      </w:r>
      <w:r>
        <w:t xml:space="preserve">adelantado </w:t>
      </w:r>
      <w:r w:rsidRPr="00965FB1">
        <w:t>en ocasión de la reunión informal de Coordinadores Nacionales del 11 de marzo pasado</w:t>
      </w:r>
      <w:r w:rsidR="001119ED">
        <w:t>. T</w:t>
      </w:r>
      <w:r w:rsidR="00192EF1">
        <w:t xml:space="preserve">eniendo presente que algunos de los Estados Partes del </w:t>
      </w:r>
      <w:r w:rsidR="00F7182D">
        <w:t xml:space="preserve">MERCOSUR </w:t>
      </w:r>
      <w:r w:rsidR="00192EF1">
        <w:t>ha</w:t>
      </w:r>
      <w:r w:rsidR="00F7182D">
        <w:t>n</w:t>
      </w:r>
      <w:r w:rsidR="00192EF1">
        <w:t xml:space="preserve"> suscripto, de forma individual, acuerdos de preferencias comerciales con terceros países, en el proyecto de Argentina se </w:t>
      </w:r>
      <w:r w:rsidR="000A087D">
        <w:t>establece</w:t>
      </w:r>
      <w:r w:rsidR="00192EF1">
        <w:t xml:space="preserve"> un mecanismo de transparencia por el </w:t>
      </w:r>
      <w:r>
        <w:t>que los Estados Partes manten</w:t>
      </w:r>
      <w:r w:rsidR="000A087D">
        <w:t>drán</w:t>
      </w:r>
      <w:r>
        <w:t xml:space="preserve"> informado al </w:t>
      </w:r>
      <w:r w:rsidRPr="00965FB1">
        <w:t>G</w:t>
      </w:r>
      <w:r>
        <w:t xml:space="preserve">MC </w:t>
      </w:r>
      <w:r w:rsidR="000A087D">
        <w:t xml:space="preserve">respecto </w:t>
      </w:r>
      <w:r>
        <w:t xml:space="preserve">de los acuerdos comerciales preferenciales de </w:t>
      </w:r>
      <w:r w:rsidRPr="00965FB1">
        <w:t xml:space="preserve">acceso a mercados que </w:t>
      </w:r>
      <w:r>
        <w:t xml:space="preserve">negocien y/o </w:t>
      </w:r>
      <w:r w:rsidRPr="00965FB1">
        <w:t>suscriban, de forma individual</w:t>
      </w:r>
      <w:r>
        <w:t xml:space="preserve"> o </w:t>
      </w:r>
      <w:proofErr w:type="spellStart"/>
      <w:r>
        <w:t>pluriestatal</w:t>
      </w:r>
      <w:proofErr w:type="spellEnd"/>
      <w:r>
        <w:t>,</w:t>
      </w:r>
      <w:r w:rsidRPr="00965FB1">
        <w:t xml:space="preserve"> con terceros países o grupos de países.</w:t>
      </w:r>
    </w:p>
    <w:p w14:paraId="4DDBDB59" w14:textId="77777777" w:rsidR="00965FB1" w:rsidRPr="00965FB1" w:rsidRDefault="00965FB1" w:rsidP="00965FB1">
      <w:pPr>
        <w:jc w:val="both"/>
      </w:pPr>
    </w:p>
    <w:p w14:paraId="25BE754F" w14:textId="6AC10821" w:rsidR="00F47780" w:rsidRDefault="00F47780" w:rsidP="00F47780">
      <w:pPr>
        <w:widowControl w:val="0"/>
        <w:jc w:val="both"/>
      </w:pPr>
      <w:r w:rsidRPr="0006449E">
        <w:t>La delegación de Uruguay manifestó que una de las fortalezas del MERCOSUR se encuentra en la negociación conjunta</w:t>
      </w:r>
      <w:r w:rsidR="00C3243D">
        <w:t xml:space="preserve"> y</w:t>
      </w:r>
      <w:r w:rsidRPr="0006449E">
        <w:t xml:space="preserve"> en ese sentido destacó el cierre de las negociaciones con la Unión Europea. No obstante, mantiene preocupación en relación a los ritmos de los avances y al alcance de las </w:t>
      </w:r>
      <w:r w:rsidR="00012FD4" w:rsidRPr="0006449E">
        <w:t>negociaciones en curso</w:t>
      </w:r>
      <w:r w:rsidRPr="0006449E">
        <w:t xml:space="preserve">, en particular por la ausencia en la agenda a corto plazo de negociaciones comercialmente relevantes para Uruguay. En ese sentido, considera que sigue existiendo espacio para alcanzar una solución consensuada que otorgue la flexibilidad suficiente para contemplar las diferentes velocidades que requieren los países, y por </w:t>
      </w:r>
      <w:r w:rsidR="00012FD4" w:rsidRPr="0006449E">
        <w:t xml:space="preserve">lo </w:t>
      </w:r>
      <w:r w:rsidRPr="0006449E">
        <w:t>tanto manifestó su disposición a trabajar sobre la propuesta de Argentina</w:t>
      </w:r>
      <w:r w:rsidR="00012FD4" w:rsidRPr="0006449E">
        <w:t>.</w:t>
      </w:r>
    </w:p>
    <w:p w14:paraId="252EEBA3" w14:textId="77777777" w:rsidR="00F47780" w:rsidRDefault="00F47780" w:rsidP="00965FB1">
      <w:pPr>
        <w:jc w:val="both"/>
      </w:pPr>
    </w:p>
    <w:p w14:paraId="067AB582" w14:textId="0402E770" w:rsidR="00965FB1" w:rsidRDefault="006B7CE0" w:rsidP="00965FB1">
      <w:pPr>
        <w:jc w:val="both"/>
      </w:pPr>
      <w:r>
        <w:t>La</w:t>
      </w:r>
      <w:r w:rsidR="00F47780">
        <w:t>s</w:t>
      </w:r>
      <w:r>
        <w:t xml:space="preserve"> delegaci</w:t>
      </w:r>
      <w:r w:rsidR="00F47780">
        <w:t>ones</w:t>
      </w:r>
      <w:r>
        <w:t xml:space="preserve"> de Argentina </w:t>
      </w:r>
      <w:r w:rsidR="00F47780">
        <w:t xml:space="preserve">y Uruguay indicaron </w:t>
      </w:r>
      <w:r w:rsidR="00AF30E2">
        <w:t>la necesidad de contar con un</w:t>
      </w:r>
      <w:r>
        <w:t xml:space="preserve"> </w:t>
      </w:r>
      <w:r w:rsidR="00965FB1" w:rsidRPr="00965FB1">
        <w:t>mecanismo</w:t>
      </w:r>
      <w:r>
        <w:t xml:space="preserve"> de información</w:t>
      </w:r>
      <w:r w:rsidR="00965FB1" w:rsidRPr="00965FB1">
        <w:t xml:space="preserve">, basado en el principio de transparencia, </w:t>
      </w:r>
      <w:r w:rsidR="00AF30E2">
        <w:t xml:space="preserve">que </w:t>
      </w:r>
      <w:r w:rsidR="00965FB1" w:rsidRPr="00965FB1">
        <w:t xml:space="preserve">coadyuvará a otorgar certidumbre a los operadores económicos de la región y del mundo respecto al compromiso de </w:t>
      </w:r>
      <w:r>
        <w:t xml:space="preserve">los Estados Partes del MERCOSUR </w:t>
      </w:r>
      <w:r w:rsidR="00965FB1" w:rsidRPr="00965FB1">
        <w:t>con un esquema de integración</w:t>
      </w:r>
      <w:r>
        <w:t xml:space="preserve"> actualizado</w:t>
      </w:r>
      <w:r w:rsidR="00965FB1" w:rsidRPr="00965FB1">
        <w:t>.</w:t>
      </w:r>
    </w:p>
    <w:p w14:paraId="37605984" w14:textId="77777777" w:rsidR="00323AD4" w:rsidRDefault="00323AD4" w:rsidP="00965FB1">
      <w:pPr>
        <w:jc w:val="both"/>
      </w:pPr>
    </w:p>
    <w:p w14:paraId="09B25B5C" w14:textId="77777777" w:rsidR="00323AD4" w:rsidRDefault="00323AD4" w:rsidP="00323AD4">
      <w:pPr>
        <w:jc w:val="both"/>
      </w:pPr>
      <w:r>
        <w:lastRenderedPageBreak/>
        <w:t>La delegación de Paraguay sostiene que la modernización del MERCOSUR debe concebirse como un proceso orientado al fortalecimiento interno y a la profundización de la integración regional, a través de la eliminación de las restricciones al comercio intrazona, a la consolidación de cadenas de valor regionales, la armonización normativa entre los Estados Partes, el mejoramiento de las Áreas de Control Integrado y en una mayor integración física y digital de los Estados Partes.</w:t>
      </w:r>
    </w:p>
    <w:p w14:paraId="1A677D84" w14:textId="77777777" w:rsidR="00323AD4" w:rsidRDefault="00323AD4" w:rsidP="00323AD4">
      <w:pPr>
        <w:jc w:val="both"/>
      </w:pPr>
    </w:p>
    <w:p w14:paraId="6946A5F8" w14:textId="678546A9" w:rsidR="00323AD4" w:rsidRPr="00E60F7C" w:rsidRDefault="00323AD4" w:rsidP="00323AD4">
      <w:pPr>
        <w:jc w:val="both"/>
      </w:pPr>
      <w:r w:rsidRPr="00E60F7C">
        <w:t xml:space="preserve">Asimismo, </w:t>
      </w:r>
      <w:r w:rsidR="00E60F7C">
        <w:t xml:space="preserve">las delegaciones de Brasil y Paraguay </w:t>
      </w:r>
      <w:r w:rsidRPr="00E60F7C">
        <w:t>record</w:t>
      </w:r>
      <w:r w:rsidR="00E60F7C">
        <w:t>aron</w:t>
      </w:r>
      <w:r w:rsidRPr="00E60F7C">
        <w:t xml:space="preserve"> que, a nivel de Cancilleres, no existe acuerdo para alterar el modelo de negociaciones basado en los principios fundacionales que rigen las negociaciones en bloque y la toma de decisiones por consenso, consagrados en el Tratado de Asunción y el Protocolo de </w:t>
      </w:r>
      <w:proofErr w:type="spellStart"/>
      <w:r w:rsidRPr="00E60F7C">
        <w:t>Ouro</w:t>
      </w:r>
      <w:proofErr w:type="spellEnd"/>
      <w:r w:rsidRPr="00E60F7C">
        <w:t xml:space="preserve"> </w:t>
      </w:r>
      <w:proofErr w:type="spellStart"/>
      <w:r w:rsidRPr="00E60F7C">
        <w:t>Preto</w:t>
      </w:r>
      <w:proofErr w:type="spellEnd"/>
      <w:r w:rsidRPr="00E60F7C">
        <w:t>.</w:t>
      </w:r>
    </w:p>
    <w:p w14:paraId="71F514E4" w14:textId="397002BB" w:rsidR="00F0311C" w:rsidRDefault="00F0311C" w:rsidP="00323AD4">
      <w:pPr>
        <w:jc w:val="both"/>
      </w:pPr>
    </w:p>
    <w:p w14:paraId="71E09B71" w14:textId="3D1FB1C5" w:rsidR="00192EF1" w:rsidRPr="00192EF1" w:rsidRDefault="00E60F7C" w:rsidP="006608D1">
      <w:pPr>
        <w:jc w:val="both"/>
      </w:pPr>
      <w:r w:rsidRPr="00E60F7C">
        <w:t xml:space="preserve">La delegación de Brasil, al compartir la </w:t>
      </w:r>
      <w:r w:rsidR="001C152C">
        <w:t xml:space="preserve">posición </w:t>
      </w:r>
      <w:r w:rsidRPr="00E60F7C">
        <w:t xml:space="preserve">expuesta por Paraguay, añadió su visión de un MERCOSUR moderno, que no se restringe a las negociaciones externas. Brasil recordó que la conclusión del </w:t>
      </w:r>
      <w:r w:rsidR="00287A10">
        <w:t>A</w:t>
      </w:r>
      <w:r w:rsidRPr="00E60F7C">
        <w:t>cuerdo con la UE</w:t>
      </w:r>
      <w:r w:rsidR="004779A7">
        <w:t xml:space="preserve">, </w:t>
      </w:r>
      <w:r w:rsidR="004779A7" w:rsidRPr="00E60F7C">
        <w:t xml:space="preserve">uno de los mayores </w:t>
      </w:r>
      <w:r w:rsidR="004779A7">
        <w:t>A</w:t>
      </w:r>
      <w:r w:rsidR="004779A7" w:rsidRPr="00E60F7C">
        <w:t>cuerdos comerciales del mundo</w:t>
      </w:r>
      <w:r w:rsidR="004779A7">
        <w:t>,</w:t>
      </w:r>
      <w:r w:rsidRPr="00E60F7C">
        <w:t xml:space="preserve"> </w:t>
      </w:r>
      <w:r w:rsidR="00222682">
        <w:t>sólo</w:t>
      </w:r>
      <w:r w:rsidRPr="00E60F7C">
        <w:t xml:space="preserve"> fue posible porque los Estados Partes negociaron en conjunto. Para Brasil, un MERCOSUR moderno igualmente incluye la toma de decisiones por consenso, el efectivo libre comercio entre sus socios, por medio de la inclusión de los sectores actualmente exclu</w:t>
      </w:r>
      <w:r w:rsidR="00192EF1">
        <w:t>i</w:t>
      </w:r>
      <w:r w:rsidRPr="00E60F7C">
        <w:t>dos -azucarero y automotor-</w:t>
      </w:r>
      <w:r w:rsidR="00B3009E">
        <w:t>, menos perforaciones en el AEC, el respeto a las normas vigentes</w:t>
      </w:r>
      <w:r w:rsidRPr="00E60F7C">
        <w:t xml:space="preserve"> y un FOCEM renovado, activo y funcional, con la plena participación de su más nuevo Estado Parte, Bolivia. Sobre el MERCOSUR político y social, la delegación manifestó la importancia de que los institutos del bloque, el ISM y el IPPD</w:t>
      </w:r>
      <w:r w:rsidR="00C3243D">
        <w:t>DH</w:t>
      </w:r>
      <w:r w:rsidRPr="00E60F7C">
        <w:t>H, sean dotados de recursos y de una estructura administrativa adecuada.</w:t>
      </w:r>
    </w:p>
    <w:p w14:paraId="57F57B01" w14:textId="77777777" w:rsidR="00192EF1" w:rsidRPr="00E60F7C" w:rsidRDefault="00192EF1" w:rsidP="006608D1">
      <w:pPr>
        <w:jc w:val="both"/>
        <w:rPr>
          <w:highlight w:val="yellow"/>
        </w:rPr>
      </w:pPr>
    </w:p>
    <w:p w14:paraId="27037196" w14:textId="2DAE56CC" w:rsidR="005144BD" w:rsidRDefault="005144BD" w:rsidP="006608D1">
      <w:pPr>
        <w:jc w:val="both"/>
      </w:pPr>
      <w:r>
        <w:t xml:space="preserve">La delegación de </w:t>
      </w:r>
      <w:r w:rsidRPr="005144BD">
        <w:t>Bolivia manifestó que el proceso de modernización del MERCOSUR debe responder a las necesidades de todos los Estados Partes, de manera equitativa y promoviendo una integración más profunda, democrática e inclusiva y que la apertura de nuevos acuerdos con otras regiones y bloques económicos, debe ser en el marco de la unidad del MERCOSUR como la base de nuestra integración.</w:t>
      </w:r>
    </w:p>
    <w:p w14:paraId="4C28CCAD" w14:textId="401B1FB8" w:rsidR="00F0311C" w:rsidRPr="00965FB1" w:rsidRDefault="00F0311C" w:rsidP="00323AD4">
      <w:pPr>
        <w:jc w:val="both"/>
      </w:pPr>
    </w:p>
    <w:p w14:paraId="0537398F" w14:textId="77777777" w:rsidR="005F30B7" w:rsidRDefault="005F30B7" w:rsidP="006B7CE0">
      <w:pPr>
        <w:widowControl w:val="0"/>
        <w:jc w:val="both"/>
      </w:pPr>
    </w:p>
    <w:p w14:paraId="2F02FFEF" w14:textId="37C5E91B" w:rsidR="00DE50E0" w:rsidRPr="00D22BC4" w:rsidRDefault="001A4A6D" w:rsidP="00DE50E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D22BC4">
        <w:rPr>
          <w:b/>
        </w:rPr>
        <w:t>AGENDA ECONÓMICO</w:t>
      </w:r>
      <w:r w:rsidR="00F47780">
        <w:rPr>
          <w:b/>
        </w:rPr>
        <w:t xml:space="preserve"> </w:t>
      </w:r>
      <w:r w:rsidRPr="00D22BC4">
        <w:rPr>
          <w:b/>
        </w:rPr>
        <w:t>-</w:t>
      </w:r>
      <w:r w:rsidR="00F47780">
        <w:rPr>
          <w:b/>
        </w:rPr>
        <w:t xml:space="preserve"> </w:t>
      </w:r>
      <w:r w:rsidRPr="00D22BC4">
        <w:rPr>
          <w:b/>
        </w:rPr>
        <w:t>COMERCIAL</w:t>
      </w:r>
    </w:p>
    <w:p w14:paraId="6F6B8FD8" w14:textId="77777777" w:rsidR="005738CE" w:rsidRPr="00D22BC4" w:rsidRDefault="005738C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10885E99" w14:textId="62D285C4" w:rsidR="00DE50E0" w:rsidRPr="00D22BC4" w:rsidRDefault="003E3813" w:rsidP="00DE50E0">
      <w:pPr>
        <w:pStyle w:val="Prrafodelista"/>
        <w:numPr>
          <w:ilvl w:val="1"/>
          <w:numId w:val="1"/>
        </w:numPr>
        <w:ind w:left="1134" w:hanging="567"/>
        <w:rPr>
          <w:b/>
          <w:bCs/>
        </w:rPr>
      </w:pPr>
      <w:r w:rsidRPr="00D22BC4">
        <w:rPr>
          <w:b/>
          <w:bCs/>
        </w:rPr>
        <w:t>Arancel Externo Común</w:t>
      </w:r>
      <w:r w:rsidR="00F16A3C" w:rsidRPr="00D22BC4">
        <w:rPr>
          <w:b/>
          <w:bCs/>
        </w:rPr>
        <w:t xml:space="preserve"> (AEC)</w:t>
      </w:r>
      <w:r w:rsidR="00A06453" w:rsidRPr="00D22BC4">
        <w:rPr>
          <w:b/>
          <w:bCs/>
        </w:rPr>
        <w:t xml:space="preserve"> </w:t>
      </w:r>
      <w:r w:rsidR="00DE50E0" w:rsidRPr="00D22BC4">
        <w:rPr>
          <w:b/>
          <w:bCs/>
        </w:rPr>
        <w:tab/>
      </w:r>
    </w:p>
    <w:p w14:paraId="5C5BAE64" w14:textId="77777777" w:rsidR="003E3E1F" w:rsidRPr="00D22BC4" w:rsidRDefault="003E3E1F" w:rsidP="00041B49">
      <w:pPr>
        <w:rPr>
          <w:b/>
          <w:bCs/>
        </w:rPr>
      </w:pPr>
    </w:p>
    <w:p w14:paraId="2C4237E6" w14:textId="16FF63E1" w:rsidR="00F135A8" w:rsidRDefault="00091441" w:rsidP="00A63CCD">
      <w:pPr>
        <w:jc w:val="both"/>
        <w:rPr>
          <w:rFonts w:cstheme="minorHAnsi"/>
        </w:rPr>
      </w:pPr>
      <w:r w:rsidRPr="00A63CCD">
        <w:rPr>
          <w:rFonts w:cstheme="minorHAnsi"/>
        </w:rPr>
        <w:t>La PPT</w:t>
      </w:r>
      <w:r w:rsidR="007B4C50" w:rsidRPr="00A63CCD">
        <w:rPr>
          <w:rFonts w:cstheme="minorHAnsi"/>
        </w:rPr>
        <w:t>A</w:t>
      </w:r>
      <w:r w:rsidRPr="00A63CCD">
        <w:rPr>
          <w:rFonts w:cstheme="minorHAnsi"/>
        </w:rPr>
        <w:t xml:space="preserve"> informó que convoc</w:t>
      </w:r>
      <w:r w:rsidR="007B4C50" w:rsidRPr="00A63CCD">
        <w:rPr>
          <w:rFonts w:cstheme="minorHAnsi"/>
        </w:rPr>
        <w:t>ará</w:t>
      </w:r>
      <w:r w:rsidRPr="00A63CCD">
        <w:rPr>
          <w:rFonts w:cstheme="minorHAnsi"/>
        </w:rPr>
        <w:t xml:space="preserve"> a la XXVII</w:t>
      </w:r>
      <w:r w:rsidR="007B4C50" w:rsidRPr="00A63CCD">
        <w:rPr>
          <w:rFonts w:cstheme="minorHAnsi"/>
        </w:rPr>
        <w:t>I</w:t>
      </w:r>
      <w:r w:rsidRPr="00A63CCD">
        <w:rPr>
          <w:rFonts w:cstheme="minorHAnsi"/>
        </w:rPr>
        <w:t xml:space="preserve"> reunión ordinaria del Grupo Ad Hoc para Examinar la Consistencia y Dispersión del AEC (GAHAEC) para</w:t>
      </w:r>
      <w:r w:rsidR="00022134">
        <w:rPr>
          <w:rFonts w:cstheme="minorHAnsi"/>
        </w:rPr>
        <w:t xml:space="preserve"> su realización en la semana del 12 de mayo</w:t>
      </w:r>
      <w:r w:rsidR="00F135A8">
        <w:rPr>
          <w:rFonts w:cstheme="minorHAnsi"/>
        </w:rPr>
        <w:t>.</w:t>
      </w:r>
    </w:p>
    <w:p w14:paraId="72D01B73" w14:textId="77777777" w:rsidR="00F135A8" w:rsidRDefault="00F135A8" w:rsidP="00A63CCD">
      <w:pPr>
        <w:jc w:val="both"/>
        <w:rPr>
          <w:rFonts w:cstheme="minorHAnsi"/>
        </w:rPr>
      </w:pPr>
    </w:p>
    <w:p w14:paraId="089C3DBF" w14:textId="7C90D677" w:rsidR="00013FC2" w:rsidRPr="00684D32" w:rsidRDefault="00F135A8" w:rsidP="00013FC2">
      <w:pPr>
        <w:jc w:val="both"/>
        <w:rPr>
          <w:rFonts w:eastAsia="Times New Roman"/>
          <w:lang w:val="es-ES" w:eastAsia="es-ES"/>
        </w:rPr>
      </w:pPr>
      <w:r w:rsidRPr="00F135A8">
        <w:rPr>
          <w:rFonts w:eastAsia="Times New Roman"/>
          <w:lang w:val="es-ES" w:eastAsia="es-ES"/>
        </w:rPr>
        <w:t>Las delegaciones coincidieron en la importancia de acordar</w:t>
      </w:r>
      <w:r w:rsidR="00185729">
        <w:rPr>
          <w:rFonts w:eastAsia="Times New Roman"/>
          <w:lang w:val="es-ES" w:eastAsia="es-ES"/>
        </w:rPr>
        <w:t xml:space="preserve"> </w:t>
      </w:r>
      <w:r w:rsidRPr="00F135A8">
        <w:rPr>
          <w:rFonts w:eastAsia="Times New Roman"/>
          <w:lang w:val="es-ES" w:eastAsia="es-ES"/>
        </w:rPr>
        <w:t>una metodología y criterios comunes para el</w:t>
      </w:r>
      <w:r w:rsidR="00022134">
        <w:rPr>
          <w:rFonts w:eastAsia="Times New Roman"/>
          <w:lang w:val="es-ES" w:eastAsia="es-ES"/>
        </w:rPr>
        <w:t xml:space="preserve"> intercambio de información sobre los aranceles </w:t>
      </w:r>
      <w:r w:rsidRPr="00F135A8">
        <w:rPr>
          <w:rFonts w:eastAsia="Times New Roman"/>
          <w:lang w:val="es-ES" w:eastAsia="es-ES"/>
        </w:rPr>
        <w:t>efectivamente aplicado</w:t>
      </w:r>
      <w:r w:rsidR="00022134">
        <w:rPr>
          <w:rFonts w:eastAsia="Times New Roman"/>
          <w:lang w:val="es-ES" w:eastAsia="es-ES"/>
        </w:rPr>
        <w:t>s</w:t>
      </w:r>
      <w:r w:rsidR="00684D32">
        <w:rPr>
          <w:rFonts w:eastAsia="Times New Roman"/>
          <w:lang w:val="es-ES" w:eastAsia="es-ES"/>
        </w:rPr>
        <w:t xml:space="preserve"> por los Estados Partes, </w:t>
      </w:r>
      <w:r w:rsidR="00921900">
        <w:rPr>
          <w:rFonts w:eastAsia="Times New Roman"/>
          <w:lang w:val="es-ES" w:eastAsia="es-ES"/>
        </w:rPr>
        <w:t>subrayando que este insumo</w:t>
      </w:r>
      <w:r w:rsidR="00022134" w:rsidRPr="00684D32">
        <w:rPr>
          <w:rFonts w:eastAsia="Times New Roman"/>
          <w:lang w:val="es-ES" w:eastAsia="es-ES"/>
        </w:rPr>
        <w:t xml:space="preserve"> resulta esencial para poder evaluar la situación real de aplicación del AEC en nuestro proceso de integración</w:t>
      </w:r>
      <w:r w:rsidR="00684D32">
        <w:rPr>
          <w:rFonts w:eastAsia="Times New Roman"/>
          <w:lang w:val="es-ES" w:eastAsia="es-ES"/>
        </w:rPr>
        <w:t xml:space="preserve"> </w:t>
      </w:r>
      <w:r w:rsidR="00921900">
        <w:rPr>
          <w:rFonts w:eastAsia="Times New Roman"/>
          <w:lang w:val="es-ES" w:eastAsia="es-ES"/>
        </w:rPr>
        <w:t>y favorecer una</w:t>
      </w:r>
      <w:r w:rsidR="00022134" w:rsidRPr="00684D32">
        <w:rPr>
          <w:rFonts w:eastAsia="Times New Roman"/>
          <w:lang w:val="es-ES" w:eastAsia="es-ES"/>
        </w:rPr>
        <w:t xml:space="preserve"> evaluación global del Arancel Externo Común.</w:t>
      </w:r>
    </w:p>
    <w:p w14:paraId="501CC800" w14:textId="5DD4F663" w:rsidR="00091441" w:rsidRDefault="00091441" w:rsidP="00A63CCD">
      <w:pPr>
        <w:jc w:val="both"/>
        <w:rPr>
          <w:rFonts w:cstheme="minorHAnsi"/>
        </w:rPr>
      </w:pPr>
    </w:p>
    <w:p w14:paraId="4DFD137F" w14:textId="3D37A08B" w:rsidR="00921900" w:rsidRDefault="00921900" w:rsidP="00A63CCD">
      <w:pPr>
        <w:jc w:val="both"/>
        <w:rPr>
          <w:rFonts w:cstheme="minorHAnsi"/>
        </w:rPr>
      </w:pPr>
      <w:r w:rsidRPr="00BF4606">
        <w:rPr>
          <w:rFonts w:cstheme="minorHAnsi"/>
        </w:rPr>
        <w:t>La delegación de Argentina informó que presentará una propuesta metodológica para el intercambio de datos para tratamiento en la próxima reunión del GAHAEC.</w:t>
      </w:r>
    </w:p>
    <w:p w14:paraId="5D4F91F9" w14:textId="77777777" w:rsidR="00921900" w:rsidRPr="00A63CCD" w:rsidRDefault="00921900" w:rsidP="00A63CCD">
      <w:pPr>
        <w:jc w:val="both"/>
        <w:rPr>
          <w:rFonts w:cstheme="minorHAnsi"/>
        </w:rPr>
      </w:pPr>
    </w:p>
    <w:p w14:paraId="20FF921D" w14:textId="591021AA" w:rsidR="00BE1446" w:rsidRDefault="00091441">
      <w:r w:rsidRPr="00A63CCD">
        <w:rPr>
          <w:rFonts w:cstheme="minorHAnsi"/>
        </w:rPr>
        <w:t xml:space="preserve">El tema continúa en agenda. </w:t>
      </w:r>
    </w:p>
    <w:p w14:paraId="6B7774E8" w14:textId="77777777" w:rsidR="00091441" w:rsidRPr="00D22BC4" w:rsidRDefault="00091441" w:rsidP="00A63CCD"/>
    <w:p w14:paraId="0C7A4DB4" w14:textId="1710EAFD" w:rsidR="005738CE" w:rsidRPr="00D22BC4" w:rsidRDefault="001A4A6D" w:rsidP="003E3813">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sidRPr="00D22BC4">
        <w:rPr>
          <w:b/>
        </w:rPr>
        <w:t>Temas Regulatorios</w:t>
      </w:r>
    </w:p>
    <w:p w14:paraId="61C8E095" w14:textId="77777777" w:rsidR="003E3E1F" w:rsidRPr="009E1B3F" w:rsidRDefault="003E3E1F" w:rsidP="009E1B3F">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0FA3E72F" w14:textId="12921D17" w:rsidR="003E3E1F" w:rsidRPr="00D22BC4" w:rsidRDefault="003E3E1F" w:rsidP="00BE1446">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D22BC4">
        <w:rPr>
          <w:b/>
        </w:rPr>
        <w:t xml:space="preserve">Grupo </w:t>
      </w:r>
      <w:r w:rsidRPr="00D22BC4">
        <w:rPr>
          <w:b/>
          <w:i/>
          <w:iCs/>
        </w:rPr>
        <w:t>Ad Hoc</w:t>
      </w:r>
      <w:r w:rsidRPr="00D22BC4">
        <w:rPr>
          <w:b/>
        </w:rPr>
        <w:t xml:space="preserve"> de Temas Regulatorios (GAHTR)</w:t>
      </w:r>
    </w:p>
    <w:p w14:paraId="6D7609DE" w14:textId="77777777" w:rsidR="003E3E1F" w:rsidRPr="00D22BC4" w:rsidRDefault="003E3E1F" w:rsidP="003E3E1F">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73625673" w14:textId="77777777" w:rsidR="009F13F9" w:rsidRDefault="009F13F9" w:rsidP="009F13F9">
      <w:pPr>
        <w:spacing w:after="120"/>
        <w:jc w:val="both"/>
      </w:pPr>
      <w:r>
        <w:t xml:space="preserve">El GMC tomó nota de los avances obtenidos por el Grupo </w:t>
      </w:r>
      <w:r w:rsidRPr="007F1BF3">
        <w:rPr>
          <w:i/>
          <w:iCs/>
        </w:rPr>
        <w:t>Ad Hoc</w:t>
      </w:r>
      <w:r>
        <w:t xml:space="preserve"> de Temas Regulatorios (GAHTR) y resaltó la importancia de continuar con los trabajos de actualización del stock regulatorio, conforme a lo previsto en la Hoja de Ruta acordada en ese ámbito.</w:t>
      </w:r>
    </w:p>
    <w:p w14:paraId="1E9B6B99" w14:textId="1BF70027" w:rsidR="009F13F9" w:rsidRDefault="009F13F9" w:rsidP="009F13F9">
      <w:pPr>
        <w:spacing w:after="120"/>
        <w:jc w:val="both"/>
      </w:pPr>
      <w:r>
        <w:t>Los Estados Parte</w:t>
      </w:r>
      <w:r w:rsidR="009361A3">
        <w:t>s</w:t>
      </w:r>
      <w:r>
        <w:t xml:space="preserve"> consideraron este tema como prioritario, dada la relevancia estratégica que implica para el proceso de integración. Coincidieron en que la agilización y armonización de los procesos regulatorios es esencial para reducir el impacto de las barreras no arancelarias y fomentar el comercio </w:t>
      </w:r>
      <w:proofErr w:type="spellStart"/>
      <w:r>
        <w:t>int</w:t>
      </w:r>
      <w:r w:rsidR="00921900">
        <w:t>rabloque</w:t>
      </w:r>
      <w:proofErr w:type="spellEnd"/>
      <w:r w:rsidR="00921900">
        <w:t xml:space="preserve">, así como la derogación de normas consideradas obsoletas. </w:t>
      </w:r>
    </w:p>
    <w:p w14:paraId="4B7B7CC3" w14:textId="77777777" w:rsidR="009F13F9" w:rsidRDefault="009F13F9" w:rsidP="007F1BF3">
      <w:pPr>
        <w:jc w:val="both"/>
      </w:pPr>
      <w:r>
        <w:t xml:space="preserve">La PPTA informó que ya ha tomado contacto con las demás coordinaciones nacionales y propuso las fechas del 30 de abril y 4 de junio para la realización de las próximas reuniones del GAHTR. </w:t>
      </w:r>
    </w:p>
    <w:p w14:paraId="2CE28A8D" w14:textId="77777777" w:rsidR="00B23E18" w:rsidRDefault="00B23E18" w:rsidP="007F1BF3">
      <w:pPr>
        <w:jc w:val="both"/>
      </w:pPr>
    </w:p>
    <w:p w14:paraId="74055085" w14:textId="2A67F024" w:rsidR="00B23E18" w:rsidRDefault="00B23E18" w:rsidP="007F1BF3">
      <w:pPr>
        <w:jc w:val="both"/>
      </w:pPr>
      <w:r>
        <w:t xml:space="preserve">El tema continúa en agenda. </w:t>
      </w:r>
    </w:p>
    <w:p w14:paraId="65C2668A" w14:textId="77777777" w:rsidR="007F1BF3" w:rsidRDefault="007F1BF3" w:rsidP="007F1BF3">
      <w:pPr>
        <w:jc w:val="both"/>
      </w:pPr>
    </w:p>
    <w:p w14:paraId="1BDEA650" w14:textId="0A30C9A3" w:rsidR="00F44D1C" w:rsidRPr="00D22BC4" w:rsidRDefault="00F44D1C" w:rsidP="00BE1446">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pPr>
      <w:r w:rsidRPr="00D22BC4">
        <w:rPr>
          <w:b/>
        </w:rPr>
        <w:t xml:space="preserve">Disensos elevados al GMC por el SGT N° </w:t>
      </w:r>
      <w:r w:rsidR="00BE6E5D" w:rsidRPr="00D22BC4">
        <w:rPr>
          <w:b/>
        </w:rPr>
        <w:t>3</w:t>
      </w:r>
    </w:p>
    <w:p w14:paraId="11CE862F" w14:textId="77777777" w:rsidR="00061E12" w:rsidRPr="00D22BC4" w:rsidRDefault="00061E12" w:rsidP="007174E5">
      <w:pPr>
        <w:widowControl w:val="0"/>
        <w:pBdr>
          <w:top w:val="none" w:sz="0" w:space="0" w:color="000000"/>
          <w:left w:val="none" w:sz="0" w:space="0" w:color="000000"/>
          <w:bottom w:val="none" w:sz="0" w:space="0" w:color="000000"/>
          <w:right w:val="none" w:sz="0" w:space="0" w:color="000000"/>
          <w:between w:val="none" w:sz="0" w:space="0" w:color="000000"/>
        </w:pBdr>
        <w:jc w:val="both"/>
        <w:rPr>
          <w:strike/>
          <w:color w:val="FF0000"/>
        </w:rPr>
      </w:pPr>
    </w:p>
    <w:p w14:paraId="45880929" w14:textId="128B41B7" w:rsidR="007174E5" w:rsidRPr="00D22BC4" w:rsidRDefault="007174E5" w:rsidP="009F13F9">
      <w:pPr>
        <w:widowControl w:val="0"/>
        <w:pBdr>
          <w:top w:val="none" w:sz="0" w:space="0" w:color="000000"/>
          <w:left w:val="none" w:sz="0" w:space="0" w:color="000000"/>
          <w:bottom w:val="none" w:sz="0" w:space="0" w:color="000000"/>
          <w:right w:val="none" w:sz="0" w:space="0" w:color="000000"/>
          <w:between w:val="none" w:sz="0" w:space="0" w:color="000000"/>
        </w:pBdr>
        <w:jc w:val="both"/>
      </w:pPr>
      <w:r w:rsidRPr="00D22BC4">
        <w:rPr>
          <w:b/>
        </w:rPr>
        <w:t>P</w:t>
      </w:r>
      <w:r w:rsidR="005F18D0" w:rsidRPr="00D22BC4">
        <w:rPr>
          <w:b/>
        </w:rPr>
        <w:t>royecto de</w:t>
      </w:r>
      <w:r w:rsidRPr="00D22BC4">
        <w:rPr>
          <w:b/>
        </w:rPr>
        <w:t xml:space="preserve"> Res</w:t>
      </w:r>
      <w:r w:rsidR="005F18D0" w:rsidRPr="00D22BC4">
        <w:rPr>
          <w:b/>
        </w:rPr>
        <w:t>olución</w:t>
      </w:r>
      <w:r w:rsidRPr="00D22BC4">
        <w:rPr>
          <w:b/>
        </w:rPr>
        <w:t xml:space="preserve"> GMC N° 07/23 “Reglamento Técnico MERCOSUR sobre límites máximos de contaminantes metálicos y metaloides en alimentos (Derogación de las Resoluciones GMC N° 12/11 y 18/21)” </w:t>
      </w:r>
    </w:p>
    <w:p w14:paraId="58D0249D" w14:textId="77777777" w:rsidR="002F08F5" w:rsidRDefault="002F08F5" w:rsidP="007174E5">
      <w:pPr>
        <w:widowControl w:val="0"/>
        <w:pBdr>
          <w:top w:val="none" w:sz="0" w:space="0" w:color="000000"/>
          <w:left w:val="none" w:sz="0" w:space="0" w:color="000000"/>
          <w:bottom w:val="none" w:sz="0" w:space="0" w:color="000000"/>
          <w:right w:val="none" w:sz="0" w:space="0" w:color="000000"/>
          <w:between w:val="none" w:sz="0" w:space="0" w:color="000000"/>
        </w:pBdr>
        <w:jc w:val="both"/>
        <w:rPr>
          <w:color w:val="FF0000"/>
        </w:rPr>
      </w:pPr>
    </w:p>
    <w:p w14:paraId="72F0B62F" w14:textId="77777777" w:rsidR="00173E81" w:rsidRDefault="00173E81" w:rsidP="00173E81">
      <w:pPr>
        <w:spacing w:after="120"/>
        <w:jc w:val="both"/>
      </w:pPr>
      <w:r>
        <w:t>La presente reunión constituye la tercera instancia destinada a la discusión de este disenso, elevado por el SGT N° 3 en el Acta N° 03/24. A pesar de haberse cumplido el plazo de dos reuniones ordinarias, en su LXIII Reunión Extraordinaria (celebrada los días 3 y 4 de diciembre de 2024), el GMC acordó mantener el tema en agenda hasta la segunda Reunión Ordinaria de 2025, de conformidad con lo previsto en la Resolución GMC Nº 45/17.</w:t>
      </w:r>
    </w:p>
    <w:p w14:paraId="178A2B14" w14:textId="20C15EC2" w:rsidR="00173E81" w:rsidRDefault="00173E81" w:rsidP="00173E81">
      <w:pPr>
        <w:spacing w:after="120"/>
        <w:jc w:val="both"/>
      </w:pPr>
      <w:r>
        <w:t xml:space="preserve">La delegación de Brasil </w:t>
      </w:r>
      <w:r w:rsidR="00EC04F2">
        <w:t xml:space="preserve">reiteró la intención de </w:t>
      </w:r>
      <w:r>
        <w:t xml:space="preserve">que el tema sea evaluado por el </w:t>
      </w:r>
      <w:proofErr w:type="spellStart"/>
      <w:r>
        <w:t>Joint</w:t>
      </w:r>
      <w:proofErr w:type="spellEnd"/>
      <w:r>
        <w:t xml:space="preserve"> FAO WHO </w:t>
      </w:r>
      <w:proofErr w:type="spellStart"/>
      <w:r>
        <w:t>Expert</w:t>
      </w:r>
      <w:proofErr w:type="spellEnd"/>
      <w:r>
        <w:t xml:space="preserve"> </w:t>
      </w:r>
      <w:proofErr w:type="spellStart"/>
      <w:r>
        <w:t>Committee</w:t>
      </w:r>
      <w:proofErr w:type="spellEnd"/>
      <w:r>
        <w:t xml:space="preserve"> </w:t>
      </w:r>
      <w:proofErr w:type="spellStart"/>
      <w:r>
        <w:t>on</w:t>
      </w:r>
      <w:proofErr w:type="spellEnd"/>
      <w:r>
        <w:t xml:space="preserve"> </w:t>
      </w:r>
      <w:proofErr w:type="spellStart"/>
      <w:r>
        <w:t>Food</w:t>
      </w:r>
      <w:proofErr w:type="spellEnd"/>
      <w:r>
        <w:t xml:space="preserve"> </w:t>
      </w:r>
      <w:proofErr w:type="spellStart"/>
      <w:r>
        <w:t>Additives</w:t>
      </w:r>
      <w:proofErr w:type="spellEnd"/>
      <w:r>
        <w:t xml:space="preserve"> (JECFA), por medio de la Comisión CODEX </w:t>
      </w:r>
      <w:proofErr w:type="spellStart"/>
      <w:r>
        <w:t>alimentarius</w:t>
      </w:r>
      <w:proofErr w:type="spellEnd"/>
      <w:r>
        <w:t xml:space="preserve">, con el objetivo de elaborar un informe técnico sobre los contaminantes presentes en la yerba mate. </w:t>
      </w:r>
      <w:r w:rsidR="00EC04F2">
        <w:t>La delegación de Brasil adelantó que la solicitud la harían en el mes de mayo e invitó a los Estados Partes que quieran a sumarse a dicho pedido.</w:t>
      </w:r>
    </w:p>
    <w:p w14:paraId="5ABF3C7D" w14:textId="77777777" w:rsidR="00EC04F2" w:rsidRDefault="00173E81" w:rsidP="00173E81">
      <w:pPr>
        <w:spacing w:after="120"/>
        <w:jc w:val="both"/>
      </w:pPr>
      <w:r>
        <w:t>La delegación de Argentina consideró oportuno remitir el proyecto de Resolución GMC N° 07/23 al SGT N° 3 “Reglamentos Técnicos y evaluación de la conformidad” con la sugerencia de revisar por separado los límites máximos de contaminantes de cadmio y de plomo en yerba mate a fin de considerar un</w:t>
      </w:r>
      <w:r w:rsidR="00EC04F2">
        <w:t xml:space="preserve">a </w:t>
      </w:r>
      <w:r w:rsidR="00EC04F2">
        <w:lastRenderedPageBreak/>
        <w:t xml:space="preserve">flexibilización en el primero, curso de acción que acompañó la delegación de Uruguay. </w:t>
      </w:r>
    </w:p>
    <w:p w14:paraId="2AA35770" w14:textId="396899A2" w:rsidR="00173E81" w:rsidRPr="00EC04F2" w:rsidRDefault="00EC04F2" w:rsidP="00EC04F2">
      <w:pPr>
        <w:spacing w:after="120"/>
        <w:jc w:val="both"/>
      </w:pPr>
      <w:r>
        <w:t xml:space="preserve">No habiendo consenso, la delegación de Argentina reiteró la importancia de instruir </w:t>
      </w:r>
      <w:r w:rsidR="00173E81">
        <w:t xml:space="preserve">al SGT N° 3 para que someta a consulta interna el texto del proyecto, excluyendo temporalmente el ítem referido a la yerba mate. Ello, con el objetivo de no demorar </w:t>
      </w:r>
      <w:r w:rsidR="002C75AE">
        <w:t xml:space="preserve">la actualización de una norma que resulta </w:t>
      </w:r>
      <w:r w:rsidR="00186598">
        <w:t xml:space="preserve">necesaria para </w:t>
      </w:r>
      <w:r w:rsidR="00173E81" w:rsidRPr="00EC04F2">
        <w:t>la industria de alimentos</w:t>
      </w:r>
      <w:r w:rsidR="00186598">
        <w:t xml:space="preserve">. </w:t>
      </w:r>
    </w:p>
    <w:p w14:paraId="575E2DDE" w14:textId="67A998F4" w:rsidR="00173E81" w:rsidRPr="00EC04F2" w:rsidRDefault="00173E81" w:rsidP="00EC04F2">
      <w:pPr>
        <w:spacing w:after="120"/>
        <w:jc w:val="both"/>
      </w:pPr>
      <w:r w:rsidRPr="00EC04F2">
        <w:t xml:space="preserve">La delegación de Uruguay consideró apropiado que el proyecto sea remitido al SGT N° 3, atento a que la flexibilización en los límites de cadmio, podría contribuir a destrabar el tratamiento de esta norma. Sin perjuicio de ello, la delegación de Uruguay también puede acompañar la propuesta de Brasil para solicitar un informe al JECFA. </w:t>
      </w:r>
      <w:bookmarkStart w:id="0" w:name="_GoBack"/>
      <w:bookmarkEnd w:id="0"/>
    </w:p>
    <w:p w14:paraId="531270BE" w14:textId="2FADF831" w:rsidR="00173E81" w:rsidRDefault="00173E81" w:rsidP="004B0A5E">
      <w:pPr>
        <w:jc w:val="both"/>
      </w:pPr>
      <w:r w:rsidRPr="00EC04F2">
        <w:t xml:space="preserve">La delegación de Brasil manifestó que la instancia de discusión técnica se encuentra agotada, por lo que no </w:t>
      </w:r>
      <w:r w:rsidR="00EC04F2" w:rsidRPr="00EC04F2">
        <w:t>acompaña la remisión de</w:t>
      </w:r>
      <w:r w:rsidRPr="00EC04F2">
        <w:t xml:space="preserve">l proyecto al SGT N° 3. </w:t>
      </w:r>
    </w:p>
    <w:p w14:paraId="24C6D474" w14:textId="77777777" w:rsidR="00151C6D" w:rsidRDefault="00151C6D" w:rsidP="00151C6D"/>
    <w:p w14:paraId="3FF95BD3" w14:textId="0222B4BC" w:rsidR="003E71FB" w:rsidRDefault="003E71FB" w:rsidP="00151C6D">
      <w:pPr>
        <w:jc w:val="both"/>
      </w:pPr>
      <w:r>
        <w:t>La delegación de Paraguay reiteró la importancia de contar con un RTM consensuado y beneficioso para todos los Estados Partes, con base en criterios científicos, especialmente para un producto tan importante en la región como es la yerba mate.</w:t>
      </w:r>
    </w:p>
    <w:p w14:paraId="54D10F9A" w14:textId="77777777" w:rsidR="00151C6D" w:rsidRDefault="00151C6D" w:rsidP="00151C6D">
      <w:pPr>
        <w:jc w:val="both"/>
      </w:pPr>
    </w:p>
    <w:p w14:paraId="48D3D20C" w14:textId="4D2591E6" w:rsidR="003E71FB" w:rsidRDefault="003E71FB" w:rsidP="00151C6D">
      <w:pPr>
        <w:jc w:val="both"/>
      </w:pPr>
      <w:r>
        <w:t>Asimismo, mencionó su apoyo a la propuesta de Brasil referente a la solicitud al JECFA de un estudio técnico sobre la presencia de contaminantes en las presentaciones tradicionales para consumo de la yerba mate.</w:t>
      </w:r>
    </w:p>
    <w:p w14:paraId="0024E174" w14:textId="77777777" w:rsidR="001753A3" w:rsidRPr="00EC04F2" w:rsidRDefault="001753A3" w:rsidP="00151C6D">
      <w:pPr>
        <w:jc w:val="both"/>
      </w:pPr>
    </w:p>
    <w:p w14:paraId="057C13BA" w14:textId="77777777" w:rsidR="00173E81" w:rsidRDefault="00173E81" w:rsidP="00173E81">
      <w:pPr>
        <w:spacing w:after="120"/>
        <w:jc w:val="both"/>
      </w:pPr>
      <w:r>
        <w:t>El GMC acordó mantener el tema en agenda hasta la próxima reunión.</w:t>
      </w:r>
    </w:p>
    <w:p w14:paraId="05BF1CB9" w14:textId="77777777" w:rsidR="00173E81" w:rsidRDefault="00173E81" w:rsidP="00D22BC4">
      <w:pPr>
        <w:widowControl w:val="0"/>
        <w:pBdr>
          <w:top w:val="none" w:sz="0" w:space="0" w:color="000000"/>
          <w:left w:val="none" w:sz="0" w:space="0" w:color="000000"/>
          <w:bottom w:val="none" w:sz="0" w:space="0" w:color="000000"/>
          <w:right w:val="none" w:sz="0" w:space="0" w:color="000000"/>
          <w:between w:val="none" w:sz="0" w:space="0" w:color="000000"/>
        </w:pBdr>
        <w:jc w:val="both"/>
        <w:rPr>
          <w:strike/>
          <w:color w:val="FF0000"/>
        </w:rPr>
      </w:pPr>
    </w:p>
    <w:p w14:paraId="2BEF245F" w14:textId="77777777" w:rsidR="00D22BC4" w:rsidRDefault="00D22BC4" w:rsidP="009F13F9">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r w:rsidRPr="00F5500E">
        <w:rPr>
          <w:b/>
        </w:rPr>
        <w:t>Resolución</w:t>
      </w:r>
      <w:r w:rsidRPr="00D22BC4">
        <w:rPr>
          <w:b/>
        </w:rPr>
        <w:t xml:space="preserve"> GMC N° </w:t>
      </w:r>
      <w:r>
        <w:rPr>
          <w:b/>
        </w:rPr>
        <w:t>45</w:t>
      </w:r>
      <w:r w:rsidRPr="00D22BC4">
        <w:rPr>
          <w:b/>
        </w:rPr>
        <w:t>/</w:t>
      </w:r>
      <w:r>
        <w:rPr>
          <w:b/>
        </w:rPr>
        <w:t>17</w:t>
      </w:r>
      <w:r w:rsidRPr="00D22BC4">
        <w:rPr>
          <w:b/>
        </w:rPr>
        <w:t xml:space="preserve"> “</w:t>
      </w:r>
      <w:r>
        <w:rPr>
          <w:b/>
        </w:rPr>
        <w:t>Elaboración de un reglamento técnico MERCOSUR sobre conectores para suministro de gas natural vehicular (Pedido de revisión Resolución GMC N° 02/06)</w:t>
      </w:r>
      <w:r w:rsidRPr="00D22BC4">
        <w:rPr>
          <w:b/>
        </w:rPr>
        <w:t>”</w:t>
      </w:r>
    </w:p>
    <w:p w14:paraId="61503315" w14:textId="77777777" w:rsidR="00D22BC4" w:rsidRDefault="00D22BC4" w:rsidP="00D22BC4">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49E3CD24" w14:textId="0548BF9D" w:rsidR="009F13F9" w:rsidRDefault="00580DFD" w:rsidP="009F13F9">
      <w:pPr>
        <w:spacing w:after="120"/>
        <w:jc w:val="both"/>
      </w:pPr>
      <w:r>
        <w:t>El GMC consideró el disenso sobre el pedido de Revisión de la Resolución GMC N° 02/06 y, a</w:t>
      </w:r>
      <w:r w:rsidR="009F13F9">
        <w:t xml:space="preserve">nte la propuesta de </w:t>
      </w:r>
      <w:r>
        <w:t xml:space="preserve">la delegación de </w:t>
      </w:r>
      <w:r w:rsidR="009F13F9">
        <w:t>Argentina, acordó retirar el pedido de elaboración de un reglamento técnico sobre conectores para suministro de gas vehicular, dado que, a pesar de los esfuerzos realizados, las instancias técnicas se han agotado sin alcanzar el consenso necesario</w:t>
      </w:r>
      <w:r>
        <w:t xml:space="preserve"> para avanzar en dicho trabajo</w:t>
      </w:r>
      <w:r w:rsidR="009F13F9">
        <w:t xml:space="preserve">. </w:t>
      </w:r>
    </w:p>
    <w:p w14:paraId="55CE4762" w14:textId="26FC92CF" w:rsidR="00D22BC4" w:rsidRDefault="00580DFD" w:rsidP="00D22BC4">
      <w:pPr>
        <w:widowControl w:val="0"/>
        <w:pBdr>
          <w:top w:val="none" w:sz="0" w:space="0" w:color="000000"/>
          <w:left w:val="none" w:sz="0" w:space="0" w:color="000000"/>
          <w:bottom w:val="none" w:sz="0" w:space="0" w:color="000000"/>
          <w:right w:val="none" w:sz="0" w:space="0" w:color="000000"/>
          <w:between w:val="none" w:sz="0" w:space="0" w:color="000000"/>
        </w:pBdr>
        <w:jc w:val="both"/>
      </w:pPr>
      <w:r>
        <w:t>Asimismo, la PPTA recordó que, sin perjuicio de la decisión adoptada</w:t>
      </w:r>
      <w:r w:rsidR="003737B7">
        <w:t xml:space="preserve">, </w:t>
      </w:r>
      <w:r w:rsidR="003737B7" w:rsidRPr="003737B7">
        <w:t>la Comisión de Gas, dependiente del SGT N° 3 continúa trabajando en la revisión de la Res. GMC N° 02/06 “Esquema único para el control de la utilización del gas natural, como combustible vehicular”.</w:t>
      </w:r>
    </w:p>
    <w:p w14:paraId="5C38E97E" w14:textId="77777777" w:rsidR="003737B7" w:rsidRPr="003737B7" w:rsidRDefault="003737B7" w:rsidP="00D22BC4">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48C4A395" w14:textId="5C740B51" w:rsidR="00D22BC4" w:rsidRDefault="00D22BC4" w:rsidP="00BE1446">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Pr>
          <w:b/>
        </w:rPr>
        <w:t>Etiquetado de Alimentos Envasados</w:t>
      </w:r>
    </w:p>
    <w:p w14:paraId="6309B16E" w14:textId="77777777" w:rsidR="00C815C9" w:rsidRPr="00C815C9" w:rsidRDefault="00C815C9" w:rsidP="00C815C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73A05A02" w14:textId="0D520582" w:rsidR="009F13F9" w:rsidRDefault="00BB5E27" w:rsidP="009F13F9">
      <w:pPr>
        <w:spacing w:after="120"/>
        <w:jc w:val="both"/>
      </w:pPr>
      <w:r w:rsidRPr="00BB5E27">
        <w:t xml:space="preserve">El GMC destacó los trabajos, en el ámbito de la Comisión de Alimentos del SGT N° 3, de revisión de la Resolución GMC N° 26/03 “Reglamento técnico MERCOSUR para rotulación de alimentos envasados” que define la información básica y obligatoria que debe figurar en el rotulado de todos los </w:t>
      </w:r>
      <w:r w:rsidRPr="00BB5E27">
        <w:lastRenderedPageBreak/>
        <w:t>alimentos, y la Resolución GMC N° 46/03 “Reglamento técnico MERCOSUR sobre el rotulado nutricional de alimentos envasados”, que complementa a la anterior y se centra en la información nutricional.</w:t>
      </w:r>
    </w:p>
    <w:p w14:paraId="2EEE01ED" w14:textId="5C3EDE22" w:rsidR="00173E81" w:rsidRDefault="00173E81" w:rsidP="00173E81">
      <w:pPr>
        <w:spacing w:after="120"/>
        <w:jc w:val="both"/>
      </w:pPr>
      <w:r>
        <w:t xml:space="preserve">En este sentido, el GMC celebró los avances significativos registrados en la última </w:t>
      </w:r>
      <w:r w:rsidR="0058188D">
        <w:t>r</w:t>
      </w:r>
      <w:r>
        <w:t xml:space="preserve">eunión </w:t>
      </w:r>
      <w:r w:rsidR="0058188D">
        <w:t>o</w:t>
      </w:r>
      <w:r>
        <w:t>rdinaria de la Comisión de Alimentos, celebrada entre el 31 de marzo y el 9 de abril de 2025 y señaló la importancia para que pued</w:t>
      </w:r>
      <w:r w:rsidR="00580DFD">
        <w:t xml:space="preserve">an concluirse las negociaciones durante el presente semestre. </w:t>
      </w:r>
      <w:r w:rsidRPr="00B56211">
        <w:rPr>
          <w:color w:val="FF0000"/>
        </w:rPr>
        <w:t xml:space="preserve"> </w:t>
      </w:r>
    </w:p>
    <w:p w14:paraId="33648D91" w14:textId="6D6441CF" w:rsidR="00F27589" w:rsidRDefault="009F13F9" w:rsidP="003A54E9">
      <w:pPr>
        <w:jc w:val="both"/>
      </w:pPr>
      <w:r>
        <w:t xml:space="preserve">Por otra parte, el GMC acordó instruir al SGT N° 3 para que la Comisión de Alimentos </w:t>
      </w:r>
      <w:r w:rsidR="00F27589">
        <w:t xml:space="preserve">retome </w:t>
      </w:r>
      <w:r>
        <w:t xml:space="preserve">la negociación de un Reglamento Técnico sobre </w:t>
      </w:r>
      <w:r w:rsidR="0041784A">
        <w:t>Rotulado Nutricional Frontal</w:t>
      </w:r>
      <w:r>
        <w:t xml:space="preserve">, </w:t>
      </w:r>
      <w:r w:rsidR="00F27589">
        <w:t xml:space="preserve">una vez concluida la revisión de la Resolución GMC N° 26/03 y de la Resolución GMC N° 46/03, </w:t>
      </w:r>
      <w:r>
        <w:t>considerando que el MERCOSUR aún no cuenta con una normativa armonizada en la materia y</w:t>
      </w:r>
      <w:r w:rsidR="00F27589">
        <w:t xml:space="preserve">, contar con ella, resultará relevante y dará respuesta al </w:t>
      </w:r>
      <w:r>
        <w:t>interés sostenido de</w:t>
      </w:r>
      <w:r w:rsidR="00F27589">
        <w:t xml:space="preserve"> un sector productivo de gran dinamismo en el comercio regional. </w:t>
      </w:r>
    </w:p>
    <w:p w14:paraId="53974E98" w14:textId="77777777" w:rsidR="00FA3B09" w:rsidRDefault="00FA3B09" w:rsidP="003A54E9">
      <w:pPr>
        <w:jc w:val="both"/>
      </w:pPr>
    </w:p>
    <w:p w14:paraId="0F0E2393" w14:textId="4D4130C7" w:rsidR="009F13F9" w:rsidRDefault="009F13F9" w:rsidP="00BE1446">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spacing w:after="100" w:afterAutospacing="1"/>
        <w:ind w:left="1701" w:hanging="567"/>
        <w:jc w:val="both"/>
      </w:pPr>
      <w:r w:rsidRPr="00FA3B09">
        <w:rPr>
          <w:b/>
        </w:rPr>
        <w:t>Reglamento Vitivinícola del MERCOSUR</w:t>
      </w:r>
    </w:p>
    <w:p w14:paraId="488B5BCE" w14:textId="3AB901F8" w:rsidR="009F13F9" w:rsidRDefault="009F13F9" w:rsidP="002A1B40">
      <w:pPr>
        <w:spacing w:after="100" w:afterAutospacing="1"/>
        <w:jc w:val="both"/>
      </w:pPr>
      <w:r>
        <w:t xml:space="preserve">La delegación </w:t>
      </w:r>
      <w:r w:rsidR="00BB5E27">
        <w:t>de A</w:t>
      </w:r>
      <w:r>
        <w:t>rgentina informó que, en la próxima reunión de la Comisión Vitivinícola</w:t>
      </w:r>
      <w:r w:rsidR="00FA3B09">
        <w:t xml:space="preserve"> dependiente del SGT N° 8 “Agricultura”, </w:t>
      </w:r>
      <w:r>
        <w:t xml:space="preserve">que tendrá lugar en la ciudad de Mendoza el 28 de abril, se propondrá examinar lo establecido en el Capítulo VIII de la Resolución GMC N° 45/96 “Reglamento Vitivinícola del MERCOSUR”, </w:t>
      </w:r>
      <w:r w:rsidR="00BB5E27">
        <w:t>que</w:t>
      </w:r>
      <w:r>
        <w:t xml:space="preserve"> limita la comercialización a envases </w:t>
      </w:r>
      <w:r w:rsidR="00BB5E27">
        <w:t>de hasta 5 litros de capacidad. Al respecto, señaló que e</w:t>
      </w:r>
      <w:r>
        <w:t>sta restricción impone un obstáculo para la</w:t>
      </w:r>
      <w:r w:rsidR="00595AE6">
        <w:t xml:space="preserve"> circulación </w:t>
      </w:r>
      <w:r w:rsidR="000C3636">
        <w:t xml:space="preserve">e integración de productos vitivinícolas en la región. </w:t>
      </w:r>
    </w:p>
    <w:p w14:paraId="274ED9C3" w14:textId="1CFC2ED0" w:rsidR="00A22F4B" w:rsidRDefault="00A22F4B" w:rsidP="002A1B40">
      <w:pPr>
        <w:spacing w:after="100" w:afterAutospacing="1"/>
        <w:jc w:val="both"/>
      </w:pPr>
      <w:r>
        <w:t xml:space="preserve">La delegación de Uruguay destacó la sensibilidad que </w:t>
      </w:r>
      <w:r w:rsidR="002A1B40">
        <w:t xml:space="preserve">podría </w:t>
      </w:r>
      <w:r>
        <w:t>implica</w:t>
      </w:r>
      <w:r w:rsidR="002A1B40">
        <w:t xml:space="preserve">r dicha revisión para </w:t>
      </w:r>
      <w:r>
        <w:t xml:space="preserve">su sector privado.  </w:t>
      </w:r>
    </w:p>
    <w:p w14:paraId="403CC571" w14:textId="20610B8F" w:rsidR="00D22BC4" w:rsidRDefault="00D22BC4" w:rsidP="00D22BC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lang w:val="es-UY"/>
        </w:rPr>
      </w:pPr>
      <w:r w:rsidRPr="00D22BC4">
        <w:rPr>
          <w:b/>
          <w:lang w:val="es-UY"/>
        </w:rPr>
        <w:t xml:space="preserve">Grupo </w:t>
      </w:r>
      <w:r w:rsidRPr="00D22BC4">
        <w:rPr>
          <w:b/>
          <w:i/>
          <w:iCs/>
          <w:lang w:val="es-UY"/>
        </w:rPr>
        <w:t>Ad Hoc</w:t>
      </w:r>
      <w:r w:rsidRPr="00D22BC4">
        <w:rPr>
          <w:b/>
          <w:lang w:val="es-UY"/>
        </w:rPr>
        <w:t xml:space="preserve"> sobre Prop</w:t>
      </w:r>
      <w:r>
        <w:rPr>
          <w:b/>
          <w:lang w:val="es-UY"/>
        </w:rPr>
        <w:t>iedad Intelectual (GAHPI)</w:t>
      </w:r>
    </w:p>
    <w:p w14:paraId="71737C17" w14:textId="77777777" w:rsidR="00D22BC4" w:rsidRPr="00C815C9" w:rsidRDefault="00D22BC4" w:rsidP="00D22BC4">
      <w:pPr>
        <w:widowControl w:val="0"/>
        <w:pBdr>
          <w:top w:val="none" w:sz="0" w:space="0" w:color="000000"/>
          <w:left w:val="none" w:sz="0" w:space="0" w:color="000000"/>
          <w:bottom w:val="none" w:sz="0" w:space="0" w:color="000000"/>
          <w:right w:val="none" w:sz="0" w:space="0" w:color="000000"/>
          <w:between w:val="none" w:sz="0" w:space="0" w:color="000000"/>
        </w:pBdr>
        <w:jc w:val="both"/>
        <w:rPr>
          <w:lang w:val="es-UY"/>
        </w:rPr>
      </w:pPr>
    </w:p>
    <w:p w14:paraId="6CA094EB" w14:textId="6028F215" w:rsidR="00476522" w:rsidRDefault="00476522" w:rsidP="00C815C9">
      <w:pPr>
        <w:jc w:val="both"/>
      </w:pPr>
      <w:r w:rsidRPr="00F35CD2">
        <w:t>El GMC tomó nota de los resultados de la III reunión ordinaria del GAHPI realizada el día 22 de abril de 202</w:t>
      </w:r>
      <w:r w:rsidR="00035F01">
        <w:t>5</w:t>
      </w:r>
      <w:r w:rsidRPr="00F35CD2">
        <w:t>, por sistema de videoconferencia de conformidad con lo establecido en la Resolución GMC N°19/12.</w:t>
      </w:r>
    </w:p>
    <w:p w14:paraId="38C486D6" w14:textId="3C049367" w:rsidR="00F35CD2" w:rsidRDefault="00F35CD2" w:rsidP="00C815C9">
      <w:pPr>
        <w:jc w:val="both"/>
      </w:pPr>
    </w:p>
    <w:p w14:paraId="1697A7F1" w14:textId="44B6655B" w:rsidR="00F35CD2" w:rsidRPr="00F35CD2" w:rsidRDefault="00F35CD2" w:rsidP="00C815C9">
      <w:pPr>
        <w:jc w:val="both"/>
      </w:pPr>
      <w:r w:rsidRPr="00F35CD2">
        <w:t>Las delegaciones agradecieron la propuesta argentina de calendario tentativo para llevar a cabo, durante el mes de mayo próximo, reuniones técnicas con representantes de organismos nacionales con competencia en materia de derecho de autor, marcas, patentes, indicaciones geográficas, entre otros.</w:t>
      </w:r>
    </w:p>
    <w:p w14:paraId="225ACF86" w14:textId="77777777" w:rsidR="003625CB" w:rsidRPr="00476522" w:rsidRDefault="003625CB" w:rsidP="00C815C9">
      <w:pPr>
        <w:jc w:val="both"/>
        <w:rPr>
          <w:highlight w:val="cyan"/>
        </w:rPr>
      </w:pPr>
    </w:p>
    <w:p w14:paraId="0A249DC8" w14:textId="3DAA8238" w:rsidR="00250764" w:rsidRPr="00D22BC4" w:rsidRDefault="00250764" w:rsidP="00D22BC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bCs/>
        </w:rPr>
      </w:pPr>
      <w:r w:rsidRPr="00D22BC4">
        <w:rPr>
          <w:b/>
          <w:bCs/>
        </w:rPr>
        <w:t xml:space="preserve">Sector Automotor </w:t>
      </w:r>
    </w:p>
    <w:p w14:paraId="64460F9C" w14:textId="77777777" w:rsidR="00BE6E5D" w:rsidRPr="00D22BC4" w:rsidRDefault="00BE6E5D" w:rsidP="00BE6E5D">
      <w:pPr>
        <w:jc w:val="both"/>
        <w:rPr>
          <w:color w:val="FF0000"/>
        </w:rPr>
      </w:pPr>
    </w:p>
    <w:p w14:paraId="718C0704" w14:textId="77777777" w:rsidR="00E24F10" w:rsidRDefault="00226D11" w:rsidP="00226D11">
      <w:pPr>
        <w:widowControl w:val="0"/>
        <w:jc w:val="both"/>
      </w:pPr>
      <w:r w:rsidRPr="00226D11">
        <w:t xml:space="preserve">La PPTA informó que, en seguimiento de lo convenido en la </w:t>
      </w:r>
      <w:r w:rsidR="004815A4" w:rsidRPr="00226D11">
        <w:t>XXXIII reunión ordinaria del Comité Automotor</w:t>
      </w:r>
      <w:r w:rsidRPr="00226D11">
        <w:t>,</w:t>
      </w:r>
      <w:r w:rsidR="004815A4" w:rsidRPr="00226D11">
        <w:t xml:space="preserve"> realizada </w:t>
      </w:r>
      <w:r w:rsidR="006819E5" w:rsidRPr="00226D11">
        <w:t xml:space="preserve">en la ciudad de Montevideo, </w:t>
      </w:r>
      <w:r w:rsidR="004815A4" w:rsidRPr="00226D11">
        <w:t>el día 14 de noviembre</w:t>
      </w:r>
      <w:r w:rsidR="001315BF" w:rsidRPr="00226D11">
        <w:t xml:space="preserve"> de 2024</w:t>
      </w:r>
      <w:r w:rsidRPr="00226D11">
        <w:t xml:space="preserve">, convocará </w:t>
      </w:r>
      <w:r w:rsidR="00E24F10">
        <w:t xml:space="preserve">a una nueva reunión del Comité. </w:t>
      </w:r>
    </w:p>
    <w:p w14:paraId="26516F99" w14:textId="77777777" w:rsidR="00E24F10" w:rsidRDefault="00E24F10" w:rsidP="00226D11">
      <w:pPr>
        <w:widowControl w:val="0"/>
        <w:jc w:val="both"/>
      </w:pPr>
    </w:p>
    <w:p w14:paraId="6561B2CB" w14:textId="27B421C8" w:rsidR="00970B92" w:rsidRPr="00E24F10" w:rsidRDefault="00E24F10" w:rsidP="00AC63C7">
      <w:pPr>
        <w:widowControl w:val="0"/>
        <w:jc w:val="both"/>
      </w:pPr>
      <w:r>
        <w:t>Al respecto y previo a dicho encuentro durante el mes de mayo convocará a reuniones de instancia técnica sobre reglas de origen y nomenclatura para def</w:t>
      </w:r>
      <w:r w:rsidR="00970B92" w:rsidRPr="00E24F10">
        <w:t xml:space="preserve">inición del universo de bienes que abarca el sector, a fin de enriquecer el proceso </w:t>
      </w:r>
      <w:r w:rsidR="00AC63C7" w:rsidRPr="00E24F10">
        <w:t xml:space="preserve">negociador </w:t>
      </w:r>
      <w:r w:rsidR="00970B92" w:rsidRPr="00E24F10">
        <w:t>con una mirada técnica especializada.</w:t>
      </w:r>
    </w:p>
    <w:p w14:paraId="7C84B6A0" w14:textId="22BA5EE6" w:rsidR="00226D11" w:rsidRDefault="00226D11" w:rsidP="00226D11">
      <w:pPr>
        <w:widowControl w:val="0"/>
        <w:jc w:val="both"/>
      </w:pPr>
    </w:p>
    <w:p w14:paraId="0920D923" w14:textId="32EFE3CF" w:rsidR="00C348C5" w:rsidRPr="00C348C5" w:rsidRDefault="00C348C5" w:rsidP="00C348C5">
      <w:pPr>
        <w:jc w:val="both"/>
      </w:pPr>
      <w:r w:rsidRPr="00C348C5">
        <w:t xml:space="preserve">Las delegaciones </w:t>
      </w:r>
      <w:r w:rsidR="00116CBC">
        <w:t>coincidieron</w:t>
      </w:r>
      <w:r w:rsidRPr="00C348C5">
        <w:t xml:space="preserve"> que existen condiciones para alcanzar consensos en materias técnicas para</w:t>
      </w:r>
      <w:r w:rsidR="00816145">
        <w:t xml:space="preserve">, </w:t>
      </w:r>
      <w:r w:rsidRPr="00C348C5">
        <w:t>de esta manera</w:t>
      </w:r>
      <w:r w:rsidR="00816145">
        <w:t>,</w:t>
      </w:r>
      <w:r w:rsidRPr="00C348C5">
        <w:t xml:space="preserve"> generar un entorno previsible y transparente para las invers</w:t>
      </w:r>
      <w:r w:rsidR="00E24F10">
        <w:t>iones en el sector automotor en los Estados Partes del</w:t>
      </w:r>
      <w:r w:rsidRPr="00C348C5">
        <w:t xml:space="preserve"> MERCOSUR.</w:t>
      </w:r>
    </w:p>
    <w:p w14:paraId="62D7749F" w14:textId="5EEAB36C" w:rsidR="00C348C5" w:rsidRPr="00C348C5" w:rsidRDefault="00C348C5" w:rsidP="00C348C5">
      <w:pPr>
        <w:widowControl w:val="0"/>
        <w:jc w:val="both"/>
      </w:pPr>
    </w:p>
    <w:p w14:paraId="30BBD8F1" w14:textId="3F41DD15" w:rsidR="00807633" w:rsidRPr="00226D11" w:rsidRDefault="00807633" w:rsidP="00226D11">
      <w:pPr>
        <w:jc w:val="both"/>
      </w:pPr>
      <w:r w:rsidRPr="00226D11">
        <w:t xml:space="preserve">El tema continúa en agenda. </w:t>
      </w:r>
    </w:p>
    <w:p w14:paraId="529090F8" w14:textId="77777777" w:rsidR="009F7559" w:rsidRPr="00D22BC4" w:rsidRDefault="009F7559" w:rsidP="009F7559">
      <w:pPr>
        <w:widowControl w:val="0"/>
        <w:pBdr>
          <w:top w:val="none" w:sz="0" w:space="0" w:color="000000"/>
          <w:left w:val="none" w:sz="0" w:space="0" w:color="000000"/>
          <w:bottom w:val="none" w:sz="0" w:space="0" w:color="000000"/>
          <w:right w:val="none" w:sz="0" w:space="0" w:color="000000"/>
          <w:between w:val="none" w:sz="0" w:space="0" w:color="000000"/>
        </w:pBdr>
        <w:ind w:left="1134"/>
        <w:jc w:val="both"/>
        <w:rPr>
          <w:b/>
          <w:bCs/>
          <w:color w:val="FF0000"/>
        </w:rPr>
      </w:pPr>
    </w:p>
    <w:p w14:paraId="2572125A" w14:textId="5F517208" w:rsidR="00250764" w:rsidRPr="00D22BC4" w:rsidRDefault="00250764" w:rsidP="00D22BC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bCs/>
        </w:rPr>
      </w:pPr>
      <w:r w:rsidRPr="00D22BC4">
        <w:rPr>
          <w:b/>
          <w:bCs/>
        </w:rPr>
        <w:t>Sector Azucarero</w:t>
      </w:r>
    </w:p>
    <w:p w14:paraId="780E3A17" w14:textId="77777777" w:rsidR="00250764" w:rsidRPr="00C815C9" w:rsidRDefault="00250764" w:rsidP="00250764">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3854CB65" w14:textId="77777777" w:rsidR="009F13F9" w:rsidRDefault="009F13F9" w:rsidP="009F13F9">
      <w:pPr>
        <w:jc w:val="both"/>
      </w:pPr>
      <w:r>
        <w:t>La delegación de Brasil destacó la importancia de convocar a una reunión del Grupo Ad Hoc Sector Azucarero (GAHAZ), a fin de acordar los términos de referencia del estudio sobre el sector azucarero.</w:t>
      </w:r>
    </w:p>
    <w:p w14:paraId="44129416" w14:textId="77777777" w:rsidR="00F47780" w:rsidRDefault="00F47780" w:rsidP="009F13F9">
      <w:pPr>
        <w:jc w:val="both"/>
      </w:pPr>
    </w:p>
    <w:p w14:paraId="280BAFFE" w14:textId="2EA8EFAC" w:rsidR="009F13F9" w:rsidRPr="00E20C35" w:rsidRDefault="009F13F9" w:rsidP="009F13F9">
      <w:pPr>
        <w:jc w:val="both"/>
      </w:pPr>
      <w:r>
        <w:t>La PPTA informó que prevé convocar a una reunión del GAHAZ</w:t>
      </w:r>
      <w:r w:rsidR="004A464C">
        <w:t xml:space="preserve"> </w:t>
      </w:r>
      <w:r w:rsidR="004A464C" w:rsidRPr="004A464C">
        <w:t xml:space="preserve">con miras </w:t>
      </w:r>
      <w:r w:rsidR="004A464C" w:rsidRPr="00E20C35">
        <w:t xml:space="preserve">a </w:t>
      </w:r>
      <w:r w:rsidR="00E20C35" w:rsidRPr="00E20C35">
        <w:t>continuar la revisión de</w:t>
      </w:r>
      <w:r w:rsidRPr="00E20C35">
        <w:t xml:space="preserve"> los términos de referencia del estudio.</w:t>
      </w:r>
    </w:p>
    <w:p w14:paraId="0C228539" w14:textId="77777777" w:rsidR="00C348C5" w:rsidRPr="00C348C5" w:rsidRDefault="00C348C5" w:rsidP="00C348C5">
      <w:pPr>
        <w:widowControl w:val="0"/>
        <w:jc w:val="both"/>
      </w:pPr>
    </w:p>
    <w:p w14:paraId="53D23BD5" w14:textId="77777777" w:rsidR="00760B7C" w:rsidRPr="00F97746" w:rsidRDefault="00760B7C" w:rsidP="00C91F86">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580400A8" w14:textId="4CDF4686" w:rsidR="003E3813" w:rsidRPr="00F97746" w:rsidRDefault="008A70F8" w:rsidP="00F97746">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bookmarkStart w:id="1" w:name="_Hlk181212454"/>
      <w:r w:rsidRPr="00F97746">
        <w:rPr>
          <w:b/>
          <w:bCs/>
        </w:rPr>
        <w:t>FONDO PARA LA CONVERGENCIA ESTRUCTURAL DEL MERCOSUR (</w:t>
      </w:r>
      <w:r w:rsidRPr="00F97746">
        <w:rPr>
          <w:b/>
        </w:rPr>
        <w:t>FOCEM)</w:t>
      </w:r>
    </w:p>
    <w:p w14:paraId="77F8C8EF" w14:textId="77777777" w:rsidR="00F97746" w:rsidRDefault="00F97746" w:rsidP="00603F96">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FF0000"/>
        </w:rPr>
      </w:pPr>
    </w:p>
    <w:p w14:paraId="355414EA" w14:textId="7C0C35CD" w:rsidR="004D7E2C" w:rsidRPr="00C348C5" w:rsidRDefault="007F3B1D" w:rsidP="00BE1446">
      <w:pPr>
        <w:pStyle w:val="Prrafodelista"/>
        <w:numPr>
          <w:ilvl w:val="1"/>
          <w:numId w:val="1"/>
        </w:numPr>
        <w:ind w:left="1134" w:hanging="567"/>
        <w:rPr>
          <w:b/>
          <w:bCs/>
          <w:lang w:val="es-ES_tradnl"/>
        </w:rPr>
      </w:pPr>
      <w:r>
        <w:rPr>
          <w:b/>
          <w:bCs/>
          <w:lang w:val="es-ES_tradnl"/>
        </w:rPr>
        <w:t xml:space="preserve"> Continuidad del FOCEM </w:t>
      </w:r>
    </w:p>
    <w:p w14:paraId="41C17321" w14:textId="77777777" w:rsidR="00C348C5" w:rsidRPr="007F3B1D" w:rsidRDefault="00C348C5" w:rsidP="00C348C5">
      <w:pPr>
        <w:rPr>
          <w:b/>
          <w:bCs/>
          <w:lang w:val="es-ES_tradnl"/>
        </w:rPr>
      </w:pPr>
    </w:p>
    <w:p w14:paraId="021454A0" w14:textId="6262B8B8" w:rsidR="007F3B1D" w:rsidRPr="007F3B1D" w:rsidRDefault="00603F96" w:rsidP="007F3B1D">
      <w:pPr>
        <w:widowControl w:val="0"/>
        <w:jc w:val="both"/>
        <w:rPr>
          <w:rFonts w:eastAsia="Arial Unicode MS"/>
          <w:color w:val="000000"/>
          <w:u w:color="000000"/>
          <w:lang w:val="es-ES" w:eastAsia="es-ES"/>
        </w:rPr>
      </w:pPr>
      <w:r w:rsidRPr="007F3B1D">
        <w:rPr>
          <w:rFonts w:eastAsia="Arial Unicode MS"/>
          <w:color w:val="000000"/>
          <w:u w:color="000000"/>
          <w:lang w:val="es-ES" w:eastAsia="es-ES"/>
        </w:rPr>
        <w:t xml:space="preserve">Las delegaciones </w:t>
      </w:r>
      <w:r w:rsidR="0007127D">
        <w:rPr>
          <w:rFonts w:eastAsia="Arial Unicode MS"/>
          <w:color w:val="000000"/>
          <w:u w:color="000000"/>
          <w:lang w:val="es-ES" w:eastAsia="es-ES"/>
        </w:rPr>
        <w:t xml:space="preserve">coincidieron en que el </w:t>
      </w:r>
      <w:r w:rsidRPr="007F3B1D">
        <w:rPr>
          <w:rFonts w:eastAsia="Arial Unicode MS"/>
          <w:color w:val="000000"/>
          <w:u w:color="000000"/>
          <w:lang w:val="es-ES" w:eastAsia="es-ES"/>
        </w:rPr>
        <w:t xml:space="preserve">FOCEM </w:t>
      </w:r>
      <w:r w:rsidR="0007127D">
        <w:rPr>
          <w:rFonts w:eastAsia="Arial Unicode MS"/>
          <w:color w:val="000000"/>
          <w:u w:color="000000"/>
          <w:lang w:val="es-ES" w:eastAsia="es-ES"/>
        </w:rPr>
        <w:t>ha resultado u</w:t>
      </w:r>
      <w:r w:rsidRPr="007F3B1D">
        <w:rPr>
          <w:rFonts w:eastAsia="Arial Unicode MS"/>
          <w:color w:val="000000"/>
          <w:u w:color="000000"/>
          <w:lang w:val="es-ES" w:eastAsia="es-ES"/>
        </w:rPr>
        <w:t xml:space="preserve">n </w:t>
      </w:r>
      <w:r w:rsidR="0007127D">
        <w:rPr>
          <w:rFonts w:eastAsia="Arial Unicode MS"/>
          <w:color w:val="000000"/>
          <w:u w:color="000000"/>
          <w:lang w:val="es-ES" w:eastAsia="es-ES"/>
        </w:rPr>
        <w:t xml:space="preserve">instrumento </w:t>
      </w:r>
      <w:r w:rsidR="0007127D" w:rsidRPr="0007127D">
        <w:rPr>
          <w:rFonts w:eastAsia="Arial Unicode MS"/>
          <w:color w:val="000000"/>
          <w:u w:color="000000"/>
          <w:lang w:val="es-ES" w:eastAsia="es-ES"/>
        </w:rPr>
        <w:t xml:space="preserve">de </w:t>
      </w:r>
      <w:r w:rsidR="0007127D">
        <w:rPr>
          <w:rFonts w:eastAsia="Arial Unicode MS"/>
          <w:color w:val="000000"/>
          <w:u w:color="000000"/>
          <w:lang w:val="es-ES" w:eastAsia="es-ES"/>
        </w:rPr>
        <w:t xml:space="preserve">suma </w:t>
      </w:r>
      <w:r w:rsidR="0007127D" w:rsidRPr="0007127D">
        <w:rPr>
          <w:rFonts w:eastAsia="Arial Unicode MS"/>
          <w:color w:val="000000"/>
          <w:u w:color="000000"/>
          <w:lang w:val="es-ES" w:eastAsia="es-ES"/>
        </w:rPr>
        <w:t>relevancia para promover la convergencia estructural y desarrollar la competitividad, en particular de las economías menores y regiones menos desarrolladas</w:t>
      </w:r>
      <w:r w:rsidR="0007127D">
        <w:rPr>
          <w:rFonts w:eastAsia="Arial Unicode MS"/>
          <w:color w:val="000000"/>
          <w:u w:color="000000"/>
          <w:lang w:val="es-ES" w:eastAsia="es-ES"/>
        </w:rPr>
        <w:t xml:space="preserve"> en los Estados Partes del MERCOSUR.</w:t>
      </w:r>
      <w:r w:rsidR="009770EA" w:rsidRPr="007F3B1D">
        <w:rPr>
          <w:rFonts w:eastAsia="Arial Unicode MS"/>
          <w:color w:val="000000"/>
          <w:u w:color="000000"/>
          <w:lang w:val="es-ES" w:eastAsia="es-ES"/>
        </w:rPr>
        <w:t xml:space="preserve"> </w:t>
      </w:r>
    </w:p>
    <w:p w14:paraId="2D57E465" w14:textId="77777777" w:rsidR="007F3B1D" w:rsidRPr="007F3B1D" w:rsidRDefault="007F3B1D" w:rsidP="007F3B1D">
      <w:pPr>
        <w:widowControl w:val="0"/>
        <w:jc w:val="both"/>
        <w:rPr>
          <w:rFonts w:eastAsia="Arial Unicode MS"/>
          <w:color w:val="000000"/>
          <w:u w:color="000000"/>
          <w:lang w:val="es-ES" w:eastAsia="es-ES"/>
        </w:rPr>
      </w:pPr>
    </w:p>
    <w:p w14:paraId="2B5D63D8" w14:textId="27C379A7" w:rsidR="007F3B1D" w:rsidRDefault="00C51925" w:rsidP="00090492">
      <w:pPr>
        <w:widowControl w:val="0"/>
        <w:jc w:val="both"/>
        <w:rPr>
          <w:rFonts w:eastAsia="Arial Unicode MS"/>
          <w:color w:val="000000"/>
          <w:u w:color="000000"/>
          <w:lang w:val="es-ES" w:eastAsia="es-ES"/>
        </w:rPr>
      </w:pPr>
      <w:r w:rsidRPr="00C51925">
        <w:rPr>
          <w:rFonts w:eastAsia="Arial Unicode MS"/>
          <w:u w:color="000000"/>
          <w:lang w:val="es-ES" w:eastAsia="es-ES"/>
        </w:rPr>
        <w:t>La delegación de Argentina señal</w:t>
      </w:r>
      <w:r w:rsidR="00D37D07">
        <w:rPr>
          <w:rFonts w:eastAsia="Arial Unicode MS"/>
          <w:u w:color="000000"/>
          <w:lang w:val="es-ES" w:eastAsia="es-ES"/>
        </w:rPr>
        <w:t>ó</w:t>
      </w:r>
      <w:r w:rsidRPr="00C51925">
        <w:rPr>
          <w:rFonts w:eastAsia="Arial Unicode MS"/>
          <w:u w:color="000000"/>
          <w:lang w:val="es-ES" w:eastAsia="es-ES"/>
        </w:rPr>
        <w:t xml:space="preserve"> que en una </w:t>
      </w:r>
      <w:r w:rsidR="0007127D" w:rsidRPr="00C51925">
        <w:rPr>
          <w:rFonts w:eastAsia="Arial Unicode MS"/>
          <w:u w:color="000000"/>
          <w:lang w:val="es-ES" w:eastAsia="es-ES"/>
        </w:rPr>
        <w:t xml:space="preserve">nueva etapa del FOCEM se deben </w:t>
      </w:r>
      <w:r w:rsidR="0007127D">
        <w:rPr>
          <w:rFonts w:eastAsia="Arial Unicode MS"/>
          <w:color w:val="000000"/>
          <w:u w:color="000000"/>
          <w:lang w:val="es-ES" w:eastAsia="es-ES"/>
        </w:rPr>
        <w:t>contemplar, por una parte, en cuanto a criterios de aportes y de distribución de recursos, las diferencias estructurales de las economías de cada Estado Parte, entre otros, en términos de Producto Bruto Interno y grado inversor, y por otr</w:t>
      </w:r>
      <w:r>
        <w:rPr>
          <w:rFonts w:eastAsia="Arial Unicode MS"/>
          <w:color w:val="000000"/>
          <w:u w:color="000000"/>
          <w:lang w:val="es-ES" w:eastAsia="es-ES"/>
        </w:rPr>
        <w:t>o</w:t>
      </w:r>
      <w:r w:rsidR="0007127D">
        <w:rPr>
          <w:rFonts w:eastAsia="Arial Unicode MS"/>
          <w:color w:val="000000"/>
          <w:u w:color="000000"/>
          <w:lang w:val="es-ES" w:eastAsia="es-ES"/>
        </w:rPr>
        <w:t xml:space="preserve">, </w:t>
      </w:r>
      <w:r w:rsidR="00090492">
        <w:rPr>
          <w:rFonts w:eastAsia="Arial Unicode MS"/>
          <w:color w:val="000000"/>
          <w:u w:color="000000"/>
          <w:lang w:val="es-ES" w:eastAsia="es-ES"/>
        </w:rPr>
        <w:t>garantizar el principio de transparencia en materia de la participación de empresas de cada Estado Parte del MERCOSUR en las licitaciones que se desarrollen en el marco de los distintos proyectos FOCEM</w:t>
      </w:r>
      <w:bookmarkEnd w:id="1"/>
      <w:r w:rsidR="00090492">
        <w:rPr>
          <w:rFonts w:eastAsia="Arial Unicode MS"/>
          <w:color w:val="000000"/>
          <w:u w:color="000000"/>
          <w:lang w:val="es-ES" w:eastAsia="es-ES"/>
        </w:rPr>
        <w:t>.</w:t>
      </w:r>
    </w:p>
    <w:p w14:paraId="74ACB30A" w14:textId="77777777" w:rsidR="00C51925" w:rsidRDefault="00C51925" w:rsidP="00090492">
      <w:pPr>
        <w:widowControl w:val="0"/>
        <w:jc w:val="both"/>
        <w:rPr>
          <w:rFonts w:eastAsia="Arial Unicode MS"/>
          <w:u w:color="000000"/>
          <w:lang w:val="es-ES" w:eastAsia="es-ES"/>
        </w:rPr>
      </w:pPr>
    </w:p>
    <w:p w14:paraId="3A5408D2" w14:textId="5DCB0F5E" w:rsidR="00C51925" w:rsidRDefault="00C51925" w:rsidP="00090492">
      <w:pPr>
        <w:widowControl w:val="0"/>
        <w:jc w:val="both"/>
        <w:rPr>
          <w:rFonts w:eastAsia="Arial Unicode MS"/>
          <w:u w:color="000000"/>
          <w:lang w:val="es-ES" w:eastAsia="es-ES"/>
        </w:rPr>
      </w:pPr>
      <w:r>
        <w:rPr>
          <w:rFonts w:eastAsia="Arial Unicode MS"/>
          <w:u w:color="000000"/>
          <w:lang w:val="es-ES" w:eastAsia="es-ES"/>
        </w:rPr>
        <w:t>La delegación de Bolivia señaló el interés en sumarse en una nueva etapa del FOCEM</w:t>
      </w:r>
      <w:r w:rsidR="008F1504">
        <w:rPr>
          <w:rFonts w:eastAsia="Arial Unicode MS"/>
          <w:u w:color="000000"/>
          <w:lang w:val="es-ES" w:eastAsia="es-ES"/>
        </w:rPr>
        <w:t xml:space="preserve">, </w:t>
      </w:r>
      <w:r w:rsidR="00F14B38">
        <w:rPr>
          <w:rFonts w:eastAsia="Arial Unicode MS"/>
          <w:u w:color="000000"/>
          <w:lang w:val="es-ES" w:eastAsia="es-ES"/>
        </w:rPr>
        <w:t xml:space="preserve">de conformidad con lo establecido en el Tratado de Asunción y en el Protocolo de Adhesión de Bolivia al MERCOSUR. </w:t>
      </w:r>
      <w:r w:rsidR="00D37D07">
        <w:rPr>
          <w:rFonts w:eastAsia="Arial Unicode MS"/>
          <w:u w:color="000000"/>
          <w:lang w:val="es-ES" w:eastAsia="es-ES"/>
        </w:rPr>
        <w:t xml:space="preserve">Las delegaciones compartieron el interés de Bolivia. </w:t>
      </w:r>
    </w:p>
    <w:p w14:paraId="5CE36E07" w14:textId="77777777" w:rsidR="00C51925" w:rsidRPr="00C51925" w:rsidRDefault="00C51925" w:rsidP="00090492">
      <w:pPr>
        <w:widowControl w:val="0"/>
        <w:jc w:val="both"/>
        <w:rPr>
          <w:rFonts w:eastAsia="Arial Unicode MS"/>
          <w:u w:color="000000"/>
          <w:lang w:val="es-ES" w:eastAsia="es-ES"/>
        </w:rPr>
      </w:pPr>
    </w:p>
    <w:p w14:paraId="3E865770" w14:textId="1CB2BEA7" w:rsidR="00C51925" w:rsidRDefault="00C51925" w:rsidP="00090492">
      <w:pPr>
        <w:widowControl w:val="0"/>
        <w:jc w:val="both"/>
        <w:rPr>
          <w:rFonts w:eastAsia="Arial Unicode MS"/>
          <w:u w:color="000000"/>
          <w:lang w:val="es-ES" w:eastAsia="es-ES"/>
        </w:rPr>
      </w:pPr>
      <w:r w:rsidRPr="00C51925">
        <w:rPr>
          <w:rFonts w:eastAsia="Arial Unicode MS"/>
          <w:u w:color="000000"/>
          <w:lang w:val="es-ES" w:eastAsia="es-ES"/>
        </w:rPr>
        <w:t xml:space="preserve">El GMC </w:t>
      </w:r>
      <w:r w:rsidR="008F1504">
        <w:rPr>
          <w:rFonts w:eastAsia="Arial Unicode MS"/>
          <w:u w:color="000000"/>
          <w:lang w:val="es-ES" w:eastAsia="es-ES"/>
        </w:rPr>
        <w:t xml:space="preserve">tomó nota de los trabajos en la </w:t>
      </w:r>
      <w:r w:rsidR="0020622A">
        <w:rPr>
          <w:rFonts w:eastAsia="Arial Unicode MS"/>
          <w:u w:color="000000"/>
          <w:lang w:val="es-ES" w:eastAsia="es-ES"/>
        </w:rPr>
        <w:t>Comisión</w:t>
      </w:r>
      <w:r w:rsidR="007A14DE">
        <w:rPr>
          <w:rFonts w:eastAsia="Arial Unicode MS"/>
          <w:u w:color="000000"/>
          <w:lang w:val="es-ES" w:eastAsia="es-ES"/>
        </w:rPr>
        <w:t xml:space="preserve"> de Representantes Permanentes </w:t>
      </w:r>
      <w:r w:rsidR="0020622A">
        <w:rPr>
          <w:rFonts w:eastAsia="Arial Unicode MS"/>
          <w:u w:color="000000"/>
          <w:lang w:val="es-ES" w:eastAsia="es-ES"/>
        </w:rPr>
        <w:t>del MERCOSUR (</w:t>
      </w:r>
      <w:r w:rsidRPr="00C51925">
        <w:rPr>
          <w:rFonts w:eastAsia="Arial Unicode MS"/>
          <w:u w:color="000000"/>
          <w:lang w:val="es-ES" w:eastAsia="es-ES"/>
        </w:rPr>
        <w:t>CRPM</w:t>
      </w:r>
      <w:r w:rsidR="0020622A">
        <w:rPr>
          <w:rFonts w:eastAsia="Arial Unicode MS"/>
          <w:u w:color="000000"/>
          <w:lang w:val="es-ES" w:eastAsia="es-ES"/>
        </w:rPr>
        <w:t>)</w:t>
      </w:r>
      <w:r w:rsidR="008F1504">
        <w:rPr>
          <w:rFonts w:eastAsia="Arial Unicode MS"/>
          <w:u w:color="000000"/>
          <w:lang w:val="es-ES" w:eastAsia="es-ES"/>
        </w:rPr>
        <w:t xml:space="preserve"> y acordó mantener en la agenda del GMC </w:t>
      </w:r>
      <w:r w:rsidRPr="00C51925">
        <w:rPr>
          <w:rFonts w:eastAsia="Arial Unicode MS"/>
          <w:u w:color="000000"/>
          <w:lang w:val="es-ES" w:eastAsia="es-ES"/>
        </w:rPr>
        <w:t xml:space="preserve">los trabajos </w:t>
      </w:r>
      <w:r w:rsidR="008F1504">
        <w:rPr>
          <w:rFonts w:eastAsia="Arial Unicode MS"/>
          <w:u w:color="000000"/>
          <w:lang w:val="es-ES" w:eastAsia="es-ES"/>
        </w:rPr>
        <w:t xml:space="preserve">relativos a una </w:t>
      </w:r>
      <w:r w:rsidRPr="00C51925">
        <w:rPr>
          <w:rFonts w:eastAsia="Arial Unicode MS"/>
          <w:u w:color="000000"/>
          <w:lang w:val="es-ES" w:eastAsia="es-ES"/>
        </w:rPr>
        <w:t xml:space="preserve">eventual nueva etapa del FOCEM. </w:t>
      </w:r>
    </w:p>
    <w:p w14:paraId="72AEC97E" w14:textId="3D3E1D09" w:rsidR="008F1504" w:rsidRPr="00C51925" w:rsidRDefault="008F1504" w:rsidP="007F3B1D">
      <w:pPr>
        <w:widowControl w:val="0"/>
        <w:jc w:val="both"/>
        <w:rPr>
          <w:rFonts w:eastAsia="Arial Unicode MS"/>
          <w:u w:color="000000"/>
          <w:lang w:val="es-ES" w:eastAsia="es-ES"/>
        </w:rPr>
      </w:pPr>
    </w:p>
    <w:p w14:paraId="08C1479D" w14:textId="49548590" w:rsidR="000D63B4" w:rsidRPr="00C348C5" w:rsidRDefault="000D63B4" w:rsidP="00BE1446">
      <w:pPr>
        <w:pStyle w:val="Prrafodelista"/>
        <w:numPr>
          <w:ilvl w:val="1"/>
          <w:numId w:val="1"/>
        </w:numPr>
        <w:ind w:left="1134" w:hanging="567"/>
        <w:rPr>
          <w:b/>
          <w:bCs/>
          <w:lang w:val="es-ES_tradnl"/>
        </w:rPr>
      </w:pPr>
      <w:r>
        <w:rPr>
          <w:b/>
          <w:bCs/>
          <w:lang w:val="es-ES_tradnl"/>
        </w:rPr>
        <w:t xml:space="preserve"> Coordinador Ejecutivo UTF </w:t>
      </w:r>
    </w:p>
    <w:p w14:paraId="79E4FCD1" w14:textId="77777777" w:rsidR="000D63B4" w:rsidRPr="00C348C5" w:rsidRDefault="000D63B4" w:rsidP="000D63B4">
      <w:pPr>
        <w:rPr>
          <w:b/>
          <w:bCs/>
        </w:rPr>
      </w:pPr>
    </w:p>
    <w:p w14:paraId="28B6E02F" w14:textId="5F4F1821" w:rsidR="00EC1B6F" w:rsidRPr="007F3B1D" w:rsidRDefault="007F3B1D" w:rsidP="007F3B1D">
      <w:pPr>
        <w:widowControl w:val="0"/>
        <w:jc w:val="both"/>
        <w:rPr>
          <w:rFonts w:eastAsia="Arial Unicode MS"/>
          <w:color w:val="000000"/>
          <w:u w:color="000000"/>
          <w:lang w:val="es-ES" w:eastAsia="es-ES"/>
        </w:rPr>
      </w:pPr>
      <w:r w:rsidRPr="007F3B1D">
        <w:rPr>
          <w:rFonts w:eastAsia="Arial Unicode MS"/>
          <w:color w:val="000000"/>
          <w:u w:color="000000"/>
          <w:lang w:val="es-ES" w:eastAsia="es-ES"/>
        </w:rPr>
        <w:t xml:space="preserve">La delegación de Brasil reiteró </w:t>
      </w:r>
      <w:r w:rsidR="00EC1B6F" w:rsidRPr="007F3B1D">
        <w:rPr>
          <w:rFonts w:eastAsia="Arial Unicode MS"/>
          <w:color w:val="000000"/>
          <w:u w:color="000000"/>
          <w:lang w:val="es-ES" w:eastAsia="es-ES"/>
        </w:rPr>
        <w:t xml:space="preserve">la candidatura del Subsecretario de Articulación Institucional del Ministerio del Ministerio de Planeamiento y Presupuesto, Luciano </w:t>
      </w:r>
      <w:proofErr w:type="spellStart"/>
      <w:r w:rsidR="00EC1B6F" w:rsidRPr="007F3B1D">
        <w:rPr>
          <w:rFonts w:eastAsia="Arial Unicode MS"/>
          <w:color w:val="000000"/>
          <w:u w:color="000000"/>
          <w:lang w:val="es-ES" w:eastAsia="es-ES"/>
        </w:rPr>
        <w:t>Wexell</w:t>
      </w:r>
      <w:proofErr w:type="spellEnd"/>
      <w:r w:rsidR="00EC1B6F" w:rsidRPr="007F3B1D">
        <w:rPr>
          <w:rFonts w:eastAsia="Arial Unicode MS"/>
          <w:color w:val="000000"/>
          <w:u w:color="000000"/>
          <w:lang w:val="es-ES" w:eastAsia="es-ES"/>
        </w:rPr>
        <w:t xml:space="preserve"> Severo, al cargo de Coordinador Ejecutivo de la UTF, como </w:t>
      </w:r>
      <w:r w:rsidR="00EC1B6F" w:rsidRPr="007F3B1D">
        <w:rPr>
          <w:rFonts w:eastAsia="Arial Unicode MS"/>
          <w:color w:val="000000"/>
          <w:u w:color="000000"/>
          <w:lang w:val="es-ES" w:eastAsia="es-ES"/>
        </w:rPr>
        <w:lastRenderedPageBreak/>
        <w:t>expresión de su compromiso político con el Fondo y con la eficiente ejecución de sus proyectos.</w:t>
      </w:r>
    </w:p>
    <w:p w14:paraId="785D962E" w14:textId="5CA1F57A" w:rsidR="007F3B1D" w:rsidRPr="007F3B1D" w:rsidRDefault="007F3B1D" w:rsidP="007F3B1D">
      <w:pPr>
        <w:widowControl w:val="0"/>
        <w:jc w:val="both"/>
        <w:rPr>
          <w:rFonts w:eastAsia="Arial Unicode MS"/>
          <w:color w:val="000000"/>
          <w:u w:color="000000"/>
          <w:lang w:val="es-ES" w:eastAsia="es-ES"/>
        </w:rPr>
      </w:pPr>
    </w:p>
    <w:p w14:paraId="7D01D047" w14:textId="375D6EAE" w:rsidR="00F47780" w:rsidRDefault="000D4274" w:rsidP="007F3B1D">
      <w:pPr>
        <w:jc w:val="both"/>
        <w:rPr>
          <w:rFonts w:eastAsia="Arial Unicode MS"/>
          <w:color w:val="000000"/>
          <w:u w:color="000000"/>
          <w:lang w:val="es-ES" w:eastAsia="es-ES"/>
        </w:rPr>
      </w:pPr>
      <w:r>
        <w:rPr>
          <w:rFonts w:eastAsia="Arial Unicode MS"/>
          <w:color w:val="000000"/>
          <w:u w:color="000000"/>
          <w:lang w:val="es-ES" w:eastAsia="es-ES"/>
        </w:rPr>
        <w:t xml:space="preserve">La delegación de Argentina agregó </w:t>
      </w:r>
      <w:r w:rsidR="0087455D">
        <w:rPr>
          <w:rFonts w:eastAsia="Arial Unicode MS"/>
          <w:color w:val="000000"/>
          <w:u w:color="000000"/>
          <w:lang w:val="es-ES" w:eastAsia="es-ES"/>
        </w:rPr>
        <w:t xml:space="preserve">que </w:t>
      </w:r>
      <w:r w:rsidR="00F47780">
        <w:rPr>
          <w:rFonts w:eastAsia="Arial Unicode MS"/>
          <w:color w:val="000000"/>
          <w:u w:color="000000"/>
          <w:lang w:val="es-ES" w:eastAsia="es-ES"/>
        </w:rPr>
        <w:t xml:space="preserve">acompañará la candidatura presentada por Brasil </w:t>
      </w:r>
      <w:r>
        <w:rPr>
          <w:rFonts w:eastAsia="Arial Unicode MS"/>
          <w:color w:val="000000"/>
          <w:u w:color="000000"/>
          <w:lang w:val="es-ES" w:eastAsia="es-ES"/>
        </w:rPr>
        <w:t>para cubrir el cargo de Coordinador Ejecutivo de la UTF, en el marco de una eventual nueva etapa del FOCEM</w:t>
      </w:r>
      <w:r w:rsidR="00064CE7">
        <w:rPr>
          <w:rFonts w:eastAsia="Arial Unicode MS"/>
          <w:color w:val="000000"/>
          <w:u w:color="000000"/>
          <w:lang w:val="es-ES" w:eastAsia="es-ES"/>
        </w:rPr>
        <w:t>.</w:t>
      </w:r>
    </w:p>
    <w:p w14:paraId="5CF27178" w14:textId="77777777" w:rsidR="007F3B1D" w:rsidRPr="007F3B1D" w:rsidRDefault="007F3B1D" w:rsidP="007F3B1D">
      <w:pPr>
        <w:jc w:val="both"/>
        <w:rPr>
          <w:rFonts w:eastAsia="Arial Unicode MS"/>
          <w:color w:val="000000"/>
          <w:u w:color="000000"/>
          <w:lang w:val="es-ES" w:eastAsia="es-ES"/>
        </w:rPr>
      </w:pPr>
    </w:p>
    <w:p w14:paraId="76E1592C" w14:textId="4BFB5F0B" w:rsidR="007F3B1D" w:rsidRPr="00C348C5" w:rsidRDefault="000D63B4" w:rsidP="00BE1446">
      <w:pPr>
        <w:pStyle w:val="Prrafodelista"/>
        <w:numPr>
          <w:ilvl w:val="1"/>
          <w:numId w:val="1"/>
        </w:numPr>
        <w:ind w:left="1134" w:hanging="567"/>
        <w:rPr>
          <w:b/>
          <w:bCs/>
          <w:lang w:val="es-ES_tradnl"/>
        </w:rPr>
      </w:pPr>
      <w:r>
        <w:rPr>
          <w:b/>
          <w:bCs/>
          <w:lang w:val="es-ES_tradnl"/>
        </w:rPr>
        <w:t xml:space="preserve"> </w:t>
      </w:r>
      <w:r w:rsidR="007F3B1D" w:rsidRPr="00C348C5">
        <w:rPr>
          <w:b/>
          <w:bCs/>
          <w:lang w:val="es-ES_tradnl"/>
        </w:rPr>
        <w:t>Auditorías externas de proyectos FOCEM</w:t>
      </w:r>
    </w:p>
    <w:p w14:paraId="3E26E206" w14:textId="77777777" w:rsidR="007F3B1D" w:rsidRPr="00C348C5" w:rsidRDefault="007F3B1D" w:rsidP="007F3B1D">
      <w:pPr>
        <w:rPr>
          <w:b/>
          <w:bCs/>
        </w:rPr>
      </w:pPr>
    </w:p>
    <w:p w14:paraId="7BE8A788" w14:textId="5AE8631A" w:rsidR="00BE1446" w:rsidRDefault="007F3B1D" w:rsidP="00CE44D3">
      <w:pPr>
        <w:pStyle w:val="Corpo"/>
        <w:jc w:val="both"/>
        <w:rPr>
          <w:rFonts w:cs="Arial"/>
          <w:lang w:val="es-ES" w:eastAsia="es-ES"/>
        </w:rPr>
      </w:pPr>
      <w:r w:rsidRPr="00C348C5">
        <w:rPr>
          <w:rFonts w:cs="Arial"/>
          <w:lang w:val="es-ES" w:eastAsia="es-ES"/>
        </w:rPr>
        <w:t xml:space="preserve">De conformidad a lo establecido en el artículo 77.6 del Reglamento del FOCEM (Decisiones CMC Nº 01/10 y </w:t>
      </w:r>
      <w:r w:rsidR="00A22F4B">
        <w:rPr>
          <w:rFonts w:cs="Arial"/>
          <w:lang w:val="es-ES" w:eastAsia="es-ES"/>
        </w:rPr>
        <w:t xml:space="preserve">N° </w:t>
      </w:r>
      <w:r w:rsidRPr="00C348C5">
        <w:rPr>
          <w:rFonts w:cs="Arial"/>
          <w:lang w:val="es-ES" w:eastAsia="es-ES"/>
        </w:rPr>
        <w:t>35/15), el GMC recibió los resultados elevados por la CRPM de la auditoría externa de medio término realizada al proyecto "Modernización de la infraestructura informática de la Secretaría del MERCOSUR y del Portal Web del MERCOSUR” (Nota CRPM PPTA Nº 05/2025, de fecha 24/01/25).</w:t>
      </w:r>
    </w:p>
    <w:p w14:paraId="202ECF50" w14:textId="77777777" w:rsidR="00CE44D3" w:rsidRDefault="00CE44D3" w:rsidP="00CE44D3">
      <w:pPr>
        <w:pStyle w:val="Corpo"/>
        <w:jc w:val="both"/>
        <w:rPr>
          <w:bCs/>
          <w:lang w:val="es-ES"/>
        </w:rPr>
      </w:pPr>
    </w:p>
    <w:p w14:paraId="123F9467" w14:textId="77777777" w:rsidR="003625CB" w:rsidRPr="007F3B1D" w:rsidRDefault="003625CB" w:rsidP="00C51685">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es-ES"/>
        </w:rPr>
      </w:pPr>
    </w:p>
    <w:p w14:paraId="7D4492EA" w14:textId="23EAE11E" w:rsidR="007B16ED" w:rsidRDefault="007F5875" w:rsidP="000D63B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7B16ED">
        <w:rPr>
          <w:b/>
        </w:rPr>
        <w:t>AGENDA INSTITUCIONAL</w:t>
      </w:r>
    </w:p>
    <w:p w14:paraId="440B2B11" w14:textId="77777777" w:rsidR="007B16ED" w:rsidRDefault="007B16ED" w:rsidP="007B16ED">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7B1EE72C" w14:textId="7B94295F" w:rsidR="007B16ED" w:rsidRDefault="007B16ED" w:rsidP="00BE1446">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Pr>
          <w:b/>
        </w:rPr>
        <w:t xml:space="preserve">Racionalización Financiera del MERCOSUR </w:t>
      </w:r>
    </w:p>
    <w:p w14:paraId="5866F592" w14:textId="77777777" w:rsidR="00DF4903" w:rsidRDefault="00DF4903" w:rsidP="00DF4903">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04E90212" w14:textId="103241F4" w:rsidR="0053156F" w:rsidRPr="003773F1" w:rsidRDefault="0053156F" w:rsidP="003773F1">
      <w:pPr>
        <w:jc w:val="both"/>
        <w:rPr>
          <w:rFonts w:eastAsia="Arial Unicode MS"/>
          <w:color w:val="000000"/>
          <w:u w:color="000000"/>
          <w:lang w:val="es-ES" w:eastAsia="es-ES"/>
        </w:rPr>
      </w:pPr>
      <w:r w:rsidRPr="003773F1">
        <w:rPr>
          <w:rFonts w:eastAsia="Arial Unicode MS"/>
          <w:color w:val="000000"/>
          <w:u w:color="000000"/>
          <w:lang w:val="es-ES" w:eastAsia="es-ES"/>
        </w:rPr>
        <w:t>La delegación de Argentina informó que</w:t>
      </w:r>
      <w:r w:rsidR="003625CB">
        <w:rPr>
          <w:rFonts w:eastAsia="Arial Unicode MS"/>
          <w:color w:val="000000"/>
          <w:u w:color="000000"/>
          <w:lang w:val="es-ES" w:eastAsia="es-ES"/>
        </w:rPr>
        <w:t>, en ejercicio de la PPT,</w:t>
      </w:r>
      <w:r w:rsidRPr="003773F1">
        <w:rPr>
          <w:rFonts w:eastAsia="Arial Unicode MS"/>
          <w:color w:val="000000"/>
          <w:u w:color="000000"/>
          <w:lang w:val="es-ES" w:eastAsia="es-ES"/>
        </w:rPr>
        <w:t xml:space="preserve"> continuará impulsando un uso racional, prudente y eficiente de los recursos comprometidos para el sostenimiento de los órganos MERCOSUR con presupuesto propio, así como el diseño e implementación de un plan integral de reforma que brinde certidumbre y previsibilidad sobre el financiamiento de la estructura institucional del MERCOSUR. </w:t>
      </w:r>
    </w:p>
    <w:p w14:paraId="5E09FDDA" w14:textId="77777777" w:rsidR="00DF4903" w:rsidRPr="003773F1" w:rsidRDefault="00DF4903" w:rsidP="003773F1">
      <w:pPr>
        <w:widowControl w:val="0"/>
        <w:jc w:val="both"/>
        <w:rPr>
          <w:rFonts w:eastAsia="Arial Unicode MS"/>
          <w:color w:val="000000"/>
          <w:u w:color="000000"/>
          <w:lang w:val="es-ES" w:eastAsia="es-ES"/>
        </w:rPr>
      </w:pPr>
    </w:p>
    <w:p w14:paraId="38927686" w14:textId="6988804E" w:rsidR="0053156F" w:rsidRPr="003773F1" w:rsidRDefault="003773F1" w:rsidP="003773F1">
      <w:pPr>
        <w:jc w:val="both"/>
        <w:rPr>
          <w:rFonts w:eastAsia="Arial Unicode MS"/>
          <w:color w:val="000000"/>
          <w:u w:color="000000"/>
          <w:lang w:val="es-ES" w:eastAsia="es-ES"/>
        </w:rPr>
      </w:pPr>
      <w:r>
        <w:rPr>
          <w:rFonts w:eastAsia="Arial Unicode MS"/>
          <w:color w:val="000000"/>
          <w:u w:color="000000"/>
          <w:lang w:val="es-ES" w:eastAsia="es-ES"/>
        </w:rPr>
        <w:t xml:space="preserve">La delegación de Argentina </w:t>
      </w:r>
      <w:r w:rsidR="003625CB">
        <w:rPr>
          <w:rFonts w:eastAsia="Arial Unicode MS"/>
          <w:color w:val="000000"/>
          <w:u w:color="000000"/>
          <w:lang w:val="es-ES" w:eastAsia="es-ES"/>
        </w:rPr>
        <w:t>reiteró</w:t>
      </w:r>
      <w:r w:rsidR="0053156F" w:rsidRPr="003773F1">
        <w:rPr>
          <w:rFonts w:eastAsia="Arial Unicode MS"/>
          <w:color w:val="000000"/>
          <w:u w:color="000000"/>
          <w:lang w:val="es-ES" w:eastAsia="es-ES"/>
        </w:rPr>
        <w:t xml:space="preserve"> que</w:t>
      </w:r>
      <w:r w:rsidR="003625CB">
        <w:rPr>
          <w:rFonts w:eastAsia="Arial Unicode MS"/>
          <w:color w:val="000000"/>
          <w:u w:color="000000"/>
          <w:lang w:val="es-ES" w:eastAsia="es-ES"/>
        </w:rPr>
        <w:t xml:space="preserve"> su propuesta de</w:t>
      </w:r>
      <w:r w:rsidR="0053156F" w:rsidRPr="003773F1">
        <w:rPr>
          <w:rFonts w:eastAsia="Arial Unicode MS"/>
          <w:color w:val="000000"/>
          <w:u w:color="000000"/>
          <w:lang w:val="es-ES" w:eastAsia="es-ES"/>
        </w:rPr>
        <w:t xml:space="preserve"> racionalización financiera, en base a un criterio de productividad, se encuadra en los mandatos establecidos en las Decisiones </w:t>
      </w:r>
      <w:r w:rsidR="003625CB">
        <w:rPr>
          <w:rFonts w:eastAsia="Arial Unicode MS"/>
          <w:color w:val="000000"/>
          <w:u w:color="000000"/>
          <w:lang w:val="es-ES" w:eastAsia="es-ES"/>
        </w:rPr>
        <w:t>CMC</w:t>
      </w:r>
      <w:r w:rsidR="0053156F" w:rsidRPr="003773F1">
        <w:rPr>
          <w:rFonts w:eastAsia="Arial Unicode MS"/>
          <w:color w:val="000000"/>
          <w:u w:color="000000"/>
          <w:lang w:val="es-ES" w:eastAsia="es-ES"/>
        </w:rPr>
        <w:t xml:space="preserve"> N° </w:t>
      </w:r>
      <w:r w:rsidR="007A14DE">
        <w:rPr>
          <w:rFonts w:eastAsia="Arial Unicode MS"/>
          <w:color w:val="000000"/>
          <w:u w:color="000000"/>
          <w:lang w:val="es-ES" w:eastAsia="es-ES"/>
        </w:rPr>
        <w:t>0</w:t>
      </w:r>
      <w:r w:rsidR="0053156F" w:rsidRPr="003773F1">
        <w:rPr>
          <w:rFonts w:eastAsia="Arial Unicode MS"/>
          <w:color w:val="000000"/>
          <w:u w:color="000000"/>
          <w:lang w:val="es-ES" w:eastAsia="es-ES"/>
        </w:rPr>
        <w:t xml:space="preserve">9/19 y </w:t>
      </w:r>
      <w:r w:rsidR="002606C1">
        <w:rPr>
          <w:rFonts w:eastAsia="Arial Unicode MS"/>
          <w:color w:val="000000"/>
          <w:u w:color="000000"/>
          <w:lang w:val="es-ES" w:eastAsia="es-ES"/>
        </w:rPr>
        <w:t xml:space="preserve">N° </w:t>
      </w:r>
      <w:r w:rsidR="0053156F" w:rsidRPr="003773F1">
        <w:rPr>
          <w:rFonts w:eastAsia="Arial Unicode MS"/>
          <w:color w:val="000000"/>
          <w:u w:color="000000"/>
          <w:lang w:val="es-ES" w:eastAsia="es-ES"/>
        </w:rPr>
        <w:t>19/19 y se vincula con la entrada en vigor del Presupuesto MERCOSUR (Decisión CMC N° 07/19)</w:t>
      </w:r>
      <w:r w:rsidR="003625CB">
        <w:rPr>
          <w:rFonts w:eastAsia="Arial Unicode MS"/>
          <w:color w:val="000000"/>
          <w:u w:color="000000"/>
          <w:lang w:val="es-ES" w:eastAsia="es-ES"/>
        </w:rPr>
        <w:t>, así como con</w:t>
      </w:r>
      <w:r w:rsidR="0053156F" w:rsidRPr="003773F1">
        <w:rPr>
          <w:rFonts w:eastAsia="Arial Unicode MS"/>
          <w:color w:val="000000"/>
          <w:u w:color="000000"/>
          <w:lang w:val="es-ES" w:eastAsia="es-ES"/>
        </w:rPr>
        <w:t xml:space="preserve"> la colaboración entre los órganos MERCOSUR (Decisión CMC N° 01/21). </w:t>
      </w:r>
    </w:p>
    <w:p w14:paraId="5C3CC58D" w14:textId="77777777" w:rsidR="0053156F" w:rsidRPr="003773F1" w:rsidRDefault="0053156F" w:rsidP="003773F1">
      <w:pPr>
        <w:jc w:val="both"/>
        <w:rPr>
          <w:rFonts w:eastAsia="Arial Unicode MS"/>
          <w:color w:val="000000"/>
          <w:u w:color="000000"/>
          <w:lang w:val="es-ES" w:eastAsia="es-ES"/>
        </w:rPr>
      </w:pPr>
    </w:p>
    <w:p w14:paraId="4150D841" w14:textId="2C7C896E" w:rsidR="0053156F" w:rsidRPr="003773F1" w:rsidRDefault="003773F1" w:rsidP="003773F1">
      <w:pPr>
        <w:jc w:val="both"/>
        <w:rPr>
          <w:rFonts w:eastAsia="Arial Unicode MS"/>
          <w:color w:val="000000"/>
          <w:u w:color="000000"/>
          <w:lang w:val="es-ES" w:eastAsia="es-ES"/>
        </w:rPr>
      </w:pPr>
      <w:r>
        <w:rPr>
          <w:rFonts w:eastAsia="Arial Unicode MS"/>
          <w:color w:val="000000"/>
          <w:u w:color="000000"/>
          <w:lang w:val="es-ES" w:eastAsia="es-ES"/>
        </w:rPr>
        <w:t>L</w:t>
      </w:r>
      <w:r w:rsidR="0053156F" w:rsidRPr="003773F1">
        <w:rPr>
          <w:rFonts w:eastAsia="Arial Unicode MS"/>
          <w:color w:val="000000"/>
          <w:u w:color="000000"/>
          <w:lang w:val="es-ES" w:eastAsia="es-ES"/>
        </w:rPr>
        <w:t xml:space="preserve">a </w:t>
      </w:r>
      <w:r w:rsidRPr="003773F1">
        <w:rPr>
          <w:rFonts w:eastAsia="Arial Unicode MS"/>
          <w:color w:val="000000"/>
          <w:u w:color="000000"/>
          <w:lang w:val="es-ES" w:eastAsia="es-ES"/>
        </w:rPr>
        <w:t xml:space="preserve">PPTA </w:t>
      </w:r>
      <w:r w:rsidR="0053156F" w:rsidRPr="003773F1">
        <w:rPr>
          <w:rFonts w:eastAsia="Arial Unicode MS"/>
          <w:color w:val="000000"/>
          <w:u w:color="000000"/>
          <w:lang w:val="es-ES" w:eastAsia="es-ES"/>
        </w:rPr>
        <w:t xml:space="preserve">señaló que promoverá </w:t>
      </w:r>
      <w:r w:rsidRPr="003773F1">
        <w:rPr>
          <w:rFonts w:eastAsia="Arial Unicode MS"/>
          <w:color w:val="000000"/>
          <w:u w:color="000000"/>
          <w:lang w:val="es-ES" w:eastAsia="es-ES"/>
        </w:rPr>
        <w:t>-</w:t>
      </w:r>
      <w:r w:rsidR="0053156F" w:rsidRPr="003773F1">
        <w:rPr>
          <w:rFonts w:eastAsia="Arial Unicode MS"/>
          <w:color w:val="000000"/>
          <w:u w:color="000000"/>
          <w:lang w:val="es-ES" w:eastAsia="es-ES"/>
        </w:rPr>
        <w:t>en el Grupo de Asuntos Presupuestarios (GAP)</w:t>
      </w:r>
      <w:r w:rsidRPr="003773F1">
        <w:rPr>
          <w:rFonts w:eastAsia="Arial Unicode MS"/>
          <w:color w:val="000000"/>
          <w:u w:color="000000"/>
          <w:lang w:val="es-ES" w:eastAsia="es-ES"/>
        </w:rPr>
        <w:t>- el establecimiento de un mismo Sistema de Gestión Administrativo Financiero y de Contabilidad en la SM, ST, ISM e IPPDDHH,</w:t>
      </w:r>
      <w:r w:rsidR="0053156F" w:rsidRPr="003773F1">
        <w:rPr>
          <w:rFonts w:eastAsia="Arial Unicode MS"/>
          <w:color w:val="000000"/>
          <w:u w:color="000000"/>
          <w:lang w:val="es-ES" w:eastAsia="es-ES"/>
        </w:rPr>
        <w:t xml:space="preserve"> </w:t>
      </w:r>
      <w:r w:rsidRPr="003773F1">
        <w:rPr>
          <w:rFonts w:eastAsia="Arial Unicode MS"/>
          <w:color w:val="000000"/>
          <w:u w:color="000000"/>
          <w:lang w:val="es-ES" w:eastAsia="es-ES"/>
        </w:rPr>
        <w:t xml:space="preserve">esto </w:t>
      </w:r>
      <w:r w:rsidR="0053156F" w:rsidRPr="003773F1">
        <w:rPr>
          <w:rFonts w:eastAsia="Arial Unicode MS"/>
          <w:color w:val="000000"/>
          <w:u w:color="000000"/>
          <w:lang w:val="es-ES" w:eastAsia="es-ES"/>
        </w:rPr>
        <w:t xml:space="preserve">de conformidad con la instrucción </w:t>
      </w:r>
      <w:r w:rsidRPr="003773F1">
        <w:rPr>
          <w:rFonts w:eastAsia="Arial Unicode MS"/>
          <w:color w:val="000000"/>
          <w:u w:color="000000"/>
          <w:lang w:val="es-ES" w:eastAsia="es-ES"/>
        </w:rPr>
        <w:t xml:space="preserve">oportunamente </w:t>
      </w:r>
      <w:r w:rsidR="0053156F" w:rsidRPr="003773F1">
        <w:rPr>
          <w:rFonts w:eastAsia="Arial Unicode MS"/>
          <w:color w:val="000000"/>
          <w:u w:color="000000"/>
          <w:lang w:val="es-ES" w:eastAsia="es-ES"/>
        </w:rPr>
        <w:t>impartida por el GMC en 2021</w:t>
      </w:r>
      <w:r w:rsidRPr="003773F1">
        <w:rPr>
          <w:rFonts w:eastAsia="Arial Unicode MS"/>
          <w:color w:val="000000"/>
          <w:u w:color="000000"/>
          <w:lang w:val="es-ES" w:eastAsia="es-ES"/>
        </w:rPr>
        <w:t xml:space="preserve">. Asimismo, indicó que impulsará los trabajos en el </w:t>
      </w:r>
      <w:r w:rsidR="0053156F" w:rsidRPr="003773F1">
        <w:rPr>
          <w:rFonts w:eastAsia="Arial Unicode MS"/>
          <w:color w:val="000000"/>
          <w:u w:color="000000"/>
          <w:lang w:val="es-ES" w:eastAsia="es-ES"/>
        </w:rPr>
        <w:t xml:space="preserve">Grupo de Asuntos </w:t>
      </w:r>
      <w:r w:rsidR="004C2600">
        <w:rPr>
          <w:rFonts w:eastAsia="Arial Unicode MS"/>
          <w:color w:val="000000"/>
          <w:u w:color="000000"/>
          <w:lang w:val="es-ES" w:eastAsia="es-ES"/>
        </w:rPr>
        <w:t xml:space="preserve">Jurídicos e </w:t>
      </w:r>
      <w:r w:rsidR="0053156F" w:rsidRPr="003773F1">
        <w:rPr>
          <w:rFonts w:eastAsia="Arial Unicode MS"/>
          <w:color w:val="000000"/>
          <w:u w:color="000000"/>
          <w:lang w:val="es-ES" w:eastAsia="es-ES"/>
        </w:rPr>
        <w:t xml:space="preserve">Institucionales del MERCOSUR (GAIM) </w:t>
      </w:r>
      <w:r w:rsidRPr="003773F1">
        <w:rPr>
          <w:rFonts w:eastAsia="Arial Unicode MS"/>
          <w:color w:val="000000"/>
          <w:u w:color="000000"/>
          <w:lang w:val="es-ES" w:eastAsia="es-ES"/>
        </w:rPr>
        <w:t>para establecer un único</w:t>
      </w:r>
      <w:r w:rsidR="0053156F" w:rsidRPr="003773F1">
        <w:rPr>
          <w:rFonts w:eastAsia="Arial Unicode MS"/>
          <w:color w:val="000000"/>
          <w:u w:color="000000"/>
          <w:lang w:val="es-ES" w:eastAsia="es-ES"/>
        </w:rPr>
        <w:t xml:space="preserve"> Sistema de Gestión de Recursos Humanos para los </w:t>
      </w:r>
      <w:r w:rsidRPr="003773F1">
        <w:rPr>
          <w:rFonts w:eastAsia="Arial Unicode MS"/>
          <w:color w:val="000000"/>
          <w:u w:color="000000"/>
          <w:lang w:val="es-ES" w:eastAsia="es-ES"/>
        </w:rPr>
        <w:t xml:space="preserve">cuatro </w:t>
      </w:r>
      <w:r w:rsidR="0053156F" w:rsidRPr="003773F1">
        <w:rPr>
          <w:rFonts w:eastAsia="Arial Unicode MS"/>
          <w:color w:val="000000"/>
          <w:u w:color="000000"/>
          <w:lang w:val="es-ES" w:eastAsia="es-ES"/>
        </w:rPr>
        <w:t xml:space="preserve">órganos MERCOSUR con presupuesto propio. </w:t>
      </w:r>
    </w:p>
    <w:p w14:paraId="34A2C4B1" w14:textId="77777777" w:rsidR="00DF4903" w:rsidRDefault="00DF4903" w:rsidP="00DF4903">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522AAC49" w14:textId="11946D3F" w:rsidR="007B16ED" w:rsidRDefault="007B16ED" w:rsidP="00BE1446">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Pr>
          <w:b/>
        </w:rPr>
        <w:t xml:space="preserve">Propuesta de Argentina sobre reestructuración del ISM e IPPDDHH en un único órgano denominado “Instituto Social </w:t>
      </w:r>
      <w:r w:rsidR="003773F1">
        <w:rPr>
          <w:b/>
        </w:rPr>
        <w:t xml:space="preserve">y </w:t>
      </w:r>
      <w:r>
        <w:rPr>
          <w:b/>
        </w:rPr>
        <w:t>de Políticas Públicas de Derechos Humanos del MERCOSUR (ISDHM)</w:t>
      </w:r>
      <w:r w:rsidR="003773F1">
        <w:rPr>
          <w:b/>
        </w:rPr>
        <w:t>”.</w:t>
      </w:r>
    </w:p>
    <w:p w14:paraId="567103FA" w14:textId="77777777" w:rsidR="007B16ED" w:rsidRDefault="007B16ED" w:rsidP="007B16ED">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32987413" w14:textId="4CC995A7" w:rsidR="00797DF1" w:rsidRDefault="003773F1" w:rsidP="00776AB3">
      <w:pPr>
        <w:widowControl w:val="0"/>
        <w:jc w:val="both"/>
      </w:pPr>
      <w:r w:rsidRPr="00776AB3">
        <w:t xml:space="preserve">Las delegaciones continuaron con los </w:t>
      </w:r>
      <w:r w:rsidR="007F5875" w:rsidRPr="00776AB3">
        <w:t>intercambi</w:t>
      </w:r>
      <w:r w:rsidRPr="00776AB3">
        <w:t>os</w:t>
      </w:r>
      <w:r w:rsidR="007F5875" w:rsidRPr="00776AB3">
        <w:t xml:space="preserve"> </w:t>
      </w:r>
      <w:r w:rsidRPr="00776AB3">
        <w:t xml:space="preserve">efectuados en la CXXXIII </w:t>
      </w:r>
      <w:r w:rsidRPr="00776AB3">
        <w:lastRenderedPageBreak/>
        <w:t xml:space="preserve">reunión ordinaria del GMC y en la LXIII reunión extraordinaria del GMC, </w:t>
      </w:r>
      <w:r w:rsidR="007F5875" w:rsidRPr="00776AB3">
        <w:t xml:space="preserve">sobre las diferentes propuestas relativas a la </w:t>
      </w:r>
      <w:r w:rsidRPr="00776AB3">
        <w:t xml:space="preserve">transformación del </w:t>
      </w:r>
      <w:r w:rsidR="007F5875" w:rsidRPr="00776AB3">
        <w:t>ISM y del I</w:t>
      </w:r>
      <w:r w:rsidRPr="00776AB3">
        <w:t>PPDDHH en unidades técnicas especializadas y a la restructuración de ambos institutos en un único órgano MERCOSUR con presupuesto propio</w:t>
      </w:r>
      <w:r w:rsidR="00776AB3" w:rsidRPr="00776AB3">
        <w:t>, con sede en la ciudad de Asunción</w:t>
      </w:r>
      <w:r w:rsidRPr="00776AB3">
        <w:rPr>
          <w:bCs/>
        </w:rPr>
        <w:t xml:space="preserve"> (Nota SUNEI N° 169/2024, de fecha 17 de octubre de 2024)</w:t>
      </w:r>
      <w:r w:rsidRPr="00776AB3">
        <w:t>.</w:t>
      </w:r>
    </w:p>
    <w:p w14:paraId="6043C096" w14:textId="77777777" w:rsidR="008C18FC" w:rsidRDefault="008C18FC" w:rsidP="00776AB3">
      <w:pPr>
        <w:widowControl w:val="0"/>
        <w:jc w:val="both"/>
      </w:pPr>
    </w:p>
    <w:p w14:paraId="14329AAF" w14:textId="2F92D261" w:rsidR="008C18FC" w:rsidRDefault="008C18FC" w:rsidP="00776AB3">
      <w:pPr>
        <w:widowControl w:val="0"/>
        <w:jc w:val="both"/>
      </w:pPr>
      <w:r>
        <w:t xml:space="preserve">La delegación de Uruguay agradece la propuesta argentina, la cual será sometida a consultas internas de sus nuevas autoridades. Sin perjuicio de ello, adelantó la importancia de que no se disminuya la jerarquía jurídica y orgánica de ambos institutos. </w:t>
      </w:r>
    </w:p>
    <w:p w14:paraId="46B88C8D" w14:textId="77777777" w:rsidR="00332FFA" w:rsidRDefault="00332FFA" w:rsidP="00776AB3">
      <w:pPr>
        <w:widowControl w:val="0"/>
        <w:jc w:val="both"/>
      </w:pPr>
    </w:p>
    <w:p w14:paraId="3BDA1343" w14:textId="19E32F04" w:rsidR="00332FFA" w:rsidRDefault="00332FFA" w:rsidP="00776AB3">
      <w:pPr>
        <w:widowControl w:val="0"/>
        <w:jc w:val="both"/>
      </w:pPr>
      <w:r w:rsidRPr="00332FFA">
        <w:t>Con base en consultas internas, la delegación de Brasil considera que la fusión del IPPD</w:t>
      </w:r>
      <w:r w:rsidR="001E7A89">
        <w:t>DH</w:t>
      </w:r>
      <w:r w:rsidRPr="00332FFA">
        <w:t xml:space="preserve">H y del ISM, así como </w:t>
      </w:r>
      <w:r w:rsidR="001E7A89">
        <w:t>e</w:t>
      </w:r>
      <w:r w:rsidRPr="00332FFA">
        <w:t>l cambio de sede de los institutos, afectaría negativamente el tratamiento regional de temas sustantivos d</w:t>
      </w:r>
      <w:r w:rsidR="001E7A89">
        <w:t>e los</w:t>
      </w:r>
      <w:r w:rsidRPr="00332FFA">
        <w:t xml:space="preserve"> respectivos </w:t>
      </w:r>
      <w:r w:rsidR="001E7A89">
        <w:t>I</w:t>
      </w:r>
      <w:r w:rsidRPr="00332FFA">
        <w:t>nstitutos. La propuesta debilitaría su capacidad de cumplir con sus objetivos.</w:t>
      </w:r>
    </w:p>
    <w:p w14:paraId="2EA78CE3" w14:textId="77777777" w:rsidR="00091244" w:rsidRDefault="00091244" w:rsidP="00776AB3">
      <w:pPr>
        <w:widowControl w:val="0"/>
        <w:jc w:val="both"/>
      </w:pPr>
    </w:p>
    <w:p w14:paraId="36A32387" w14:textId="63BBD8AC" w:rsidR="00091244" w:rsidRPr="00AC63C7" w:rsidRDefault="00091244" w:rsidP="00776AB3">
      <w:pPr>
        <w:widowControl w:val="0"/>
        <w:jc w:val="both"/>
      </w:pPr>
      <w:r>
        <w:t xml:space="preserve">La delegación de Paraguay entiende que ambos institutos deberían permanecer en sus sedes actuales. </w:t>
      </w:r>
    </w:p>
    <w:p w14:paraId="1DA9CCEE" w14:textId="77777777" w:rsidR="00797DF1" w:rsidRPr="00776AB3" w:rsidRDefault="00797DF1" w:rsidP="00776AB3">
      <w:pPr>
        <w:jc w:val="both"/>
        <w:rPr>
          <w:bCs/>
        </w:rPr>
      </w:pPr>
    </w:p>
    <w:p w14:paraId="162779A4" w14:textId="198D7786" w:rsidR="00797DF1" w:rsidRDefault="00797DF1" w:rsidP="00776AB3">
      <w:pPr>
        <w:jc w:val="both"/>
        <w:rPr>
          <w:bCs/>
        </w:rPr>
      </w:pPr>
      <w:r w:rsidRPr="00776AB3">
        <w:rPr>
          <w:bCs/>
        </w:rPr>
        <w:t xml:space="preserve">El tema continúa en agenda. </w:t>
      </w:r>
    </w:p>
    <w:p w14:paraId="632F1A4E" w14:textId="1B90272C" w:rsidR="009F13F9" w:rsidRDefault="009F13F9" w:rsidP="00776AB3">
      <w:pPr>
        <w:jc w:val="both"/>
        <w:rPr>
          <w:bCs/>
        </w:rPr>
      </w:pPr>
    </w:p>
    <w:p w14:paraId="02D700E3" w14:textId="5B15FB05" w:rsidR="000D4274" w:rsidRDefault="000D4274" w:rsidP="00BE1446">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Pr>
          <w:b/>
        </w:rPr>
        <w:t>MERCOSUR/IPPDH/NOTA-S-39/25</w:t>
      </w:r>
    </w:p>
    <w:p w14:paraId="419DFC47" w14:textId="3A22BD29" w:rsidR="00B64331" w:rsidRDefault="00B64331" w:rsidP="00B64331">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7E7C0C25" w14:textId="55874588" w:rsidR="00625AA8" w:rsidRPr="002B05DC" w:rsidRDefault="00625AA8" w:rsidP="00625AA8">
      <w:pPr>
        <w:widowControl w:val="0"/>
        <w:pBdr>
          <w:top w:val="none" w:sz="0" w:space="0" w:color="000000"/>
          <w:left w:val="none" w:sz="0" w:space="0" w:color="000000"/>
          <w:bottom w:val="none" w:sz="0" w:space="0" w:color="000000"/>
          <w:right w:val="none" w:sz="0" w:space="0" w:color="000000"/>
          <w:between w:val="none" w:sz="0" w:space="0" w:color="000000"/>
        </w:pBdr>
        <w:jc w:val="both"/>
      </w:pPr>
      <w:r w:rsidRPr="002B05DC">
        <w:t>La delegación de Brasil solicitó incluir como punto de la agenda la nota MERCOSUR/IPPDH/NOTA-S-39/25 de la Director Ejecutivo del Instituto de Políticas Públicas de Derechos Humanos, que informa sobre una oferta de subvención de 300 mil euros por parte de la Agencia Española de Cooperación Internacional para el Desarrollo (AECID). Brasil consideró que la donación sería un apoyo bienvenido al IPPDDHH, especialmente ante la severa reducción presupuestaria que el órgano sufrió en 2025. Defendió que el GMC autorice el IPPD</w:t>
      </w:r>
      <w:r w:rsidR="00A05B25" w:rsidRPr="002B05DC">
        <w:t>DH</w:t>
      </w:r>
      <w:r w:rsidRPr="002B05DC">
        <w:t>H a recibir la subvención como una nueva fuente de ingresos, conforme la Resolución GMC N° 60/18, Título I, Capítulo II, 3.</w:t>
      </w:r>
    </w:p>
    <w:p w14:paraId="4758DB4A" w14:textId="77777777" w:rsidR="00625AA8" w:rsidRDefault="00625AA8" w:rsidP="00B64331">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4B61A983" w14:textId="1E5678A8" w:rsidR="00975048" w:rsidRDefault="00B64331" w:rsidP="00B64331">
      <w:pPr>
        <w:widowControl w:val="0"/>
        <w:pBdr>
          <w:top w:val="none" w:sz="0" w:space="0" w:color="000000"/>
          <w:left w:val="none" w:sz="0" w:space="0" w:color="000000"/>
          <w:bottom w:val="none" w:sz="0" w:space="0" w:color="000000"/>
          <w:right w:val="none" w:sz="0" w:space="0" w:color="000000"/>
          <w:between w:val="none" w:sz="0" w:space="0" w:color="000000"/>
        </w:pBdr>
        <w:jc w:val="both"/>
      </w:pPr>
      <w:r>
        <w:t xml:space="preserve">Al respecto, </w:t>
      </w:r>
      <w:r w:rsidR="00720CA1" w:rsidRPr="002B05DC">
        <w:t>la</w:t>
      </w:r>
      <w:r w:rsidR="009722E5" w:rsidRPr="002B05DC">
        <w:t>s</w:t>
      </w:r>
      <w:r w:rsidR="00720CA1" w:rsidRPr="002B05DC">
        <w:t xml:space="preserve"> delegaci</w:t>
      </w:r>
      <w:r w:rsidR="009722E5" w:rsidRPr="002B05DC">
        <w:t>ones</w:t>
      </w:r>
      <w:r w:rsidR="00720CA1" w:rsidRPr="002B05DC">
        <w:t xml:space="preserve"> de Argentina</w:t>
      </w:r>
      <w:r w:rsidR="002B05DC" w:rsidRPr="002B05DC">
        <w:t>,</w:t>
      </w:r>
      <w:r w:rsidR="009722E5" w:rsidRPr="002B05DC">
        <w:t xml:space="preserve"> Paraguay</w:t>
      </w:r>
      <w:r w:rsidR="002B05DC" w:rsidRPr="002B05DC">
        <w:t xml:space="preserve"> y Uruguay</w:t>
      </w:r>
      <w:r w:rsidR="009722E5" w:rsidRPr="002B05DC">
        <w:t xml:space="preserve"> </w:t>
      </w:r>
      <w:r>
        <w:t>record</w:t>
      </w:r>
      <w:r w:rsidR="009722E5">
        <w:t>aron</w:t>
      </w:r>
      <w:r>
        <w:t xml:space="preserve"> que</w:t>
      </w:r>
      <w:r w:rsidR="00975048">
        <w:t xml:space="preserve">, de acuerdo a lo establecido en la Decisión CMC N° 23/14, el CMC delegó en el GMC la facultad de aprobar los programas de Cooperación Internacional de apoyo al MERCOSUR, así como la facultad de suscribir convenios en el marco de la negociación de Programas de Cooperación Técnica de conformidad con lo establecido en el </w:t>
      </w:r>
      <w:r w:rsidR="00091244">
        <w:t>a</w:t>
      </w:r>
      <w:r w:rsidR="00975048">
        <w:t xml:space="preserve">rt. 14, numeral VII del Protocolo de </w:t>
      </w:r>
      <w:proofErr w:type="spellStart"/>
      <w:r w:rsidR="00975048">
        <w:t>Ouro</w:t>
      </w:r>
      <w:proofErr w:type="spellEnd"/>
      <w:r w:rsidR="00975048">
        <w:t xml:space="preserve"> </w:t>
      </w:r>
      <w:proofErr w:type="spellStart"/>
      <w:r w:rsidR="00975048">
        <w:t>Preto</w:t>
      </w:r>
      <w:proofErr w:type="spellEnd"/>
      <w:r w:rsidR="00975048">
        <w:t xml:space="preserve">. </w:t>
      </w:r>
    </w:p>
    <w:p w14:paraId="327AAEC7" w14:textId="77777777" w:rsidR="00975048" w:rsidRDefault="00975048" w:rsidP="00B64331">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2A0BB89F" w14:textId="74E16B93" w:rsidR="00975048" w:rsidRDefault="00975048" w:rsidP="00B64331">
      <w:pPr>
        <w:widowControl w:val="0"/>
        <w:pBdr>
          <w:top w:val="none" w:sz="0" w:space="0" w:color="000000"/>
          <w:left w:val="none" w:sz="0" w:space="0" w:color="000000"/>
          <w:bottom w:val="none" w:sz="0" w:space="0" w:color="000000"/>
          <w:right w:val="none" w:sz="0" w:space="0" w:color="000000"/>
          <w:between w:val="none" w:sz="0" w:space="0" w:color="000000"/>
        </w:pBdr>
        <w:jc w:val="both"/>
      </w:pPr>
      <w:r>
        <w:t xml:space="preserve">Asimismo, </w:t>
      </w:r>
      <w:r w:rsidR="002B05DC" w:rsidRPr="002B05DC">
        <w:t xml:space="preserve">las delegaciones de Argentina, Paraguay y Uruguay </w:t>
      </w:r>
      <w:r>
        <w:t>reiter</w:t>
      </w:r>
      <w:r w:rsidR="002B05DC">
        <w:t>aron</w:t>
      </w:r>
      <w:r>
        <w:t xml:space="preserve"> que, según lo dispuesto en el Anexo de la Decisión CMC N° 23/14, toda solicitud de cooperación que tenga por fin acceder a conocimientos, recursos humanos y/o financieros tendientes a promover la capacidad técnica, administrativa y tecnológica a los Estados Partes, debe estar precedida por un perfil técnico de proyecto de Cooperación a ser presentado ante el GCI.  </w:t>
      </w:r>
      <w:r w:rsidR="00B64331">
        <w:t xml:space="preserve"> </w:t>
      </w:r>
    </w:p>
    <w:p w14:paraId="5FC491C2" w14:textId="77781351" w:rsidR="00975048" w:rsidRDefault="00975048" w:rsidP="00B64331">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548A1019" w14:textId="425C2D22" w:rsidR="00975048" w:rsidRDefault="00975048" w:rsidP="00B64331">
      <w:pPr>
        <w:widowControl w:val="0"/>
        <w:pBdr>
          <w:top w:val="none" w:sz="0" w:space="0" w:color="000000"/>
          <w:left w:val="none" w:sz="0" w:space="0" w:color="000000"/>
          <w:bottom w:val="none" w:sz="0" w:space="0" w:color="000000"/>
          <w:right w:val="none" w:sz="0" w:space="0" w:color="000000"/>
          <w:between w:val="none" w:sz="0" w:space="0" w:color="000000"/>
        </w:pBdr>
        <w:jc w:val="both"/>
      </w:pPr>
      <w:r>
        <w:t xml:space="preserve">De igual forma, </w:t>
      </w:r>
      <w:r w:rsidR="002B05DC" w:rsidRPr="002B05DC">
        <w:t>las delegaciones de Argentina, Paraguay y Uruguay</w:t>
      </w:r>
      <w:r w:rsidRPr="002B05DC">
        <w:t xml:space="preserve"> </w:t>
      </w:r>
      <w:r w:rsidR="002B05DC">
        <w:t xml:space="preserve">recordaron </w:t>
      </w:r>
      <w:r>
        <w:lastRenderedPageBreak/>
        <w:t xml:space="preserve">que, de acuerdo a lo establecido en el Apéndice IV del Anexo de la Decisión CMC N° 15/15, </w:t>
      </w:r>
      <w:r w:rsidR="00F4317D">
        <w:t xml:space="preserve">corresponde al Consejo de Representantes Gubernamentales del IPPDDHH presentar propuestas de proyectos de cooperación internacional, de conformidad con lo establecido en la Decisión CMC N° 23/14, sus modificatorias y/o complementarias. </w:t>
      </w:r>
      <w:r>
        <w:t xml:space="preserve"> </w:t>
      </w:r>
    </w:p>
    <w:p w14:paraId="09706113" w14:textId="77777777" w:rsidR="00975048" w:rsidRDefault="00975048" w:rsidP="00B64331">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61BF8E68" w14:textId="3A2490B8" w:rsidR="00B64331" w:rsidRPr="00B64331" w:rsidRDefault="002B05DC" w:rsidP="00B64331">
      <w:pPr>
        <w:widowControl w:val="0"/>
        <w:pBdr>
          <w:top w:val="none" w:sz="0" w:space="0" w:color="000000"/>
          <w:left w:val="none" w:sz="0" w:space="0" w:color="000000"/>
          <w:bottom w:val="none" w:sz="0" w:space="0" w:color="000000"/>
          <w:right w:val="none" w:sz="0" w:space="0" w:color="000000"/>
          <w:between w:val="none" w:sz="0" w:space="0" w:color="000000"/>
        </w:pBdr>
        <w:jc w:val="both"/>
      </w:pPr>
      <w:r>
        <w:t>L</w:t>
      </w:r>
      <w:r w:rsidRPr="002B05DC">
        <w:t xml:space="preserve">as delegaciones de Argentina, Paraguay y Uruguay </w:t>
      </w:r>
      <w:r>
        <w:t xml:space="preserve">recordaron </w:t>
      </w:r>
      <w:r w:rsidR="00975048">
        <w:t xml:space="preserve">que, </w:t>
      </w:r>
      <w:r w:rsidR="00B64331">
        <w:t xml:space="preserve">de acuerdo a lo establecido en la Decisión CMC N° 16/18, las Partes signatarias de los </w:t>
      </w:r>
      <w:r w:rsidR="00091244">
        <w:t>A</w:t>
      </w:r>
      <w:r w:rsidR="00B64331">
        <w:t>cuerdos que regulen materias de cooperación internacional serán por un lado el MERCOSUR, representado por el Consejo Mercado Común (CMC) o el GMC</w:t>
      </w:r>
      <w:r w:rsidR="00975048">
        <w:t xml:space="preserve">, según sea el caso y, por otro, la contraparte. En el caso del MERCOSUR, el acuerdo será firmado por los Coordinadores Nacionales del CMC o el GMC, según sea el caso. </w:t>
      </w:r>
    </w:p>
    <w:p w14:paraId="6D443094" w14:textId="5BD90F80" w:rsidR="000D4274" w:rsidRDefault="000D4274" w:rsidP="00B64331">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6A53AAF2" w14:textId="13E25784" w:rsidR="009F13F9" w:rsidRPr="009F13F9" w:rsidRDefault="009F13F9" w:rsidP="00BE1446">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sidRPr="009F13F9">
        <w:rPr>
          <w:b/>
        </w:rPr>
        <w:t>Grupo de Adhesión de Nuevos Estados Partes (GANEP)</w:t>
      </w:r>
    </w:p>
    <w:p w14:paraId="043B756A" w14:textId="77777777" w:rsidR="009F13F9" w:rsidRPr="00776AB3" w:rsidRDefault="009F13F9" w:rsidP="00776AB3">
      <w:pPr>
        <w:jc w:val="both"/>
        <w:rPr>
          <w:bCs/>
        </w:rPr>
      </w:pPr>
    </w:p>
    <w:p w14:paraId="3B496B1A" w14:textId="15F8969E" w:rsidR="00970B92" w:rsidRDefault="00970B92" w:rsidP="00F4317D">
      <w:pPr>
        <w:jc w:val="both"/>
      </w:pPr>
      <w:r w:rsidRPr="00970B92">
        <w:t xml:space="preserve">En relación a la solicitud de información presentada por la delegación de Bolivia respecto al acervo normativo y a los </w:t>
      </w:r>
      <w:r w:rsidR="009B15F2">
        <w:t>A</w:t>
      </w:r>
      <w:r w:rsidRPr="00970B92">
        <w:t xml:space="preserve">cuerdos </w:t>
      </w:r>
      <w:r w:rsidR="009B15F2">
        <w:t>I</w:t>
      </w:r>
      <w:r w:rsidRPr="00970B92">
        <w:t>nternacionales en el marco del Tratado de Asunción, la PPTA informó que se convocará a una nueva reunión del GANEP en el mes de mayo próximo.</w:t>
      </w:r>
    </w:p>
    <w:p w14:paraId="6992C74D" w14:textId="71ED6505" w:rsidR="00E56332" w:rsidRPr="00B64331" w:rsidRDefault="00970B92" w:rsidP="00F4317D">
      <w:pPr>
        <w:jc w:val="both"/>
      </w:pPr>
      <w:r w:rsidRPr="00B64331">
        <w:t xml:space="preserve"> </w:t>
      </w:r>
    </w:p>
    <w:p w14:paraId="67D739BF" w14:textId="265C0D07" w:rsidR="006713DC" w:rsidRDefault="00BB6050" w:rsidP="00F4317D">
      <w:pPr>
        <w:jc w:val="both"/>
      </w:pPr>
      <w:r>
        <w:t>Al respecto</w:t>
      </w:r>
      <w:r w:rsidR="006713DC" w:rsidRPr="00B64331">
        <w:t xml:space="preserve">, </w:t>
      </w:r>
      <w:r w:rsidR="00E56332">
        <w:t>las delegaciones reiteraron la</w:t>
      </w:r>
      <w:r w:rsidR="006713DC" w:rsidRPr="00B64331">
        <w:t xml:space="preserve"> necesidad de garantizar que en ese ámbito técnico se produzca un intercambio recíproco y fluido de información</w:t>
      </w:r>
      <w:r w:rsidR="00DC710C">
        <w:t xml:space="preserve">. </w:t>
      </w:r>
    </w:p>
    <w:p w14:paraId="28931EC9" w14:textId="77777777" w:rsidR="00F4317D" w:rsidRPr="00B64331" w:rsidRDefault="00F4317D" w:rsidP="00F4317D">
      <w:pPr>
        <w:jc w:val="both"/>
      </w:pPr>
    </w:p>
    <w:p w14:paraId="46CF4C7F" w14:textId="61C5D7ED" w:rsidR="006713DC" w:rsidRDefault="00F4317D" w:rsidP="00F4317D">
      <w:pPr>
        <w:jc w:val="both"/>
      </w:pPr>
      <w:r>
        <w:t>Las delegaciones de los Estados Partes signatarios del Tratado de Asunción señalaron que e</w:t>
      </w:r>
      <w:r w:rsidR="006713DC" w:rsidRPr="00B64331">
        <w:t xml:space="preserve">sto último resulta prioritario debido a que </w:t>
      </w:r>
      <w:r>
        <w:t>el Estado Plurinacional de Bolivia continúa</w:t>
      </w:r>
      <w:r w:rsidR="006713DC" w:rsidRPr="00B64331">
        <w:t xml:space="preserve"> siendo miembro de la Comunidad Andina (CAN)</w:t>
      </w:r>
      <w:r w:rsidR="00E311B0">
        <w:t xml:space="preserve">. </w:t>
      </w:r>
    </w:p>
    <w:p w14:paraId="5778E6C3" w14:textId="77777777" w:rsidR="00522360" w:rsidRDefault="00522360" w:rsidP="00F4317D">
      <w:pPr>
        <w:jc w:val="both"/>
      </w:pPr>
    </w:p>
    <w:p w14:paraId="7538BF04" w14:textId="77777777" w:rsidR="006713DC" w:rsidRPr="007E1769" w:rsidRDefault="006713DC" w:rsidP="006713DC">
      <w:pPr>
        <w:jc w:val="both"/>
        <w:rPr>
          <w:rFonts w:asciiTheme="minorHAnsi" w:eastAsia="Times New Roman" w:hAnsiTheme="minorHAnsi" w:cstheme="minorHAnsi"/>
          <w:i/>
          <w:lang w:val="es-UY" w:eastAsia="es-ES"/>
        </w:rPr>
      </w:pPr>
    </w:p>
    <w:p w14:paraId="1E85AB7A" w14:textId="02F8F21B" w:rsidR="00BE69BF" w:rsidRDefault="00C40801" w:rsidP="000D63B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7B16ED">
        <w:rPr>
          <w:b/>
        </w:rPr>
        <w:t>COMISIÓN DE REPRESENTANTES PERMANENTES DEL MERCOSUR</w:t>
      </w:r>
      <w:r w:rsidR="008A70F8" w:rsidRPr="007B16ED">
        <w:rPr>
          <w:b/>
        </w:rPr>
        <w:t xml:space="preserve"> (CRPM)</w:t>
      </w:r>
    </w:p>
    <w:p w14:paraId="7FDA83BB" w14:textId="77777777" w:rsidR="00F55C41" w:rsidRDefault="00F55C41" w:rsidP="00C62D3A">
      <w:pPr>
        <w:widowControl w:val="0"/>
        <w:pBdr>
          <w:top w:val="none" w:sz="0" w:space="0" w:color="000000"/>
          <w:left w:val="none" w:sz="0" w:space="0" w:color="000000"/>
          <w:bottom w:val="none" w:sz="0" w:space="0" w:color="000000"/>
          <w:right w:val="none" w:sz="0" w:space="0" w:color="000000"/>
          <w:between w:val="none" w:sz="0" w:space="0" w:color="000000"/>
        </w:pBdr>
        <w:ind w:left="567"/>
        <w:jc w:val="both"/>
        <w:rPr>
          <w:color w:val="FF0000"/>
        </w:rPr>
      </w:pPr>
    </w:p>
    <w:p w14:paraId="41F1737D" w14:textId="66A7A473" w:rsidR="00F55C41" w:rsidRPr="005100B5" w:rsidRDefault="00F55C41" w:rsidP="00BE1446">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lang w:val="fr-FR"/>
        </w:rPr>
      </w:pPr>
      <w:r>
        <w:rPr>
          <w:b/>
        </w:rPr>
        <w:t xml:space="preserve"> </w:t>
      </w:r>
      <w:r w:rsidRPr="005100B5">
        <w:rPr>
          <w:b/>
          <w:lang w:val="fr-FR"/>
        </w:rPr>
        <w:t>Informe de la PPT de la CRPM.</w:t>
      </w:r>
    </w:p>
    <w:p w14:paraId="66E86A7C" w14:textId="77777777" w:rsidR="00F55C41" w:rsidRPr="005100B5" w:rsidRDefault="00F55C41" w:rsidP="00F55C41">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fr-FR"/>
        </w:rPr>
      </w:pPr>
    </w:p>
    <w:p w14:paraId="1EE87DBE" w14:textId="48DFEC81" w:rsidR="00A75836" w:rsidRPr="00397BC9" w:rsidRDefault="00A75836" w:rsidP="00397BC9">
      <w:pPr>
        <w:jc w:val="both"/>
        <w:rPr>
          <w:bCs/>
        </w:rPr>
      </w:pPr>
      <w:r>
        <w:rPr>
          <w:bCs/>
        </w:rPr>
        <w:t>L</w:t>
      </w:r>
      <w:r w:rsidRPr="00A75836">
        <w:rPr>
          <w:bCs/>
        </w:rPr>
        <w:t>a PPTA de la CRPM compartió un informe con el GMC sobre el desarrollo de los trabajos en curso en el semestre, destacando las acciones vinculadas a la supervisión del FOCEM, el fortalecimiento de la Plataforma MERCOSUR de Formación, el seguimiento de las estrategias de comunicación del bloque, el monitoreo de la productividad de los foros, la autorización de nuevos convenios y la actualización del Estatuto de la Ciudadanía del MERCOSUR, entre otros temas.</w:t>
      </w:r>
    </w:p>
    <w:p w14:paraId="4971E083" w14:textId="77777777" w:rsidR="00F55C41" w:rsidRDefault="00F55C41" w:rsidP="00C62D3A">
      <w:pPr>
        <w:widowControl w:val="0"/>
        <w:pBdr>
          <w:top w:val="none" w:sz="0" w:space="0" w:color="000000"/>
          <w:left w:val="none" w:sz="0" w:space="0" w:color="000000"/>
          <w:bottom w:val="none" w:sz="0" w:space="0" w:color="000000"/>
          <w:right w:val="none" w:sz="0" w:space="0" w:color="000000"/>
          <w:between w:val="none" w:sz="0" w:space="0" w:color="000000"/>
        </w:pBdr>
        <w:ind w:left="567"/>
        <w:jc w:val="both"/>
        <w:rPr>
          <w:b/>
        </w:rPr>
      </w:pPr>
    </w:p>
    <w:p w14:paraId="6EB35EF0" w14:textId="3F58A9C0" w:rsidR="007B16ED" w:rsidRDefault="007B16ED" w:rsidP="00BE1446">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Pr>
          <w:b/>
        </w:rPr>
        <w:t xml:space="preserve">Resolución GMC N° 15/20 </w:t>
      </w:r>
      <w:r w:rsidR="00F55C41">
        <w:rPr>
          <w:b/>
        </w:rPr>
        <w:t>-</w:t>
      </w:r>
      <w:r>
        <w:rPr>
          <w:b/>
        </w:rPr>
        <w:t xml:space="preserve"> Grupo de Trabajo sobre Convenios</w:t>
      </w:r>
    </w:p>
    <w:p w14:paraId="6D23A8F4" w14:textId="77777777" w:rsidR="007B16ED" w:rsidRPr="00366E28" w:rsidRDefault="007B16ED" w:rsidP="007B16ED">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506FF0F0" w14:textId="35492E1C" w:rsidR="00970B92" w:rsidRDefault="00970B92" w:rsidP="00970B92">
      <w:pPr>
        <w:jc w:val="both"/>
        <w:rPr>
          <w:rFonts w:eastAsia="Times New Roman"/>
          <w:lang w:val="es-ES_tradnl"/>
        </w:rPr>
      </w:pPr>
      <w:r w:rsidRPr="00970B92">
        <w:rPr>
          <w:rFonts w:eastAsia="Times New Roman"/>
          <w:lang w:val="es-ES_tradnl"/>
        </w:rPr>
        <w:t>El GMC consideró la solicitud de aclaración presentada por la CRPM respecto al alcance de la competencia otorgada por la Res</w:t>
      </w:r>
      <w:r w:rsidR="00CA06BE">
        <w:rPr>
          <w:rFonts w:eastAsia="Times New Roman"/>
          <w:lang w:val="es-ES_tradnl"/>
        </w:rPr>
        <w:t>olución</w:t>
      </w:r>
      <w:r w:rsidRPr="00970B92">
        <w:rPr>
          <w:rFonts w:eastAsia="Times New Roman"/>
          <w:lang w:val="es-ES_tradnl"/>
        </w:rPr>
        <w:t xml:space="preserve"> GMC N° 15/20 (CCLXXXIII /CRPM/ACTA Nº 03/25).</w:t>
      </w:r>
    </w:p>
    <w:p w14:paraId="56558CAA" w14:textId="77777777" w:rsidR="00AE23DE" w:rsidRDefault="00AE23DE" w:rsidP="00970B92">
      <w:pPr>
        <w:jc w:val="both"/>
        <w:rPr>
          <w:rFonts w:eastAsia="Times New Roman"/>
          <w:lang w:val="es-ES_tradnl"/>
        </w:rPr>
      </w:pPr>
    </w:p>
    <w:p w14:paraId="2BEA0A9F" w14:textId="52658CB1" w:rsidR="00323894" w:rsidRDefault="002C7D2B" w:rsidP="00970B92">
      <w:pPr>
        <w:jc w:val="both"/>
        <w:rPr>
          <w:rFonts w:eastAsia="Times New Roman"/>
          <w:lang w:val="es-ES_tradnl"/>
        </w:rPr>
      </w:pPr>
      <w:r>
        <w:rPr>
          <w:rFonts w:eastAsia="Times New Roman"/>
          <w:lang w:val="es-ES_tradnl"/>
        </w:rPr>
        <w:lastRenderedPageBreak/>
        <w:t>E</w:t>
      </w:r>
      <w:r w:rsidR="00323894" w:rsidRPr="002C7D2B">
        <w:rPr>
          <w:rFonts w:eastAsia="Times New Roman"/>
          <w:lang w:val="es-ES_tradnl"/>
        </w:rPr>
        <w:t>l GMC recordó q</w:t>
      </w:r>
      <w:r w:rsidR="00970B92" w:rsidRPr="002C7D2B">
        <w:rPr>
          <w:rFonts w:eastAsia="Times New Roman"/>
          <w:lang w:val="es-ES_tradnl"/>
        </w:rPr>
        <w:t>ue</w:t>
      </w:r>
      <w:r w:rsidR="00323894" w:rsidRPr="002C7D2B">
        <w:rPr>
          <w:rFonts w:eastAsia="Times New Roman"/>
          <w:lang w:val="es-ES_tradnl"/>
        </w:rPr>
        <w:t xml:space="preserve">, en el caso del IPPDDHH, </w:t>
      </w:r>
      <w:r w:rsidR="00970B92" w:rsidRPr="00970B92">
        <w:rPr>
          <w:rFonts w:eastAsia="Times New Roman"/>
          <w:lang w:val="es-ES_tradnl"/>
        </w:rPr>
        <w:t>la obligación de solicitar autorización previa dispuesta en el artículo 1° de la Resolución GMC N° 15/20</w:t>
      </w:r>
      <w:r w:rsidR="00323894">
        <w:rPr>
          <w:rFonts w:eastAsia="Times New Roman"/>
          <w:lang w:val="es-ES_tradnl"/>
        </w:rPr>
        <w:t xml:space="preserve"> está igualmente contenida </w:t>
      </w:r>
      <w:r w:rsidR="005D46D5">
        <w:rPr>
          <w:rFonts w:eastAsia="Times New Roman"/>
          <w:lang w:val="es-ES_tradnl"/>
        </w:rPr>
        <w:t xml:space="preserve">en </w:t>
      </w:r>
      <w:r w:rsidR="00970B92" w:rsidRPr="00970B92">
        <w:rPr>
          <w:rFonts w:eastAsia="Times New Roman"/>
          <w:lang w:val="es-ES_tradnl"/>
        </w:rPr>
        <w:t xml:space="preserve">el </w:t>
      </w:r>
      <w:r>
        <w:rPr>
          <w:rFonts w:eastAsia="Times New Roman"/>
          <w:lang w:val="es-ES_tradnl"/>
        </w:rPr>
        <w:t>a</w:t>
      </w:r>
      <w:r w:rsidR="00970B92" w:rsidRPr="00970B92">
        <w:rPr>
          <w:rFonts w:eastAsia="Times New Roman"/>
          <w:lang w:val="es-ES_tradnl"/>
        </w:rPr>
        <w:t>rt</w:t>
      </w:r>
      <w:r>
        <w:rPr>
          <w:rFonts w:eastAsia="Times New Roman"/>
          <w:lang w:val="es-ES_tradnl"/>
        </w:rPr>
        <w:t>ículo</w:t>
      </w:r>
      <w:r w:rsidR="00970B92" w:rsidRPr="00970B92">
        <w:rPr>
          <w:rFonts w:eastAsia="Times New Roman"/>
          <w:lang w:val="es-ES_tradnl"/>
        </w:rPr>
        <w:t xml:space="preserve"> 2 </w:t>
      </w:r>
      <w:r w:rsidR="005D46D5">
        <w:rPr>
          <w:rFonts w:eastAsia="Times New Roman"/>
          <w:lang w:val="es-ES_tradnl"/>
        </w:rPr>
        <w:t xml:space="preserve">y </w:t>
      </w:r>
      <w:r w:rsidR="00970B92" w:rsidRPr="00970B92">
        <w:rPr>
          <w:rFonts w:eastAsia="Times New Roman"/>
          <w:lang w:val="es-ES_tradnl"/>
        </w:rPr>
        <w:t xml:space="preserve">7 </w:t>
      </w:r>
      <w:r>
        <w:rPr>
          <w:rFonts w:eastAsia="Times New Roman"/>
          <w:lang w:val="es-ES_tradnl"/>
        </w:rPr>
        <w:t xml:space="preserve">del Apéndice IV </w:t>
      </w:r>
      <w:r w:rsidR="00970B92" w:rsidRPr="00970B92">
        <w:rPr>
          <w:rFonts w:eastAsia="Times New Roman"/>
          <w:lang w:val="es-ES_tradnl"/>
        </w:rPr>
        <w:t>del Anexo de la Decisión CMC Nº 15/15.</w:t>
      </w:r>
      <w:r w:rsidR="00CA06BE">
        <w:rPr>
          <w:rFonts w:eastAsia="Times New Roman"/>
          <w:lang w:val="es-ES_tradnl"/>
        </w:rPr>
        <w:t xml:space="preserve"> </w:t>
      </w:r>
      <w:r w:rsidR="00323894">
        <w:rPr>
          <w:rFonts w:eastAsia="Times New Roman"/>
          <w:lang w:val="es-ES_tradnl"/>
        </w:rPr>
        <w:t xml:space="preserve">Asimismo, el GMC recordó que, de acuerdo a lo establecido en el artículo 14 III del Protocolo de </w:t>
      </w:r>
      <w:proofErr w:type="spellStart"/>
      <w:r w:rsidR="00323894">
        <w:rPr>
          <w:rFonts w:eastAsia="Times New Roman"/>
          <w:lang w:val="es-ES_tradnl"/>
        </w:rPr>
        <w:t>Ouro</w:t>
      </w:r>
      <w:proofErr w:type="spellEnd"/>
      <w:r w:rsidR="00323894">
        <w:rPr>
          <w:rFonts w:eastAsia="Times New Roman"/>
          <w:lang w:val="es-ES_tradnl"/>
        </w:rPr>
        <w:t xml:space="preserve"> </w:t>
      </w:r>
      <w:proofErr w:type="spellStart"/>
      <w:r w:rsidR="00323894">
        <w:rPr>
          <w:rFonts w:eastAsia="Times New Roman"/>
          <w:lang w:val="es-ES_tradnl"/>
        </w:rPr>
        <w:t>Preto</w:t>
      </w:r>
      <w:proofErr w:type="spellEnd"/>
      <w:r w:rsidR="00323894">
        <w:rPr>
          <w:rFonts w:eastAsia="Times New Roman"/>
          <w:lang w:val="es-ES_tradnl"/>
        </w:rPr>
        <w:t xml:space="preserve">, </w:t>
      </w:r>
      <w:r w:rsidR="005D1E25">
        <w:rPr>
          <w:rFonts w:eastAsia="Times New Roman"/>
          <w:lang w:val="es-ES_tradnl"/>
        </w:rPr>
        <w:t xml:space="preserve">el GMC </w:t>
      </w:r>
      <w:r w:rsidR="00323894">
        <w:rPr>
          <w:rFonts w:eastAsia="Times New Roman"/>
          <w:lang w:val="es-ES_tradnl"/>
        </w:rPr>
        <w:t xml:space="preserve">tiene la atribución de tomar las medidas necesarias para el cumplimiento de las Decisiones </w:t>
      </w:r>
      <w:r>
        <w:rPr>
          <w:rFonts w:eastAsia="Times New Roman"/>
          <w:lang w:val="es-ES_tradnl"/>
        </w:rPr>
        <w:t xml:space="preserve">adoptadas por el CMC. Por último, </w:t>
      </w:r>
      <w:r w:rsidR="00323894">
        <w:rPr>
          <w:rFonts w:eastAsia="Times New Roman"/>
          <w:lang w:val="es-ES_tradnl"/>
        </w:rPr>
        <w:t xml:space="preserve">el GMC </w:t>
      </w:r>
      <w:r w:rsidR="00323894" w:rsidRPr="002C7D2B">
        <w:rPr>
          <w:rFonts w:eastAsia="Times New Roman"/>
          <w:lang w:val="es-ES_tradnl"/>
        </w:rPr>
        <w:t>indicó que</w:t>
      </w:r>
      <w:r w:rsidR="00323894">
        <w:rPr>
          <w:rFonts w:eastAsia="Times New Roman"/>
          <w:color w:val="00B050"/>
          <w:lang w:val="es-ES_tradnl"/>
        </w:rPr>
        <w:t xml:space="preserve"> </w:t>
      </w:r>
      <w:r w:rsidR="00323894" w:rsidRPr="00970B92">
        <w:rPr>
          <w:rFonts w:eastAsia="Times New Roman"/>
          <w:lang w:val="es-ES_tradnl"/>
        </w:rPr>
        <w:t>no es la denominación de un instrumento la que determina su naturaleza jurídica, sino sus Partes y su contenido</w:t>
      </w:r>
      <w:r w:rsidR="00323894">
        <w:rPr>
          <w:rFonts w:eastAsia="Times New Roman"/>
          <w:lang w:val="es-ES_tradnl"/>
        </w:rPr>
        <w:t xml:space="preserve">. </w:t>
      </w:r>
    </w:p>
    <w:p w14:paraId="2342E461" w14:textId="77777777" w:rsidR="00323894" w:rsidRDefault="00323894" w:rsidP="00970B92">
      <w:pPr>
        <w:jc w:val="both"/>
        <w:rPr>
          <w:rFonts w:eastAsia="Times New Roman"/>
          <w:lang w:val="es-ES_tradnl"/>
        </w:rPr>
      </w:pPr>
    </w:p>
    <w:p w14:paraId="75C5C57D" w14:textId="77777777" w:rsidR="00435361" w:rsidRDefault="00323894" w:rsidP="00435361">
      <w:pPr>
        <w:jc w:val="both"/>
        <w:rPr>
          <w:rFonts w:eastAsia="Times New Roman"/>
          <w:lang w:val="es-ES_tradnl"/>
        </w:rPr>
      </w:pPr>
      <w:r>
        <w:rPr>
          <w:rFonts w:eastAsia="Times New Roman"/>
          <w:lang w:val="es-ES_tradnl"/>
        </w:rPr>
        <w:t xml:space="preserve">El </w:t>
      </w:r>
      <w:r w:rsidR="005D46D5" w:rsidRPr="003422FF">
        <w:rPr>
          <w:rFonts w:eastAsia="Times New Roman"/>
          <w:lang w:val="es-ES_tradnl"/>
        </w:rPr>
        <w:t xml:space="preserve">GMC </w:t>
      </w:r>
      <w:r w:rsidR="00970B92" w:rsidRPr="00970B92">
        <w:rPr>
          <w:rFonts w:eastAsia="Times New Roman"/>
          <w:lang w:val="es-ES_tradnl"/>
        </w:rPr>
        <w:t xml:space="preserve">instruyó al IPPDDHH para que </w:t>
      </w:r>
      <w:r w:rsidR="002C7D2B">
        <w:rPr>
          <w:rFonts w:eastAsia="Times New Roman"/>
          <w:lang w:val="es-ES_tradnl"/>
        </w:rPr>
        <w:t xml:space="preserve">le </w:t>
      </w:r>
      <w:r w:rsidR="00970B92" w:rsidRPr="00970B92">
        <w:rPr>
          <w:rFonts w:eastAsia="Times New Roman"/>
          <w:lang w:val="es-ES_tradnl"/>
        </w:rPr>
        <w:t>remita los 26 instrumentos identificados</w:t>
      </w:r>
      <w:r>
        <w:rPr>
          <w:rFonts w:eastAsia="Times New Roman"/>
          <w:lang w:val="es-ES_tradnl"/>
        </w:rPr>
        <w:t xml:space="preserve"> para su consideración. </w:t>
      </w:r>
    </w:p>
    <w:p w14:paraId="1EA4F18D" w14:textId="77777777" w:rsidR="00435361" w:rsidRPr="006025C7" w:rsidRDefault="00435361" w:rsidP="00435361">
      <w:pPr>
        <w:jc w:val="both"/>
        <w:rPr>
          <w:rFonts w:eastAsia="Times New Roman"/>
          <w:lang w:val="es-ES_tradnl"/>
        </w:rPr>
      </w:pPr>
    </w:p>
    <w:p w14:paraId="0365F861" w14:textId="7A75780D" w:rsidR="00435361" w:rsidRPr="006025C7" w:rsidRDefault="00435361" w:rsidP="00435361">
      <w:pPr>
        <w:jc w:val="both"/>
        <w:rPr>
          <w:rFonts w:eastAsia="Times New Roman"/>
          <w:lang w:val="es-ES_tradnl"/>
        </w:rPr>
      </w:pPr>
      <w:r w:rsidRPr="006025C7">
        <w:rPr>
          <w:rFonts w:eastAsia="Times New Roman"/>
          <w:lang w:val="es-ES_tradnl"/>
        </w:rPr>
        <w:t xml:space="preserve">La delegación de Brasil consideró que el GMC y la CRPM no son las instancias adecuadas para una discusión técnica sobre el tema y entiende que la cuestión debe ser analizada en el GAIM. </w:t>
      </w:r>
    </w:p>
    <w:p w14:paraId="22C61CB8" w14:textId="79F664E5" w:rsidR="00970B92" w:rsidRPr="006025C7" w:rsidRDefault="00970B92" w:rsidP="00970B92">
      <w:pPr>
        <w:jc w:val="both"/>
        <w:rPr>
          <w:rFonts w:eastAsia="Times New Roman"/>
          <w:lang w:val="es-ES_tradnl"/>
        </w:rPr>
      </w:pPr>
    </w:p>
    <w:p w14:paraId="616C3511" w14:textId="075C0C12" w:rsidR="00970B92" w:rsidRDefault="00970B92" w:rsidP="00970B92">
      <w:pPr>
        <w:jc w:val="both"/>
        <w:rPr>
          <w:rFonts w:eastAsia="Times New Roman"/>
          <w:lang w:val="es-ES_tradnl"/>
        </w:rPr>
      </w:pPr>
    </w:p>
    <w:p w14:paraId="5DD2286E" w14:textId="77777777" w:rsidR="00C9633F" w:rsidRPr="00C62D3A" w:rsidRDefault="00C9633F" w:rsidP="000D63B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bookmarkStart w:id="2" w:name="_Hlk176958755"/>
      <w:r w:rsidRPr="00C62D3A">
        <w:rPr>
          <w:b/>
        </w:rPr>
        <w:t>RELACIONAMIENTO EXTERNO</w:t>
      </w:r>
    </w:p>
    <w:p w14:paraId="7BF7DE24" w14:textId="59912DFE" w:rsidR="00D25E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6F11F759" w14:textId="546F6C3A" w:rsidR="00D25E3A" w:rsidRPr="00BE1446" w:rsidRDefault="00D25E3A" w:rsidP="00BE1446">
      <w:pPr>
        <w:pStyle w:val="Prrafodelista"/>
        <w:widowControl w:val="0"/>
        <w:numPr>
          <w:ilvl w:val="0"/>
          <w:numId w:val="39"/>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sidRPr="00BE1446">
        <w:rPr>
          <w:b/>
        </w:rPr>
        <w:t xml:space="preserve">Grupo de Relacionamiento Externo (GRELEX) </w:t>
      </w:r>
    </w:p>
    <w:p w14:paraId="1F4AFD4E" w14:textId="77777777" w:rsidR="00D25E3A" w:rsidRPr="00905E4B"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47ADA7D5" w14:textId="1D477C8B" w:rsidR="00BE1446" w:rsidRDefault="00D25E3A" w:rsidP="00CE44D3">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r w:rsidRPr="005100B5">
        <w:rPr>
          <w:bCs/>
        </w:rPr>
        <w:t>El GMC tomó nota de los resultados de la XXV reunión ordinaria del GRELEX realizada en Buenos Aires los días 12 y 13 de marzo de 2025.</w:t>
      </w:r>
      <w:r w:rsidR="00CE44D3">
        <w:rPr>
          <w:bCs/>
        </w:rPr>
        <w:t xml:space="preserve"> </w:t>
      </w:r>
    </w:p>
    <w:p w14:paraId="3C3AF566" w14:textId="77777777" w:rsidR="00D25E3A" w:rsidRPr="00C62D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6C0C6E6B" w14:textId="15776AC1" w:rsidR="00D25E3A" w:rsidRPr="00C62D3A" w:rsidRDefault="00D25E3A" w:rsidP="00BE1446">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sidRPr="00C62D3A">
        <w:rPr>
          <w:b/>
        </w:rPr>
        <w:t>A</w:t>
      </w:r>
      <w:r w:rsidR="00EA0D1F">
        <w:rPr>
          <w:b/>
        </w:rPr>
        <w:t>genda Regional</w:t>
      </w:r>
    </w:p>
    <w:p w14:paraId="33F4E91F" w14:textId="77777777" w:rsidR="00D25E3A" w:rsidRPr="00C62D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55A0139E" w14:textId="77777777" w:rsidR="00D25E3A" w:rsidRDefault="00D25E3A" w:rsidP="00BE1446">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C62D3A">
        <w:rPr>
          <w:b/>
        </w:rPr>
        <w:t>Administración de Acuerdos</w:t>
      </w:r>
    </w:p>
    <w:p w14:paraId="791D6791" w14:textId="77777777" w:rsidR="00D25E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781B1757" w14:textId="77777777" w:rsidR="00D25E3A" w:rsidRDefault="00D25E3A" w:rsidP="000944B1">
      <w:pPr>
        <w:widowControl w:val="0"/>
        <w:pBdr>
          <w:top w:val="none" w:sz="0" w:space="0" w:color="000000"/>
          <w:left w:val="none" w:sz="0" w:space="0" w:color="000000"/>
          <w:bottom w:val="none" w:sz="0" w:space="0" w:color="000000"/>
          <w:right w:val="none" w:sz="0" w:space="0" w:color="000000"/>
          <w:between w:val="none" w:sz="0" w:space="0" w:color="000000"/>
        </w:pBdr>
        <w:ind w:left="1440" w:firstLine="120"/>
        <w:jc w:val="both"/>
        <w:rPr>
          <w:b/>
          <w:lang w:val="pt-BR"/>
        </w:rPr>
      </w:pPr>
      <w:r w:rsidRPr="00C62D3A">
        <w:rPr>
          <w:b/>
          <w:lang w:val="pt-BR"/>
        </w:rPr>
        <w:t xml:space="preserve">MERCOSUR - Chile (ACE 35) </w:t>
      </w:r>
    </w:p>
    <w:p w14:paraId="425B5393" w14:textId="77777777" w:rsidR="00D25E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ind w:left="1560"/>
        <w:jc w:val="both"/>
        <w:rPr>
          <w:b/>
          <w:lang w:val="pt-BR"/>
        </w:rPr>
      </w:pPr>
    </w:p>
    <w:p w14:paraId="414C80F0" w14:textId="77777777" w:rsidR="000734C0" w:rsidRDefault="000734C0" w:rsidP="000734C0">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C01DC8">
        <w:rPr>
          <w:bCs/>
        </w:rPr>
        <w:t>La PPT</w:t>
      </w:r>
      <w:r>
        <w:rPr>
          <w:bCs/>
        </w:rPr>
        <w:t>A</w:t>
      </w:r>
      <w:r w:rsidRPr="00C01DC8">
        <w:rPr>
          <w:bCs/>
        </w:rPr>
        <w:t xml:space="preserve"> informó </w:t>
      </w:r>
      <w:r>
        <w:rPr>
          <w:bCs/>
        </w:rPr>
        <w:t xml:space="preserve">respecto a los ajustes de forma solicitados por la delegación de Chile al proyecto de Protocolo Adicional al </w:t>
      </w:r>
      <w:r w:rsidRPr="00C01DC8">
        <w:rPr>
          <w:bCs/>
        </w:rPr>
        <w:t>Acuerdo de Complementación Económica N° 35 entre el MERCOSUR y la República de Chile</w:t>
      </w:r>
      <w:r>
        <w:rPr>
          <w:bCs/>
        </w:rPr>
        <w:t xml:space="preserve"> ACE 35 relativo a la Resolución MCS-CH N° 01/2024 sobre la modernización del Régimen de Origen. </w:t>
      </w:r>
    </w:p>
    <w:p w14:paraId="2EFB55C0" w14:textId="77777777" w:rsidR="000734C0" w:rsidRDefault="000734C0" w:rsidP="000734C0">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7B156310" w14:textId="77777777" w:rsidR="000734C0" w:rsidRDefault="000734C0" w:rsidP="000734C0">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Pr>
          <w:bCs/>
        </w:rPr>
        <w:t>Las delegaciones prestaron su conformidad a las citadas modificaciones, la cual será transmitida a la Secretaría de la ALADI y, en virtud de ello, acordaron instruir, por los canales correspondientes, a las respectivas Representaciones para MERCOSUR y ALADI a proceder a la suscripción del citado Protocolo Adicional</w:t>
      </w:r>
      <w:r w:rsidRPr="00C01DC8">
        <w:rPr>
          <w:bCs/>
        </w:rPr>
        <w:t>.</w:t>
      </w:r>
    </w:p>
    <w:p w14:paraId="7E86657A" w14:textId="77777777" w:rsidR="000734C0" w:rsidRPr="007F3E61" w:rsidRDefault="000734C0" w:rsidP="000734C0">
      <w:pPr>
        <w:widowControl w:val="0"/>
        <w:jc w:val="both"/>
        <w:rPr>
          <w:bCs/>
        </w:rPr>
      </w:pPr>
    </w:p>
    <w:p w14:paraId="04F00584" w14:textId="77777777" w:rsidR="000734C0" w:rsidRDefault="000734C0" w:rsidP="000734C0">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C3BAD">
        <w:rPr>
          <w:bCs/>
        </w:rPr>
        <w:t>Las delegaciones tomaron nota de la comunicación DMSUL N° 37/2025 de la Coordinación de Brasil respecto de la posibilidad de convocar a la Comisión Administradora del ACE N° 35 para la aprobación de la “Iniciativa Facilitadora de Comercio en el Sector de Productos Cosméticos”.</w:t>
      </w:r>
    </w:p>
    <w:p w14:paraId="5A819D69" w14:textId="77777777" w:rsidR="00CE44D3" w:rsidRDefault="00CE44D3" w:rsidP="000734C0">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3980B8D6" w14:textId="77777777" w:rsidR="00CE44D3" w:rsidRPr="00017E4C" w:rsidRDefault="00CE44D3" w:rsidP="000734C0">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190AB73B" w14:textId="77777777" w:rsidR="00D25E3A" w:rsidRDefault="00D25E3A" w:rsidP="00D25E3A">
      <w:pPr>
        <w:jc w:val="both"/>
        <w:rPr>
          <w:bCs/>
        </w:rPr>
      </w:pPr>
    </w:p>
    <w:p w14:paraId="763BEC81" w14:textId="77777777" w:rsidR="00D25E3A" w:rsidRPr="00A3218A" w:rsidRDefault="00D25E3A" w:rsidP="004F1452">
      <w:pPr>
        <w:widowControl w:val="0"/>
        <w:ind w:left="720" w:firstLine="720"/>
        <w:jc w:val="both"/>
        <w:rPr>
          <w:b/>
          <w:bCs/>
        </w:rPr>
      </w:pPr>
      <w:r w:rsidRPr="00A3218A">
        <w:rPr>
          <w:b/>
          <w:bCs/>
        </w:rPr>
        <w:lastRenderedPageBreak/>
        <w:t>MERCOSUR - Bolivia (ACE 36)</w:t>
      </w:r>
    </w:p>
    <w:p w14:paraId="73ECFD95" w14:textId="77777777" w:rsidR="00D25E3A" w:rsidRPr="00A3218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r w:rsidRPr="00A3218A">
        <w:rPr>
          <w:b/>
        </w:rPr>
        <w:t xml:space="preserve"> </w:t>
      </w:r>
    </w:p>
    <w:p w14:paraId="65C94379" w14:textId="1BC07767" w:rsidR="00D25E3A" w:rsidRDefault="00D25E3A" w:rsidP="00D25E3A">
      <w:pPr>
        <w:tabs>
          <w:tab w:val="left" w:pos="1778"/>
        </w:tabs>
        <w:suppressAutoHyphens/>
        <w:jc w:val="both"/>
        <w:rPr>
          <w:bCs/>
        </w:rPr>
      </w:pPr>
      <w:r w:rsidRPr="00C01DC8">
        <w:rPr>
          <w:bCs/>
        </w:rPr>
        <w:t>La</w:t>
      </w:r>
      <w:r>
        <w:rPr>
          <w:bCs/>
        </w:rPr>
        <w:t xml:space="preserve">s delegaciones informaron respecto al proceso de incorporación a los ordenamientos jurídicos nacionales del 33° y 34° </w:t>
      </w:r>
      <w:r w:rsidR="00253CD0">
        <w:rPr>
          <w:bCs/>
        </w:rPr>
        <w:t>p</w:t>
      </w:r>
      <w:r>
        <w:rPr>
          <w:bCs/>
        </w:rPr>
        <w:t>rotocolo</w:t>
      </w:r>
      <w:r w:rsidR="00253CD0">
        <w:rPr>
          <w:bCs/>
        </w:rPr>
        <w:t>s</w:t>
      </w:r>
      <w:r>
        <w:rPr>
          <w:bCs/>
        </w:rPr>
        <w:t xml:space="preserve"> </w:t>
      </w:r>
      <w:r w:rsidR="00253CD0">
        <w:rPr>
          <w:bCs/>
        </w:rPr>
        <w:t>a</w:t>
      </w:r>
      <w:r>
        <w:rPr>
          <w:bCs/>
        </w:rPr>
        <w:t>dicional</w:t>
      </w:r>
      <w:r w:rsidR="00253CD0">
        <w:rPr>
          <w:bCs/>
        </w:rPr>
        <w:t>es</w:t>
      </w:r>
      <w:r>
        <w:rPr>
          <w:bCs/>
        </w:rPr>
        <w:t xml:space="preserve"> al </w:t>
      </w:r>
      <w:r w:rsidRPr="00C01DC8">
        <w:rPr>
          <w:bCs/>
        </w:rPr>
        <w:t>Acuerdo de Complementación Económica N° 3</w:t>
      </w:r>
      <w:r>
        <w:rPr>
          <w:bCs/>
        </w:rPr>
        <w:t xml:space="preserve">6 relativos a </w:t>
      </w:r>
      <w:proofErr w:type="spellStart"/>
      <w:r w:rsidRPr="009B5B6F">
        <w:rPr>
          <w:bCs/>
          <w:i/>
        </w:rPr>
        <w:t>drawback</w:t>
      </w:r>
      <w:proofErr w:type="spellEnd"/>
      <w:r>
        <w:rPr>
          <w:bCs/>
        </w:rPr>
        <w:t xml:space="preserve"> y admisión temporaria y a acumulación extendida de origen, respectivamente.</w:t>
      </w:r>
    </w:p>
    <w:p w14:paraId="752E6D05" w14:textId="77777777" w:rsidR="00D25E3A" w:rsidRDefault="00D25E3A" w:rsidP="00D25E3A">
      <w:pPr>
        <w:tabs>
          <w:tab w:val="left" w:pos="1778"/>
        </w:tabs>
        <w:suppressAutoHyphens/>
        <w:jc w:val="both"/>
        <w:rPr>
          <w:bCs/>
        </w:rPr>
      </w:pPr>
    </w:p>
    <w:p w14:paraId="11194085" w14:textId="77777777" w:rsidR="00D25E3A" w:rsidRDefault="00D25E3A" w:rsidP="006C0D74">
      <w:pPr>
        <w:ind w:left="720" w:firstLine="720"/>
        <w:rPr>
          <w:b/>
        </w:rPr>
      </w:pPr>
      <w:r>
        <w:rPr>
          <w:b/>
        </w:rPr>
        <w:t>MERCOSUR – Colombia (ACE 72)</w:t>
      </w:r>
    </w:p>
    <w:p w14:paraId="10CCF0C8" w14:textId="77777777" w:rsidR="00D25E3A" w:rsidRDefault="00D25E3A" w:rsidP="00D25E3A">
      <w:pPr>
        <w:rPr>
          <w:b/>
        </w:rPr>
      </w:pPr>
    </w:p>
    <w:p w14:paraId="213DE08E" w14:textId="49403343" w:rsidR="00D25E3A" w:rsidRDefault="00D25E3A" w:rsidP="00D25E3A">
      <w:pPr>
        <w:tabs>
          <w:tab w:val="left" w:pos="1778"/>
        </w:tabs>
        <w:suppressAutoHyphens/>
        <w:jc w:val="both"/>
        <w:rPr>
          <w:bCs/>
        </w:rPr>
      </w:pPr>
      <w:r>
        <w:rPr>
          <w:bCs/>
        </w:rPr>
        <w:t>Las delegaciones celebraron y alentaron a continuar los trabajos relativos a la modernización del régimen de origen del ACE N°</w:t>
      </w:r>
      <w:r w:rsidR="006C0D74">
        <w:rPr>
          <w:bCs/>
        </w:rPr>
        <w:t xml:space="preserve"> </w:t>
      </w:r>
      <w:r>
        <w:rPr>
          <w:bCs/>
        </w:rPr>
        <w:t>72 entre MERCOSUR y Colombia en vistas a enviar una propuesta a Colombia</w:t>
      </w:r>
      <w:r w:rsidR="007B667D">
        <w:rPr>
          <w:bCs/>
        </w:rPr>
        <w:t>,</w:t>
      </w:r>
      <w:r>
        <w:rPr>
          <w:bCs/>
        </w:rPr>
        <w:t xml:space="preserve"> </w:t>
      </w:r>
      <w:r w:rsidRPr="004F51F4">
        <w:rPr>
          <w:bCs/>
        </w:rPr>
        <w:t>de ser posible</w:t>
      </w:r>
      <w:r>
        <w:rPr>
          <w:bCs/>
        </w:rPr>
        <w:t xml:space="preserve"> este semestre. </w:t>
      </w:r>
    </w:p>
    <w:p w14:paraId="5DDC6E64" w14:textId="77777777" w:rsidR="00D25E3A" w:rsidRDefault="00D25E3A" w:rsidP="00D25E3A">
      <w:pPr>
        <w:tabs>
          <w:tab w:val="left" w:pos="1778"/>
        </w:tabs>
        <w:suppressAutoHyphens/>
        <w:jc w:val="both"/>
        <w:rPr>
          <w:bCs/>
        </w:rPr>
      </w:pPr>
    </w:p>
    <w:p w14:paraId="6C83E51E" w14:textId="604569AB" w:rsidR="00D25E3A" w:rsidRDefault="00D25E3A" w:rsidP="00D25E3A">
      <w:pPr>
        <w:tabs>
          <w:tab w:val="left" w:pos="1778"/>
        </w:tabs>
        <w:suppressAutoHyphens/>
        <w:jc w:val="both"/>
        <w:rPr>
          <w:bCs/>
        </w:rPr>
      </w:pPr>
      <w:r>
        <w:rPr>
          <w:bCs/>
        </w:rPr>
        <w:t>Las delegaciones tomaron nota y coincidieron en continuar los trabajos en el marco del CT N°</w:t>
      </w:r>
      <w:r w:rsidR="001457C6">
        <w:rPr>
          <w:bCs/>
        </w:rPr>
        <w:t xml:space="preserve"> </w:t>
      </w:r>
      <w:r>
        <w:rPr>
          <w:bCs/>
        </w:rPr>
        <w:t>8 relativos a la transposición del Régimen de Origen del ACE N°</w:t>
      </w:r>
      <w:r w:rsidR="001457C6">
        <w:rPr>
          <w:bCs/>
        </w:rPr>
        <w:t xml:space="preserve"> </w:t>
      </w:r>
      <w:r>
        <w:rPr>
          <w:bCs/>
        </w:rPr>
        <w:t>72 entre MERCOSUR y Colombia.</w:t>
      </w:r>
    </w:p>
    <w:p w14:paraId="1AF9943B" w14:textId="77777777" w:rsidR="00D25E3A" w:rsidRDefault="00D25E3A" w:rsidP="00D25E3A">
      <w:pPr>
        <w:rPr>
          <w:b/>
        </w:rPr>
      </w:pPr>
    </w:p>
    <w:p w14:paraId="73B8574C" w14:textId="741C1F0B" w:rsidR="00D25E3A" w:rsidRDefault="00CC3307" w:rsidP="00CC3307">
      <w:pPr>
        <w:tabs>
          <w:tab w:val="left" w:pos="1418"/>
        </w:tabs>
        <w:suppressAutoHyphens/>
        <w:jc w:val="both"/>
        <w:rPr>
          <w:b/>
          <w:bCs/>
        </w:rPr>
      </w:pPr>
      <w:r>
        <w:rPr>
          <w:b/>
          <w:bCs/>
        </w:rPr>
        <w:tab/>
      </w:r>
      <w:r w:rsidR="00D25E3A">
        <w:rPr>
          <w:b/>
          <w:bCs/>
        </w:rPr>
        <w:t>MERCOSUR – Ecuador (ACE 59)</w:t>
      </w:r>
    </w:p>
    <w:p w14:paraId="01FA03D6" w14:textId="77777777" w:rsidR="00D25E3A" w:rsidRDefault="00D25E3A" w:rsidP="00D25E3A">
      <w:pPr>
        <w:tabs>
          <w:tab w:val="left" w:pos="1778"/>
        </w:tabs>
        <w:suppressAutoHyphens/>
        <w:jc w:val="both"/>
        <w:rPr>
          <w:b/>
          <w:bCs/>
        </w:rPr>
      </w:pPr>
    </w:p>
    <w:p w14:paraId="55AB7B98" w14:textId="3D714C7A" w:rsidR="00D25E3A" w:rsidRDefault="00D25E3A" w:rsidP="00D25E3A">
      <w:pPr>
        <w:tabs>
          <w:tab w:val="left" w:pos="1778"/>
        </w:tabs>
        <w:suppressAutoHyphens/>
        <w:jc w:val="both"/>
        <w:rPr>
          <w:bCs/>
        </w:rPr>
      </w:pPr>
      <w:r>
        <w:rPr>
          <w:bCs/>
        </w:rPr>
        <w:t>Las delegaciones reiteraron su interés en avanzar en la transposición del ACE N°</w:t>
      </w:r>
      <w:r w:rsidR="004F51F4">
        <w:rPr>
          <w:bCs/>
        </w:rPr>
        <w:t xml:space="preserve"> </w:t>
      </w:r>
      <w:r>
        <w:rPr>
          <w:bCs/>
        </w:rPr>
        <w:t>59 en vistas a suscribir un nuevo Acuerdo de Complementación Económica entre MERCOSUR y Ecuador, así como también en trabajar en la profundización de los compromisos en el marco del actual acuerdo vigente. La PPTA contactará a Ecuador para evaluar los próximos pasos a tales efectos.</w:t>
      </w:r>
    </w:p>
    <w:p w14:paraId="3CB5C26A" w14:textId="77777777" w:rsidR="004F51F4" w:rsidRDefault="004F51F4" w:rsidP="00D25E3A">
      <w:pPr>
        <w:tabs>
          <w:tab w:val="left" w:pos="1778"/>
        </w:tabs>
        <w:suppressAutoHyphens/>
        <w:jc w:val="both"/>
        <w:rPr>
          <w:bCs/>
        </w:rPr>
      </w:pPr>
    </w:p>
    <w:p w14:paraId="5B195CE1" w14:textId="77777777" w:rsidR="00D25E3A" w:rsidRDefault="00D25E3A" w:rsidP="00BE1446">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 w:val="left" w:pos="1985"/>
        </w:tabs>
        <w:ind w:left="1701" w:hanging="426"/>
        <w:jc w:val="both"/>
        <w:rPr>
          <w:b/>
        </w:rPr>
      </w:pPr>
      <w:r w:rsidRPr="00C62D3A">
        <w:rPr>
          <w:b/>
        </w:rPr>
        <w:t>Acuerdos en negociación</w:t>
      </w:r>
    </w:p>
    <w:p w14:paraId="770D133B" w14:textId="77777777" w:rsidR="00D25E3A" w:rsidRDefault="00D25E3A" w:rsidP="00D25E3A">
      <w:pPr>
        <w:tabs>
          <w:tab w:val="left" w:pos="1778"/>
        </w:tabs>
        <w:suppressAutoHyphens/>
        <w:jc w:val="both"/>
        <w:rPr>
          <w:b/>
        </w:rPr>
      </w:pPr>
    </w:p>
    <w:p w14:paraId="4BA7A310" w14:textId="2F01D951" w:rsidR="00D25E3A" w:rsidRPr="00C62D3A" w:rsidRDefault="00CB0D8B" w:rsidP="00D25E3A">
      <w:pPr>
        <w:tabs>
          <w:tab w:val="left" w:pos="1778"/>
        </w:tabs>
        <w:suppressAutoHyphens/>
        <w:jc w:val="both"/>
        <w:rPr>
          <w:b/>
        </w:rPr>
      </w:pPr>
      <w:r>
        <w:rPr>
          <w:b/>
          <w:lang w:val="pt-BR"/>
        </w:rPr>
        <w:tab/>
      </w:r>
      <w:r w:rsidR="00D25E3A" w:rsidRPr="00C62D3A">
        <w:rPr>
          <w:b/>
          <w:lang w:val="pt-BR"/>
        </w:rPr>
        <w:t xml:space="preserve">MERCOSUR - </w:t>
      </w:r>
      <w:r w:rsidR="00D25E3A" w:rsidRPr="00C62D3A">
        <w:rPr>
          <w:b/>
        </w:rPr>
        <w:t>El Salvador</w:t>
      </w:r>
    </w:p>
    <w:p w14:paraId="7927748D" w14:textId="77777777" w:rsidR="00D25E3A" w:rsidRDefault="00D25E3A" w:rsidP="00D25E3A">
      <w:pPr>
        <w:tabs>
          <w:tab w:val="left" w:pos="1778"/>
        </w:tabs>
        <w:suppressAutoHyphens/>
        <w:jc w:val="both"/>
        <w:rPr>
          <w:bCs/>
          <w:highlight w:val="cyan"/>
        </w:rPr>
      </w:pPr>
    </w:p>
    <w:p w14:paraId="79AF39F5" w14:textId="2C38DED9" w:rsidR="00D25E3A" w:rsidRPr="009B5B6F" w:rsidRDefault="00D25E3A" w:rsidP="00674AA7">
      <w:pPr>
        <w:tabs>
          <w:tab w:val="left" w:pos="1778"/>
        </w:tabs>
        <w:suppressAutoHyphens/>
        <w:jc w:val="both"/>
        <w:rPr>
          <w:bCs/>
        </w:rPr>
      </w:pPr>
      <w:r w:rsidRPr="009B5B6F">
        <w:rPr>
          <w:bCs/>
        </w:rPr>
        <w:t>Las delegaciones</w:t>
      </w:r>
      <w:r>
        <w:rPr>
          <w:bCs/>
        </w:rPr>
        <w:t xml:space="preserve"> reiteraron el interés en avanzar en esta negociación durante el presente semestre, de acuerdo a la Hoja de Ruta consensuada con El Salvador. La PPTA </w:t>
      </w:r>
      <w:r w:rsidR="00367A47">
        <w:rPr>
          <w:bCs/>
        </w:rPr>
        <w:t xml:space="preserve">remitirá a El Salvador </w:t>
      </w:r>
      <w:r>
        <w:rPr>
          <w:bCs/>
        </w:rPr>
        <w:t xml:space="preserve">nota conceptual sobre el intercambio de estadísticas a efectos de poder cumplir con los tiempos establecidos en la citada Hoja de Ruta.  </w:t>
      </w:r>
      <w:r w:rsidRPr="009B5B6F">
        <w:rPr>
          <w:bCs/>
        </w:rPr>
        <w:t xml:space="preserve"> </w:t>
      </w:r>
    </w:p>
    <w:p w14:paraId="524F6C35" w14:textId="77777777" w:rsidR="00D25E3A" w:rsidRDefault="00D25E3A" w:rsidP="00D25E3A">
      <w:pPr>
        <w:tabs>
          <w:tab w:val="left" w:pos="1778"/>
        </w:tabs>
        <w:suppressAutoHyphens/>
        <w:jc w:val="both"/>
        <w:rPr>
          <w:bCs/>
          <w:highlight w:val="cyan"/>
        </w:rPr>
      </w:pPr>
    </w:p>
    <w:p w14:paraId="4BF6FF00" w14:textId="0B480368" w:rsidR="00D25E3A" w:rsidRDefault="00D25E3A" w:rsidP="00BE1446">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sidRPr="00C62D3A">
        <w:rPr>
          <w:b/>
        </w:rPr>
        <w:t>A</w:t>
      </w:r>
      <w:r w:rsidR="00EA0D1F">
        <w:rPr>
          <w:b/>
        </w:rPr>
        <w:t xml:space="preserve">genda </w:t>
      </w:r>
      <w:proofErr w:type="spellStart"/>
      <w:r w:rsidR="00EA0D1F">
        <w:rPr>
          <w:b/>
        </w:rPr>
        <w:t>Extrarregional</w:t>
      </w:r>
      <w:proofErr w:type="spellEnd"/>
    </w:p>
    <w:p w14:paraId="5DA1835B" w14:textId="77777777" w:rsidR="00D25E3A" w:rsidRPr="00C62D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ind w:left="993"/>
        <w:jc w:val="both"/>
        <w:rPr>
          <w:b/>
        </w:rPr>
      </w:pPr>
    </w:p>
    <w:p w14:paraId="18392A87" w14:textId="77777777" w:rsidR="00D25E3A" w:rsidRDefault="00D25E3A" w:rsidP="00BE1446">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C62D3A">
        <w:rPr>
          <w:b/>
        </w:rPr>
        <w:t>Acuerdos suscriptos</w:t>
      </w:r>
    </w:p>
    <w:p w14:paraId="6421492B" w14:textId="77777777" w:rsidR="00D25E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6C00E570" w14:textId="77777777" w:rsidR="00D25E3A" w:rsidRPr="002C15A3" w:rsidRDefault="00D25E3A" w:rsidP="009C4798">
      <w:pPr>
        <w:widowControl w:val="0"/>
        <w:pBdr>
          <w:top w:val="none" w:sz="0" w:space="0" w:color="000000"/>
          <w:left w:val="none" w:sz="0" w:space="0" w:color="000000"/>
          <w:bottom w:val="none" w:sz="0" w:space="0" w:color="000000"/>
          <w:right w:val="none" w:sz="0" w:space="0" w:color="000000"/>
          <w:between w:val="none" w:sz="0" w:space="0" w:color="000000"/>
        </w:pBdr>
        <w:ind w:left="720" w:firstLine="720"/>
        <w:jc w:val="both"/>
        <w:rPr>
          <w:b/>
        </w:rPr>
      </w:pPr>
      <w:r w:rsidRPr="002C15A3">
        <w:rPr>
          <w:b/>
        </w:rPr>
        <w:t>MERCOSUR - Singapur</w:t>
      </w:r>
    </w:p>
    <w:p w14:paraId="796EEC53" w14:textId="77777777" w:rsidR="00D25E3A" w:rsidRDefault="00D25E3A" w:rsidP="00D25E3A">
      <w:pPr>
        <w:tabs>
          <w:tab w:val="left" w:pos="1778"/>
        </w:tabs>
        <w:suppressAutoHyphens/>
        <w:jc w:val="both"/>
        <w:rPr>
          <w:bCs/>
        </w:rPr>
      </w:pPr>
    </w:p>
    <w:p w14:paraId="2F6D290F" w14:textId="77777777" w:rsidR="00D25E3A" w:rsidRDefault="00D25E3A" w:rsidP="00D25E3A">
      <w:pPr>
        <w:tabs>
          <w:tab w:val="left" w:pos="1778"/>
        </w:tabs>
        <w:suppressAutoHyphens/>
        <w:jc w:val="both"/>
        <w:rPr>
          <w:bCs/>
        </w:rPr>
      </w:pPr>
      <w:r w:rsidRPr="009B5B6F">
        <w:rPr>
          <w:bCs/>
        </w:rPr>
        <w:t>Las delegaciones</w:t>
      </w:r>
      <w:r>
        <w:rPr>
          <w:bCs/>
        </w:rPr>
        <w:t xml:space="preserve"> ratificaron su compromiso de procurar la pronta entrada en vigor del Acuerdo de Libre Comercio MERCOSUR - Singapur. Al respecto, informaron respecto al estado de situación de los respectivos procesos de incorporación a los ordenamientos jurídicos nacionales.</w:t>
      </w:r>
    </w:p>
    <w:p w14:paraId="3E8FBCBC" w14:textId="77777777" w:rsidR="00CE44D3" w:rsidRDefault="00CE44D3" w:rsidP="00D25E3A">
      <w:pPr>
        <w:tabs>
          <w:tab w:val="left" w:pos="1778"/>
        </w:tabs>
        <w:suppressAutoHyphens/>
        <w:jc w:val="both"/>
        <w:rPr>
          <w:bCs/>
        </w:rPr>
      </w:pPr>
    </w:p>
    <w:p w14:paraId="2B485F06" w14:textId="77777777" w:rsidR="00CE44D3" w:rsidRDefault="00CE44D3" w:rsidP="00D25E3A">
      <w:pPr>
        <w:tabs>
          <w:tab w:val="left" w:pos="1778"/>
        </w:tabs>
        <w:suppressAutoHyphens/>
        <w:jc w:val="both"/>
        <w:rPr>
          <w:bCs/>
        </w:rPr>
      </w:pPr>
    </w:p>
    <w:p w14:paraId="12724425" w14:textId="77777777" w:rsidR="00CE44D3" w:rsidRDefault="00CE44D3" w:rsidP="00D25E3A">
      <w:pPr>
        <w:tabs>
          <w:tab w:val="left" w:pos="1778"/>
        </w:tabs>
        <w:suppressAutoHyphens/>
        <w:jc w:val="both"/>
        <w:rPr>
          <w:bCs/>
        </w:rPr>
      </w:pPr>
    </w:p>
    <w:p w14:paraId="09CCF680" w14:textId="77777777" w:rsidR="00D25E3A" w:rsidRPr="00C62D3A" w:rsidRDefault="00D25E3A" w:rsidP="00D25E3A">
      <w:pPr>
        <w:tabs>
          <w:tab w:val="left" w:pos="1778"/>
        </w:tabs>
        <w:suppressAutoHyphens/>
        <w:jc w:val="both"/>
        <w:rPr>
          <w:b/>
          <w:highlight w:val="cyan"/>
        </w:rPr>
      </w:pPr>
    </w:p>
    <w:p w14:paraId="17193C02" w14:textId="77777777" w:rsidR="00D25E3A" w:rsidRDefault="00D25E3A" w:rsidP="00EA0D1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C62D3A">
        <w:rPr>
          <w:b/>
        </w:rPr>
        <w:lastRenderedPageBreak/>
        <w:t>Acuerdos concluidos en principio</w:t>
      </w:r>
    </w:p>
    <w:p w14:paraId="3E1FD259" w14:textId="77777777" w:rsidR="00D25E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65D56DF5" w14:textId="77777777" w:rsidR="00D25E3A" w:rsidRPr="00C62D3A" w:rsidRDefault="00D25E3A" w:rsidP="004C06B0">
      <w:pPr>
        <w:widowControl w:val="0"/>
        <w:pBdr>
          <w:top w:val="none" w:sz="0" w:space="0" w:color="000000"/>
          <w:left w:val="none" w:sz="0" w:space="0" w:color="000000"/>
          <w:bottom w:val="none" w:sz="0" w:space="0" w:color="000000"/>
          <w:right w:val="none" w:sz="0" w:space="0" w:color="000000"/>
          <w:between w:val="none" w:sz="0" w:space="0" w:color="000000"/>
        </w:pBdr>
        <w:ind w:left="840" w:firstLine="720"/>
        <w:jc w:val="both"/>
        <w:rPr>
          <w:b/>
        </w:rPr>
      </w:pPr>
      <w:r>
        <w:rPr>
          <w:b/>
        </w:rPr>
        <w:t xml:space="preserve">MERCOSUR - </w:t>
      </w:r>
      <w:r w:rsidRPr="00C62D3A">
        <w:rPr>
          <w:b/>
        </w:rPr>
        <w:t>U</w:t>
      </w:r>
      <w:r>
        <w:rPr>
          <w:b/>
        </w:rPr>
        <w:t xml:space="preserve">nión </w:t>
      </w:r>
      <w:r w:rsidRPr="00C62D3A">
        <w:rPr>
          <w:b/>
        </w:rPr>
        <w:t>E</w:t>
      </w:r>
      <w:r>
        <w:rPr>
          <w:b/>
        </w:rPr>
        <w:t xml:space="preserve">uropea </w:t>
      </w:r>
    </w:p>
    <w:p w14:paraId="47E830BC" w14:textId="77777777" w:rsidR="00D25E3A" w:rsidRDefault="00D25E3A" w:rsidP="00D25E3A">
      <w:pPr>
        <w:tabs>
          <w:tab w:val="left" w:pos="1778"/>
        </w:tabs>
        <w:suppressAutoHyphens/>
        <w:jc w:val="both"/>
        <w:rPr>
          <w:bCs/>
        </w:rPr>
      </w:pPr>
    </w:p>
    <w:p w14:paraId="31A2893E" w14:textId="77777777" w:rsidR="00D25E3A" w:rsidRDefault="00D25E3A" w:rsidP="00D25E3A">
      <w:pPr>
        <w:tabs>
          <w:tab w:val="left" w:pos="1778"/>
        </w:tabs>
        <w:suppressAutoHyphens/>
        <w:jc w:val="both"/>
        <w:rPr>
          <w:bCs/>
        </w:rPr>
      </w:pPr>
      <w:r w:rsidRPr="009B5B6F">
        <w:rPr>
          <w:bCs/>
        </w:rPr>
        <w:t>Las delegaciones</w:t>
      </w:r>
      <w:r>
        <w:rPr>
          <w:bCs/>
        </w:rPr>
        <w:t xml:space="preserve"> se congratularon por el anuncio de la conclusión exitosa de las negociaciones MERCOSUR - Unión Europea, en ocasión de la Cumbre de Presidentes en diciembre pasado. </w:t>
      </w:r>
    </w:p>
    <w:p w14:paraId="4377ED69" w14:textId="77777777" w:rsidR="00D25E3A" w:rsidRDefault="00D25E3A" w:rsidP="00D25E3A">
      <w:pPr>
        <w:tabs>
          <w:tab w:val="left" w:pos="1778"/>
        </w:tabs>
        <w:suppressAutoHyphens/>
        <w:jc w:val="both"/>
        <w:rPr>
          <w:bCs/>
        </w:rPr>
      </w:pPr>
    </w:p>
    <w:p w14:paraId="6ADB9F79" w14:textId="1A105FEF" w:rsidR="00D25E3A" w:rsidRDefault="00800BE2" w:rsidP="00D25E3A">
      <w:pPr>
        <w:tabs>
          <w:tab w:val="left" w:pos="1778"/>
        </w:tabs>
        <w:suppressAutoHyphens/>
        <w:jc w:val="both"/>
        <w:rPr>
          <w:bCs/>
        </w:rPr>
      </w:pPr>
      <w:r>
        <w:rPr>
          <w:bCs/>
        </w:rPr>
        <w:t>A partir del informe de Brasil, en su calidad de coordinador de es</w:t>
      </w:r>
      <w:r w:rsidR="00431DD0">
        <w:rPr>
          <w:bCs/>
        </w:rPr>
        <w:t>t</w:t>
      </w:r>
      <w:r>
        <w:rPr>
          <w:bCs/>
        </w:rPr>
        <w:t>e proceso negociador, e</w:t>
      </w:r>
      <w:r w:rsidR="00D25E3A">
        <w:rPr>
          <w:bCs/>
        </w:rPr>
        <w:t>l GMC tomó nota de los avances registrados en el proceso de revisión legal, que se encuentra en su etapa final, así como de los pasos a seguir respecto a la traducción de los textos al español y portugués.</w:t>
      </w:r>
    </w:p>
    <w:p w14:paraId="0681C5FE" w14:textId="77777777" w:rsidR="00D25E3A" w:rsidRPr="00D22BC4" w:rsidRDefault="00D25E3A" w:rsidP="00D25E3A">
      <w:pPr>
        <w:tabs>
          <w:tab w:val="left" w:pos="1778"/>
        </w:tabs>
        <w:suppressAutoHyphens/>
        <w:jc w:val="both"/>
        <w:rPr>
          <w:bCs/>
          <w:highlight w:val="cyan"/>
        </w:rPr>
      </w:pPr>
    </w:p>
    <w:p w14:paraId="3B955D71" w14:textId="77777777" w:rsidR="00D25E3A" w:rsidRDefault="00D25E3A" w:rsidP="00EA0D1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C62D3A">
        <w:rPr>
          <w:b/>
        </w:rPr>
        <w:t>Acuerdos en negociación</w:t>
      </w:r>
    </w:p>
    <w:p w14:paraId="6C2E8C6B" w14:textId="77777777" w:rsidR="00D25E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50CDD2F1" w14:textId="77777777" w:rsidR="00D25E3A" w:rsidRPr="00C62D3A" w:rsidRDefault="00D25E3A" w:rsidP="00470F22">
      <w:pPr>
        <w:widowControl w:val="0"/>
        <w:pBdr>
          <w:top w:val="none" w:sz="0" w:space="0" w:color="000000"/>
          <w:left w:val="none" w:sz="0" w:space="0" w:color="000000"/>
          <w:bottom w:val="none" w:sz="0" w:space="0" w:color="000000"/>
          <w:right w:val="none" w:sz="0" w:space="0" w:color="000000"/>
          <w:between w:val="none" w:sz="0" w:space="0" w:color="000000"/>
        </w:pBdr>
        <w:ind w:left="720" w:firstLine="720"/>
        <w:jc w:val="both"/>
        <w:rPr>
          <w:b/>
        </w:rPr>
      </w:pPr>
      <w:r w:rsidRPr="00C62D3A">
        <w:rPr>
          <w:b/>
        </w:rPr>
        <w:t>MERCOSUR - EFTA</w:t>
      </w:r>
    </w:p>
    <w:p w14:paraId="03223AF3" w14:textId="77777777" w:rsidR="00D25E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ind w:left="1560"/>
        <w:jc w:val="both"/>
        <w:rPr>
          <w:b/>
        </w:rPr>
      </w:pPr>
    </w:p>
    <w:p w14:paraId="533C361F" w14:textId="77777777" w:rsidR="00D25E3A" w:rsidRDefault="00D25E3A" w:rsidP="00D25E3A">
      <w:pPr>
        <w:spacing w:after="200"/>
        <w:ind w:right="-348"/>
        <w:jc w:val="both"/>
        <w:rPr>
          <w:bCs/>
        </w:rPr>
      </w:pPr>
      <w:r>
        <w:rPr>
          <w:bCs/>
        </w:rPr>
        <w:t xml:space="preserve">El GMC destacó el </w:t>
      </w:r>
      <w:r w:rsidRPr="00A55977">
        <w:rPr>
          <w:bCs/>
        </w:rPr>
        <w:t xml:space="preserve">compromiso </w:t>
      </w:r>
      <w:r>
        <w:rPr>
          <w:bCs/>
        </w:rPr>
        <w:t xml:space="preserve">manifestado por los Ministros de Relaciones Exteriores de los Estados Partes del MERCOSUR, en la reunión llevada a cabo en Buenos Aires, el 11 del corriente, </w:t>
      </w:r>
      <w:r w:rsidRPr="00A55977">
        <w:rPr>
          <w:bCs/>
        </w:rPr>
        <w:t>en avanzar prioritariamente con las negociaciones con EFTA</w:t>
      </w:r>
      <w:r>
        <w:rPr>
          <w:bCs/>
        </w:rPr>
        <w:t>,</w:t>
      </w:r>
      <w:r w:rsidRPr="00A55977">
        <w:rPr>
          <w:bCs/>
        </w:rPr>
        <w:t xml:space="preserve"> con vistas a </w:t>
      </w:r>
      <w:r>
        <w:rPr>
          <w:bCs/>
        </w:rPr>
        <w:t xml:space="preserve">su </w:t>
      </w:r>
      <w:r w:rsidRPr="00A55977">
        <w:rPr>
          <w:bCs/>
        </w:rPr>
        <w:t>conclu</w:t>
      </w:r>
      <w:r>
        <w:rPr>
          <w:bCs/>
        </w:rPr>
        <w:t xml:space="preserve">sión </w:t>
      </w:r>
      <w:r w:rsidRPr="00A55977">
        <w:rPr>
          <w:bCs/>
        </w:rPr>
        <w:t>durante el presente semestre.</w:t>
      </w:r>
    </w:p>
    <w:p w14:paraId="47F525CB" w14:textId="77777777" w:rsidR="00D25E3A" w:rsidRPr="00A55977" w:rsidRDefault="00D25E3A" w:rsidP="00D25E3A">
      <w:pPr>
        <w:spacing w:after="200"/>
        <w:ind w:right="-348"/>
        <w:jc w:val="both"/>
        <w:rPr>
          <w:bCs/>
        </w:rPr>
      </w:pPr>
      <w:r>
        <w:rPr>
          <w:bCs/>
        </w:rPr>
        <w:t>La delegación de Argentina, en su calidad de coordinador, se refirió a la 13° Ronda presencial de negociaciones, que tendrá lugar en la ciudad de Buenos Aires, entre los días 28 y 30 del corriente.</w:t>
      </w:r>
    </w:p>
    <w:p w14:paraId="00F0312A" w14:textId="77777777" w:rsidR="00EA0D1F" w:rsidRDefault="00EA0D1F" w:rsidP="00470F22">
      <w:pPr>
        <w:widowControl w:val="0"/>
        <w:pBdr>
          <w:top w:val="none" w:sz="0" w:space="0" w:color="000000"/>
          <w:left w:val="none" w:sz="0" w:space="0" w:color="000000"/>
          <w:bottom w:val="none" w:sz="0" w:space="0" w:color="000000"/>
          <w:right w:val="none" w:sz="0" w:space="0" w:color="000000"/>
          <w:between w:val="none" w:sz="0" w:space="0" w:color="000000"/>
        </w:pBdr>
        <w:ind w:left="720" w:firstLine="720"/>
        <w:jc w:val="both"/>
        <w:rPr>
          <w:b/>
        </w:rPr>
      </w:pPr>
    </w:p>
    <w:p w14:paraId="22B7C81F" w14:textId="34B0E28E" w:rsidR="00D25E3A" w:rsidRPr="00C62D3A" w:rsidRDefault="00D25E3A" w:rsidP="00470F22">
      <w:pPr>
        <w:widowControl w:val="0"/>
        <w:pBdr>
          <w:top w:val="none" w:sz="0" w:space="0" w:color="000000"/>
          <w:left w:val="none" w:sz="0" w:space="0" w:color="000000"/>
          <w:bottom w:val="none" w:sz="0" w:space="0" w:color="000000"/>
          <w:right w:val="none" w:sz="0" w:space="0" w:color="000000"/>
          <w:between w:val="none" w:sz="0" w:space="0" w:color="000000"/>
        </w:pBdr>
        <w:ind w:left="720" w:firstLine="720"/>
        <w:jc w:val="both"/>
        <w:rPr>
          <w:b/>
        </w:rPr>
      </w:pPr>
      <w:r w:rsidRPr="00C62D3A">
        <w:rPr>
          <w:b/>
        </w:rPr>
        <w:t>MERCOSUR - Emiratos Árabes Unidos</w:t>
      </w:r>
    </w:p>
    <w:p w14:paraId="7F850BE6" w14:textId="77777777" w:rsidR="00D25E3A" w:rsidRDefault="00D25E3A" w:rsidP="00D25E3A">
      <w:pPr>
        <w:tabs>
          <w:tab w:val="left" w:pos="1778"/>
        </w:tabs>
        <w:suppressAutoHyphens/>
        <w:jc w:val="both"/>
        <w:rPr>
          <w:bCs/>
          <w:highlight w:val="cyan"/>
        </w:rPr>
      </w:pPr>
    </w:p>
    <w:p w14:paraId="2E267110" w14:textId="7A7FAA82" w:rsidR="00D25E3A" w:rsidRDefault="00D25E3A" w:rsidP="00D25E3A">
      <w:pPr>
        <w:spacing w:after="200"/>
        <w:ind w:right="-348"/>
        <w:jc w:val="both"/>
        <w:rPr>
          <w:bCs/>
        </w:rPr>
      </w:pPr>
      <w:r>
        <w:rPr>
          <w:bCs/>
        </w:rPr>
        <w:t xml:space="preserve">El GMC destacó el </w:t>
      </w:r>
      <w:r w:rsidRPr="00A55977">
        <w:rPr>
          <w:bCs/>
        </w:rPr>
        <w:t xml:space="preserve">compromiso </w:t>
      </w:r>
      <w:r>
        <w:rPr>
          <w:bCs/>
        </w:rPr>
        <w:t xml:space="preserve">manifestado por los Ministros de Relaciones Exteriores de los Estados Partes del MERCOSUR, en la reunión llevada a cabo en Buenos Aires, el 11 del corriente, </w:t>
      </w:r>
      <w:r w:rsidRPr="00A55977">
        <w:rPr>
          <w:bCs/>
        </w:rPr>
        <w:t xml:space="preserve">en avanzar prioritariamente con las negociaciones con </w:t>
      </w:r>
      <w:r>
        <w:rPr>
          <w:bCs/>
        </w:rPr>
        <w:t xml:space="preserve">Emiratos </w:t>
      </w:r>
      <w:r w:rsidR="00B15D40">
        <w:rPr>
          <w:bCs/>
        </w:rPr>
        <w:t>Árabes</w:t>
      </w:r>
      <w:r>
        <w:rPr>
          <w:bCs/>
        </w:rPr>
        <w:t xml:space="preserve"> Unidos,</w:t>
      </w:r>
      <w:r w:rsidRPr="00A55977">
        <w:rPr>
          <w:bCs/>
        </w:rPr>
        <w:t xml:space="preserve"> con vistas a </w:t>
      </w:r>
      <w:r>
        <w:rPr>
          <w:bCs/>
        </w:rPr>
        <w:t xml:space="preserve">su </w:t>
      </w:r>
      <w:r w:rsidRPr="00A55977">
        <w:rPr>
          <w:bCs/>
        </w:rPr>
        <w:t>conclu</w:t>
      </w:r>
      <w:r>
        <w:rPr>
          <w:bCs/>
        </w:rPr>
        <w:t xml:space="preserve">sión </w:t>
      </w:r>
      <w:r w:rsidRPr="00A55977">
        <w:rPr>
          <w:bCs/>
        </w:rPr>
        <w:t>durante el presente semestre.</w:t>
      </w:r>
    </w:p>
    <w:p w14:paraId="4F3C2D44" w14:textId="7DAB19D1" w:rsidR="00B15D40" w:rsidRPr="001D66E5" w:rsidRDefault="00B15D40" w:rsidP="00B15D40">
      <w:pPr>
        <w:spacing w:after="200"/>
        <w:ind w:right="-348"/>
        <w:jc w:val="both"/>
        <w:rPr>
          <w:bCs/>
          <w:color w:val="00B050"/>
        </w:rPr>
      </w:pPr>
      <w:r w:rsidRPr="007F7EA3">
        <w:rPr>
          <w:bCs/>
        </w:rPr>
        <w:t xml:space="preserve">Las delegaciones </w:t>
      </w:r>
      <w:r w:rsidR="001D66E5" w:rsidRPr="007F7EA3">
        <w:rPr>
          <w:bCs/>
        </w:rPr>
        <w:t>evaluaron</w:t>
      </w:r>
      <w:r w:rsidRPr="007F7EA3">
        <w:rPr>
          <w:bCs/>
        </w:rPr>
        <w:t xml:space="preserve"> el estado de las negociaciones con los Emiratos Árabes Unidos y tomaron nota de los avances en est</w:t>
      </w:r>
      <w:r w:rsidR="001D66E5" w:rsidRPr="007F7EA3">
        <w:rPr>
          <w:bCs/>
        </w:rPr>
        <w:t>e</w:t>
      </w:r>
      <w:r w:rsidRPr="007F7EA3">
        <w:rPr>
          <w:bCs/>
        </w:rPr>
        <w:t xml:space="preserve"> frente</w:t>
      </w:r>
      <w:r w:rsidR="002247D7">
        <w:rPr>
          <w:bCs/>
        </w:rPr>
        <w:t>.</w:t>
      </w:r>
      <w:r w:rsidRPr="007F7EA3">
        <w:rPr>
          <w:bCs/>
        </w:rPr>
        <w:t xml:space="preserve"> </w:t>
      </w:r>
    </w:p>
    <w:p w14:paraId="593D0C0B" w14:textId="14618B95" w:rsidR="00B15D40" w:rsidRDefault="00B15D40" w:rsidP="00D25E3A">
      <w:pPr>
        <w:spacing w:after="200"/>
        <w:ind w:right="-348"/>
        <w:jc w:val="both"/>
        <w:rPr>
          <w:bCs/>
        </w:rPr>
      </w:pPr>
      <w:r w:rsidRPr="006508F3">
        <w:rPr>
          <w:bCs/>
        </w:rPr>
        <w:t>La delegación de Paraguay, en su calidad de coordinador, se refirió a la hoja de ruta</w:t>
      </w:r>
      <w:r w:rsidR="007F7EA3" w:rsidRPr="006508F3">
        <w:rPr>
          <w:bCs/>
        </w:rPr>
        <w:t xml:space="preserve"> </w:t>
      </w:r>
      <w:r w:rsidRPr="006508F3">
        <w:rPr>
          <w:bCs/>
        </w:rPr>
        <w:t>para avanzar en la etapa final de las negociaciones, con vistas a una ronda presencial de cierre</w:t>
      </w:r>
      <w:r w:rsidR="001D66E5" w:rsidRPr="006508F3">
        <w:rPr>
          <w:bCs/>
        </w:rPr>
        <w:t xml:space="preserve"> en el presente semestre</w:t>
      </w:r>
      <w:r w:rsidRPr="006508F3">
        <w:rPr>
          <w:bCs/>
        </w:rPr>
        <w:t>.</w:t>
      </w:r>
    </w:p>
    <w:p w14:paraId="44AD068C" w14:textId="77777777" w:rsidR="00CE44D3" w:rsidRPr="007F7EA3" w:rsidRDefault="00CE44D3" w:rsidP="00D25E3A">
      <w:pPr>
        <w:spacing w:after="200"/>
        <w:ind w:right="-348"/>
        <w:jc w:val="both"/>
        <w:rPr>
          <w:bCs/>
        </w:rPr>
      </w:pPr>
    </w:p>
    <w:p w14:paraId="1F8E7560" w14:textId="77777777" w:rsidR="00D25E3A" w:rsidRDefault="00D25E3A" w:rsidP="00EA0D1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C62D3A">
        <w:rPr>
          <w:b/>
        </w:rPr>
        <w:t>Administración de Acuerdos</w:t>
      </w:r>
    </w:p>
    <w:p w14:paraId="3739B7DF" w14:textId="77777777" w:rsidR="00D25E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3C4FB13E" w14:textId="77777777" w:rsidR="00D25E3A" w:rsidRPr="00C62D3A" w:rsidRDefault="00D25E3A" w:rsidP="007276D0">
      <w:pPr>
        <w:widowControl w:val="0"/>
        <w:pBdr>
          <w:top w:val="none" w:sz="0" w:space="0" w:color="000000"/>
          <w:left w:val="none" w:sz="0" w:space="0" w:color="000000"/>
          <w:bottom w:val="none" w:sz="0" w:space="0" w:color="000000"/>
          <w:right w:val="none" w:sz="0" w:space="0" w:color="000000"/>
          <w:between w:val="none" w:sz="0" w:space="0" w:color="000000"/>
        </w:pBdr>
        <w:ind w:left="720" w:firstLine="720"/>
        <w:jc w:val="both"/>
        <w:rPr>
          <w:b/>
        </w:rPr>
      </w:pPr>
      <w:r w:rsidRPr="00C62D3A">
        <w:rPr>
          <w:b/>
        </w:rPr>
        <w:t>MERCOSUR - Israel</w:t>
      </w:r>
    </w:p>
    <w:p w14:paraId="584F5916" w14:textId="77777777" w:rsidR="00D25E3A" w:rsidRDefault="00D25E3A" w:rsidP="00D25E3A">
      <w:pPr>
        <w:tabs>
          <w:tab w:val="left" w:pos="1778"/>
        </w:tabs>
        <w:suppressAutoHyphens/>
        <w:jc w:val="both"/>
        <w:rPr>
          <w:bCs/>
          <w:highlight w:val="cyan"/>
        </w:rPr>
      </w:pPr>
    </w:p>
    <w:p w14:paraId="558BCED4" w14:textId="77777777" w:rsidR="000734C0" w:rsidRDefault="000734C0" w:rsidP="000734C0">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E76E70">
        <w:rPr>
          <w:bCs/>
        </w:rPr>
        <w:t xml:space="preserve">Las delegaciones mantuvieron </w:t>
      </w:r>
      <w:r>
        <w:rPr>
          <w:bCs/>
        </w:rPr>
        <w:t xml:space="preserve">las posiciones ya expresadas con anterioridad. </w:t>
      </w:r>
    </w:p>
    <w:p w14:paraId="3CE11129" w14:textId="77777777" w:rsidR="00CE44D3" w:rsidRDefault="00CE44D3" w:rsidP="000734C0">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215C25BE" w14:textId="77777777" w:rsidR="00CE44D3" w:rsidRPr="00E76E70" w:rsidRDefault="00CE44D3" w:rsidP="000734C0">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240A4FB5" w14:textId="77777777" w:rsidR="004D42C5" w:rsidRDefault="004D42C5" w:rsidP="004D42C5">
      <w:pPr>
        <w:tabs>
          <w:tab w:val="left" w:pos="1778"/>
        </w:tabs>
        <w:suppressAutoHyphens/>
        <w:jc w:val="both"/>
        <w:rPr>
          <w:bCs/>
          <w:highlight w:val="cyan"/>
        </w:rPr>
      </w:pPr>
    </w:p>
    <w:p w14:paraId="6D37F04E" w14:textId="339C1470" w:rsidR="00D25E3A" w:rsidRDefault="007276D0" w:rsidP="007276D0">
      <w:pPr>
        <w:tabs>
          <w:tab w:val="left" w:pos="1418"/>
        </w:tabs>
        <w:suppressAutoHyphens/>
        <w:jc w:val="both"/>
        <w:rPr>
          <w:b/>
        </w:rPr>
      </w:pPr>
      <w:r>
        <w:rPr>
          <w:b/>
        </w:rPr>
        <w:lastRenderedPageBreak/>
        <w:tab/>
      </w:r>
      <w:r w:rsidR="004E3B0A">
        <w:rPr>
          <w:b/>
        </w:rPr>
        <w:tab/>
      </w:r>
      <w:r w:rsidR="00D25E3A">
        <w:rPr>
          <w:b/>
        </w:rPr>
        <w:t>MERCOSUR – Palestina</w:t>
      </w:r>
    </w:p>
    <w:p w14:paraId="160AC87D" w14:textId="77777777" w:rsidR="00D25E3A" w:rsidRDefault="00D25E3A" w:rsidP="00D25E3A">
      <w:pPr>
        <w:tabs>
          <w:tab w:val="left" w:pos="1778"/>
        </w:tabs>
        <w:suppressAutoHyphens/>
        <w:jc w:val="both"/>
        <w:rPr>
          <w:b/>
        </w:rPr>
      </w:pPr>
    </w:p>
    <w:p w14:paraId="36BA2978" w14:textId="527F48EA" w:rsidR="00D25E3A" w:rsidRPr="006A2F46" w:rsidRDefault="00D25E3A" w:rsidP="00D25E3A">
      <w:pPr>
        <w:tabs>
          <w:tab w:val="left" w:pos="1778"/>
        </w:tabs>
        <w:suppressAutoHyphens/>
        <w:jc w:val="both"/>
        <w:rPr>
          <w:strike/>
        </w:rPr>
      </w:pPr>
      <w:r>
        <w:t xml:space="preserve">La delegación de Brasil informó acerca de la promulgación del decreto por el cual incorpora el Acuerdo de Libre Comercio entre el MERCOSUR y Palestina a su ordenamiento jurídico interno. </w:t>
      </w:r>
      <w:r w:rsidR="00F461E7">
        <w:t xml:space="preserve">Adicionalmente, </w:t>
      </w:r>
      <w:r w:rsidR="006A2F46">
        <w:t>propuso</w:t>
      </w:r>
      <w:r w:rsidR="00F461E7">
        <w:t xml:space="preserve"> a </w:t>
      </w:r>
      <w:r w:rsidR="00F461E7" w:rsidRPr="006A2F46">
        <w:t>los demás Estados Partes que avancen en sus respectivos procesos de internalización del Acuerdo</w:t>
      </w:r>
      <w:r w:rsidR="006A2F46" w:rsidRPr="006A2F46">
        <w:t xml:space="preserve">. </w:t>
      </w:r>
    </w:p>
    <w:p w14:paraId="1ED5B411" w14:textId="77777777" w:rsidR="00D25E3A" w:rsidRDefault="00D25E3A" w:rsidP="00D25E3A">
      <w:pPr>
        <w:tabs>
          <w:tab w:val="left" w:pos="1778"/>
        </w:tabs>
        <w:suppressAutoHyphens/>
        <w:jc w:val="both"/>
      </w:pPr>
    </w:p>
    <w:p w14:paraId="0769B0FE" w14:textId="08548E4E" w:rsidR="00D25E3A" w:rsidRDefault="00D25E3A" w:rsidP="00EA0D1F">
      <w:pPr>
        <w:tabs>
          <w:tab w:val="left" w:pos="1778"/>
        </w:tabs>
        <w:suppressAutoHyphens/>
        <w:ind w:firstLine="1418"/>
        <w:jc w:val="both"/>
        <w:rPr>
          <w:b/>
        </w:rPr>
      </w:pPr>
      <w:r>
        <w:rPr>
          <w:b/>
        </w:rPr>
        <w:t>MERCOSUR- India</w:t>
      </w:r>
    </w:p>
    <w:p w14:paraId="09941E71" w14:textId="77777777" w:rsidR="004E3B0A" w:rsidRDefault="004E3B0A" w:rsidP="00D25E3A">
      <w:pPr>
        <w:tabs>
          <w:tab w:val="left" w:pos="1778"/>
        </w:tabs>
        <w:suppressAutoHyphens/>
        <w:jc w:val="both"/>
        <w:rPr>
          <w:b/>
        </w:rPr>
      </w:pPr>
    </w:p>
    <w:p w14:paraId="7CB7B851" w14:textId="0E737A10" w:rsidR="00D25E3A" w:rsidRDefault="00D25E3A" w:rsidP="00D25E3A">
      <w:pPr>
        <w:tabs>
          <w:tab w:val="left" w:pos="1778"/>
        </w:tabs>
        <w:suppressAutoHyphens/>
        <w:jc w:val="both"/>
      </w:pPr>
      <w:r>
        <w:t xml:space="preserve">Las delegaciones coincidieron en la relevancia de este </w:t>
      </w:r>
      <w:r w:rsidR="001C140D">
        <w:t xml:space="preserve">escenario </w:t>
      </w:r>
      <w:r>
        <w:t xml:space="preserve">y acordaron seguir realizando consultas e intercambiando </w:t>
      </w:r>
      <w:r w:rsidR="001C140D">
        <w:t>puntos de v</w:t>
      </w:r>
      <w:r>
        <w:t>ista</w:t>
      </w:r>
      <w:r w:rsidR="001C140D">
        <w:t xml:space="preserve"> sobre</w:t>
      </w:r>
      <w:r>
        <w:t xml:space="preserve"> una eventual profundización del Acuerdo Preferencial de Comercio entre MERCOSUR e India.</w:t>
      </w:r>
    </w:p>
    <w:p w14:paraId="70C88293" w14:textId="77777777" w:rsidR="00474051" w:rsidRDefault="00474051" w:rsidP="00D25E3A">
      <w:pPr>
        <w:tabs>
          <w:tab w:val="left" w:pos="1778"/>
        </w:tabs>
        <w:suppressAutoHyphens/>
        <w:jc w:val="both"/>
      </w:pPr>
    </w:p>
    <w:p w14:paraId="3A89A8ED" w14:textId="79E55AFC" w:rsidR="00474051" w:rsidRDefault="00474051" w:rsidP="00D25E3A">
      <w:pPr>
        <w:tabs>
          <w:tab w:val="left" w:pos="1778"/>
        </w:tabs>
        <w:suppressAutoHyphens/>
        <w:jc w:val="both"/>
      </w:pPr>
      <w:r>
        <w:t xml:space="preserve">La delegación de Uruguay manifestó la importancia de convocar el Comité Administrador Conjunto del Acuerdo a efectos de explorar el alcance </w:t>
      </w:r>
      <w:r w:rsidR="00860C60">
        <w:t>d</w:t>
      </w:r>
      <w:r>
        <w:t>e</w:t>
      </w:r>
      <w:r w:rsidR="00860C60">
        <w:t>l</w:t>
      </w:r>
      <w:r>
        <w:t xml:space="preserve"> interés manifestado por la contraparte.</w:t>
      </w:r>
    </w:p>
    <w:p w14:paraId="6720A750" w14:textId="77777777" w:rsidR="00CE44D3" w:rsidRDefault="00CE44D3" w:rsidP="00D25E3A">
      <w:pPr>
        <w:tabs>
          <w:tab w:val="left" w:pos="1778"/>
        </w:tabs>
        <w:suppressAutoHyphens/>
        <w:jc w:val="both"/>
      </w:pPr>
    </w:p>
    <w:p w14:paraId="2F26F689" w14:textId="77777777" w:rsidR="00D25E3A" w:rsidRPr="00807FAE" w:rsidRDefault="00D25E3A" w:rsidP="00D25E3A">
      <w:pPr>
        <w:tabs>
          <w:tab w:val="left" w:pos="1778"/>
        </w:tabs>
        <w:suppressAutoHyphens/>
        <w:jc w:val="both"/>
      </w:pPr>
    </w:p>
    <w:p w14:paraId="363A09D9" w14:textId="77777777" w:rsidR="00D25E3A" w:rsidRPr="00C62D3A" w:rsidRDefault="00D25E3A" w:rsidP="00EA0D1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C62D3A">
        <w:rPr>
          <w:b/>
        </w:rPr>
        <w:t>Otros escenarios</w:t>
      </w:r>
    </w:p>
    <w:p w14:paraId="6B989F3F" w14:textId="77777777" w:rsidR="00D25E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592236C9" w14:textId="77777777" w:rsidR="00D25E3A" w:rsidRDefault="00D25E3A" w:rsidP="00EA0D1F">
      <w:pPr>
        <w:widowControl w:val="0"/>
        <w:pBdr>
          <w:top w:val="none" w:sz="0" w:space="0" w:color="000000"/>
          <w:left w:val="none" w:sz="0" w:space="0" w:color="000000"/>
          <w:bottom w:val="none" w:sz="0" w:space="0" w:color="000000"/>
          <w:right w:val="none" w:sz="0" w:space="0" w:color="000000"/>
          <w:between w:val="none" w:sz="0" w:space="0" w:color="000000"/>
        </w:pBdr>
        <w:ind w:left="1440" w:hanging="22"/>
        <w:jc w:val="both"/>
        <w:rPr>
          <w:b/>
        </w:rPr>
      </w:pPr>
      <w:r w:rsidRPr="00C62D3A">
        <w:rPr>
          <w:b/>
        </w:rPr>
        <w:t>MERCOSUR - República Popular China</w:t>
      </w:r>
    </w:p>
    <w:p w14:paraId="109CA373" w14:textId="77777777" w:rsidR="00D25E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ind w:left="1560"/>
        <w:jc w:val="both"/>
        <w:rPr>
          <w:b/>
        </w:rPr>
      </w:pPr>
    </w:p>
    <w:p w14:paraId="643731DD" w14:textId="3C76AEF3" w:rsidR="00D25E3A" w:rsidRDefault="003C2474"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Pr>
          <w:bCs/>
        </w:rPr>
        <w:t>Las delegaciones recordaron</w:t>
      </w:r>
      <w:r w:rsidR="00D25E3A">
        <w:rPr>
          <w:bCs/>
        </w:rPr>
        <w:t xml:space="preserve"> los entendimientos incluidos en el Acta del VII Diálogo MERCOSUR - República Popular China</w:t>
      </w:r>
      <w:r>
        <w:rPr>
          <w:bCs/>
        </w:rPr>
        <w:t xml:space="preserve">. La delegación de Uruguay elaboró un proyecto de respuesta a la propuesta china de fortalecimiento del Mecanismo de Diálogo existente que se encuentra a consideración de los socios. </w:t>
      </w:r>
    </w:p>
    <w:p w14:paraId="3480E93E" w14:textId="77777777" w:rsidR="00D25E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5080AFF6" w14:textId="778FC32F" w:rsidR="00D25E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r>
        <w:rPr>
          <w:bCs/>
        </w:rPr>
        <w:t xml:space="preserve">Por su parte, </w:t>
      </w:r>
      <w:r w:rsidR="00FE27AC">
        <w:rPr>
          <w:bCs/>
        </w:rPr>
        <w:t xml:space="preserve">la delegación de </w:t>
      </w:r>
      <w:r>
        <w:rPr>
          <w:bCs/>
        </w:rPr>
        <w:t>Paraguay reafirmó su compromiso con las relaciones comerciales sin condicionamientos políticos que impliquen afectar las relaciones con países con los cuales mantiene lazos históricos.</w:t>
      </w:r>
    </w:p>
    <w:p w14:paraId="73EB524C" w14:textId="77777777" w:rsidR="00D25E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25C116F6" w14:textId="77777777" w:rsidR="00D25E3A" w:rsidRDefault="00D25E3A" w:rsidP="00866A92">
      <w:pPr>
        <w:widowControl w:val="0"/>
        <w:pBdr>
          <w:top w:val="none" w:sz="0" w:space="0" w:color="000000"/>
          <w:left w:val="none" w:sz="0" w:space="0" w:color="000000"/>
          <w:bottom w:val="none" w:sz="0" w:space="0" w:color="000000"/>
          <w:right w:val="none" w:sz="0" w:space="0" w:color="000000"/>
          <w:between w:val="none" w:sz="0" w:space="0" w:color="000000"/>
        </w:pBdr>
        <w:ind w:left="720" w:firstLine="720"/>
        <w:jc w:val="both"/>
        <w:rPr>
          <w:b/>
        </w:rPr>
      </w:pPr>
      <w:r w:rsidRPr="007A7EB5">
        <w:rPr>
          <w:b/>
        </w:rPr>
        <w:t>MERCOSUR</w:t>
      </w:r>
      <w:r>
        <w:rPr>
          <w:b/>
        </w:rPr>
        <w:t xml:space="preserve"> </w:t>
      </w:r>
      <w:r w:rsidRPr="007A7EB5">
        <w:rPr>
          <w:b/>
        </w:rPr>
        <w:t>-</w:t>
      </w:r>
      <w:r>
        <w:rPr>
          <w:b/>
        </w:rPr>
        <w:t xml:space="preserve"> </w:t>
      </w:r>
      <w:r w:rsidRPr="007A7EB5">
        <w:rPr>
          <w:b/>
        </w:rPr>
        <w:t>Vietnam</w:t>
      </w:r>
    </w:p>
    <w:p w14:paraId="7B9A9DD3" w14:textId="77777777" w:rsidR="00D25E3A" w:rsidRPr="00B5541C"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ind w:left="1560"/>
        <w:jc w:val="both"/>
        <w:rPr>
          <w:b/>
        </w:rPr>
      </w:pPr>
    </w:p>
    <w:p w14:paraId="087363C7" w14:textId="5EAE4138" w:rsidR="005F5653" w:rsidRPr="00B5541C" w:rsidRDefault="005F5653" w:rsidP="005F5653">
      <w:pPr>
        <w:widowControl w:val="0"/>
        <w:pBdr>
          <w:top w:val="none" w:sz="0" w:space="0" w:color="000000"/>
          <w:left w:val="none" w:sz="0" w:space="0" w:color="000000"/>
          <w:bottom w:val="none" w:sz="0" w:space="0" w:color="000000"/>
          <w:right w:val="none" w:sz="0" w:space="0" w:color="000000"/>
          <w:between w:val="none" w:sz="0" w:space="0" w:color="000000"/>
        </w:pBdr>
        <w:jc w:val="both"/>
      </w:pPr>
      <w:r w:rsidRPr="00B5541C">
        <w:t>La delegación de Brasil recordó que, durante la visita de Presidente Lula a Vietnam, los líderes de los dos países manifestaron la voluntad de discutir un marco mutuamente equilibrado para la expansión de los vínculos económicos entre MERCOSUR y Vietnam, convergente con las políticas económicas de Brasil y Vietnam.</w:t>
      </w:r>
    </w:p>
    <w:p w14:paraId="78C56657" w14:textId="77777777" w:rsidR="005F5653" w:rsidRPr="00B5541C" w:rsidRDefault="005F5653" w:rsidP="00D25E3A">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450ADB2B" w14:textId="43886B6B" w:rsidR="00AA4482"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color w:val="00B050"/>
        </w:rPr>
      </w:pPr>
      <w:r w:rsidRPr="003648F0">
        <w:t xml:space="preserve">Las delegaciones de Argentina, Paraguay y Uruguay manifestaron la necesidad avanzar en una eventual negociación con este </w:t>
      </w:r>
      <w:r w:rsidR="00866A92">
        <w:t>país</w:t>
      </w:r>
      <w:r w:rsidR="005F5653">
        <w:t xml:space="preserve"> durante el segundo semestre</w:t>
      </w:r>
      <w:r w:rsidRPr="003648F0">
        <w:t>.</w:t>
      </w:r>
    </w:p>
    <w:p w14:paraId="69EB2FE5" w14:textId="77777777" w:rsidR="00AA4482" w:rsidRDefault="00AA4482"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6F772E30" w14:textId="77777777" w:rsidR="00D25E3A" w:rsidRPr="00AD2ADF" w:rsidRDefault="00D25E3A" w:rsidP="00866A92">
      <w:pPr>
        <w:widowControl w:val="0"/>
        <w:pBdr>
          <w:top w:val="none" w:sz="0" w:space="0" w:color="000000"/>
          <w:left w:val="none" w:sz="0" w:space="0" w:color="000000"/>
          <w:bottom w:val="none" w:sz="0" w:space="0" w:color="000000"/>
          <w:right w:val="none" w:sz="0" w:space="0" w:color="000000"/>
          <w:between w:val="none" w:sz="0" w:space="0" w:color="000000"/>
        </w:pBdr>
        <w:ind w:left="720" w:firstLine="720"/>
        <w:jc w:val="both"/>
        <w:rPr>
          <w:b/>
        </w:rPr>
      </w:pPr>
      <w:r w:rsidRPr="00AD2ADF">
        <w:rPr>
          <w:b/>
        </w:rPr>
        <w:t>MERCOSUR - Japón</w:t>
      </w:r>
    </w:p>
    <w:p w14:paraId="4A33CA91" w14:textId="77777777" w:rsidR="00D25E3A" w:rsidRDefault="00D25E3A"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4F3FE2EF" w14:textId="5069504B" w:rsidR="00D25E3A" w:rsidRDefault="00BE0451"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BE0451">
        <w:rPr>
          <w:bCs/>
        </w:rPr>
        <w:t xml:space="preserve">La delegación de Brasil recordó la visita del Presidente Lula a Japón del 24 al 27 de marzo de 2025, ocasión en la que se analizó la forma de profundizar las </w:t>
      </w:r>
      <w:r w:rsidRPr="00BE0451">
        <w:rPr>
          <w:bCs/>
        </w:rPr>
        <w:lastRenderedPageBreak/>
        <w:t xml:space="preserve">relaciones comerciales con el MERCOSUR. Asimismo, todas las delegaciones informaron </w:t>
      </w:r>
      <w:r w:rsidR="00D25E3A" w:rsidRPr="00BE0451">
        <w:rPr>
          <w:bCs/>
        </w:rPr>
        <w:t xml:space="preserve">acerca </w:t>
      </w:r>
      <w:r w:rsidR="00D25E3A">
        <w:rPr>
          <w:bCs/>
        </w:rPr>
        <w:t xml:space="preserve">de </w:t>
      </w:r>
      <w:r>
        <w:rPr>
          <w:bCs/>
        </w:rPr>
        <w:t xml:space="preserve">los </w:t>
      </w:r>
      <w:r w:rsidR="00D25E3A">
        <w:rPr>
          <w:bCs/>
        </w:rPr>
        <w:t>contactos reciente</w:t>
      </w:r>
      <w:r>
        <w:rPr>
          <w:bCs/>
        </w:rPr>
        <w:t>mente</w:t>
      </w:r>
      <w:r w:rsidR="00D25E3A">
        <w:rPr>
          <w:bCs/>
        </w:rPr>
        <w:t xml:space="preserve"> mantenidos </w:t>
      </w:r>
      <w:r w:rsidR="00E9581E">
        <w:rPr>
          <w:bCs/>
        </w:rPr>
        <w:t xml:space="preserve">con Japón </w:t>
      </w:r>
      <w:r w:rsidR="00D25E3A">
        <w:rPr>
          <w:bCs/>
        </w:rPr>
        <w:t xml:space="preserve">relativos a la </w:t>
      </w:r>
      <w:r>
        <w:rPr>
          <w:bCs/>
        </w:rPr>
        <w:t>ampliación</w:t>
      </w:r>
      <w:r w:rsidR="00D25E3A">
        <w:rPr>
          <w:bCs/>
        </w:rPr>
        <w:t xml:space="preserve"> de las relaciones comerciales. </w:t>
      </w:r>
      <w:r>
        <w:rPr>
          <w:bCs/>
        </w:rPr>
        <w:t>C</w:t>
      </w:r>
      <w:r w:rsidR="00D25E3A">
        <w:rPr>
          <w:bCs/>
        </w:rPr>
        <w:t xml:space="preserve">oincidieron acerca de la relevancia estratégica de este frente y tomaron nota del interés de Japón en </w:t>
      </w:r>
      <w:r>
        <w:rPr>
          <w:bCs/>
        </w:rPr>
        <w:t xml:space="preserve">retomar </w:t>
      </w:r>
      <w:r w:rsidR="00D25E3A">
        <w:rPr>
          <w:bCs/>
        </w:rPr>
        <w:t>las conversaciones en el segundo semestre de este año. La delegación de Uruguay enviará para consideración del resto de las delegaciones un proyecto de respuesta a la propuesta de asociación estratégica presentada por Japón.</w:t>
      </w:r>
    </w:p>
    <w:p w14:paraId="1CE72F56" w14:textId="77777777" w:rsidR="00BE0451" w:rsidRDefault="00BE0451"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08DB43DD" w14:textId="77777777" w:rsidR="00041489" w:rsidRDefault="00041489" w:rsidP="00D25E3A">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014C6AD2" w14:textId="0441F73C" w:rsidR="002C15A3" w:rsidRPr="002C15A3" w:rsidRDefault="002C15A3" w:rsidP="000D63B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Cs/>
        </w:rPr>
      </w:pPr>
      <w:r>
        <w:rPr>
          <w:b/>
        </w:rPr>
        <w:t>CUMBRE DE JEFES DE ESTADO DEL MERCOSUR</w:t>
      </w:r>
    </w:p>
    <w:p w14:paraId="72D05E84" w14:textId="77777777" w:rsidR="0082679C" w:rsidRPr="002C15A3" w:rsidRDefault="0082679C" w:rsidP="0082679C">
      <w:pPr>
        <w:widowControl w:val="0"/>
        <w:pBdr>
          <w:top w:val="none" w:sz="0" w:space="0" w:color="000000"/>
          <w:left w:val="none" w:sz="0" w:space="0" w:color="000000"/>
          <w:bottom w:val="none" w:sz="0" w:space="0" w:color="000000"/>
          <w:right w:val="none" w:sz="0" w:space="0" w:color="000000"/>
          <w:between w:val="none" w:sz="0" w:space="0" w:color="000000"/>
        </w:pBdr>
        <w:jc w:val="both"/>
        <w:rPr>
          <w:b/>
          <w:strike/>
        </w:rPr>
      </w:pPr>
    </w:p>
    <w:p w14:paraId="1B6E50FA" w14:textId="1B6F2123" w:rsidR="008E0741" w:rsidRDefault="00DF0C36" w:rsidP="00DF0C36">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DF0C36">
        <w:rPr>
          <w:bCs/>
        </w:rPr>
        <w:t>La PPTA</w:t>
      </w:r>
      <w:r>
        <w:rPr>
          <w:bCs/>
        </w:rPr>
        <w:t xml:space="preserve"> informó que la </w:t>
      </w:r>
      <w:r w:rsidR="007A7EB5" w:rsidRPr="00DF0C36">
        <w:rPr>
          <w:bCs/>
        </w:rPr>
        <w:t>LXVI reunión ordinaria del Consejo del Mercado Común (CMC) y Cumbre de Presidentes del MERCOSUR</w:t>
      </w:r>
      <w:r>
        <w:rPr>
          <w:bCs/>
        </w:rPr>
        <w:t xml:space="preserve"> tendrá lugar en el Palacio San Martín, ciudad de Buenos Aires, los días 2 y 3 de julio, respectivamente</w:t>
      </w:r>
      <w:r w:rsidR="007A7EB5" w:rsidRPr="00DF0C36">
        <w:rPr>
          <w:bCs/>
        </w:rPr>
        <w:t>.</w:t>
      </w:r>
    </w:p>
    <w:p w14:paraId="1A8A22BD" w14:textId="77777777" w:rsidR="00457BA8" w:rsidRPr="00D22BC4" w:rsidRDefault="00457BA8" w:rsidP="00DF0C36">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3255DF60" w14:textId="77777777" w:rsidR="00217516" w:rsidRPr="002F08F5" w:rsidRDefault="00217516" w:rsidP="00217516">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bookmarkStart w:id="3" w:name="_Hlk176431060"/>
      <w:bookmarkEnd w:id="2"/>
    </w:p>
    <w:p w14:paraId="236741AA" w14:textId="77777777" w:rsidR="00217516" w:rsidRPr="00995162" w:rsidRDefault="00217516" w:rsidP="00217516">
      <w:pPr>
        <w:pStyle w:val="Prrafodelista"/>
        <w:widowControl w:val="0"/>
        <w:numPr>
          <w:ilvl w:val="0"/>
          <w:numId w:val="38"/>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995162">
        <w:rPr>
          <w:b/>
        </w:rPr>
        <w:t>SEGUIMIENTO DE LOS TRABAJOS DE LA CCM, GRUPOS, SUBGRUPOS DE TRABAJO Y DEMÁS FOROS DEPENDIENTES DEL GMC</w:t>
      </w:r>
    </w:p>
    <w:p w14:paraId="4B4EDDCA" w14:textId="77777777" w:rsidR="00217516" w:rsidRPr="00C67772" w:rsidRDefault="00217516" w:rsidP="00217516">
      <w:pPr>
        <w:tabs>
          <w:tab w:val="left" w:pos="1134"/>
        </w:tabs>
        <w:suppressAutoHyphens/>
        <w:jc w:val="both"/>
        <w:rPr>
          <w:bCs/>
        </w:rPr>
      </w:pPr>
    </w:p>
    <w:p w14:paraId="2B9F6FB7" w14:textId="77777777" w:rsidR="00217516" w:rsidRPr="00936183" w:rsidRDefault="00217516" w:rsidP="00217516">
      <w:pPr>
        <w:pStyle w:val="Prrafodelista"/>
        <w:numPr>
          <w:ilvl w:val="0"/>
          <w:numId w:val="26"/>
        </w:numPr>
        <w:suppressAutoHyphens/>
        <w:ind w:left="567" w:hanging="567"/>
        <w:jc w:val="both"/>
        <w:rPr>
          <w:b/>
          <w:bCs/>
        </w:rPr>
      </w:pPr>
      <w:r w:rsidRPr="00936183">
        <w:rPr>
          <w:b/>
          <w:bCs/>
        </w:rPr>
        <w:t>Instrucciones a los órganos y foros de la estructura institucional</w:t>
      </w:r>
    </w:p>
    <w:p w14:paraId="1E8D9773" w14:textId="77777777" w:rsidR="00217516" w:rsidRDefault="00217516" w:rsidP="00217516">
      <w:pPr>
        <w:tabs>
          <w:tab w:val="left" w:pos="1134"/>
        </w:tabs>
        <w:suppressAutoHyphens/>
        <w:jc w:val="both"/>
        <w:rPr>
          <w:b/>
        </w:rPr>
      </w:pPr>
    </w:p>
    <w:p w14:paraId="38F7D3B2" w14:textId="77777777" w:rsidR="00217516" w:rsidRPr="009100C1" w:rsidRDefault="00217516" w:rsidP="00217516">
      <w:pPr>
        <w:tabs>
          <w:tab w:val="left" w:pos="1134"/>
        </w:tabs>
        <w:suppressAutoHyphens/>
        <w:jc w:val="both"/>
        <w:rPr>
          <w:iCs/>
        </w:rPr>
      </w:pPr>
      <w:r w:rsidRPr="009100C1">
        <w:rPr>
          <w:iCs/>
        </w:rPr>
        <w:t>El GMC reiteró que los órganos y foros de la estructura institucional que deseen publicar contenidos en el Portal Web MERCOSUR deben seguir los procedimientos establecidos en la Resolución GMC N° 32/22.</w:t>
      </w:r>
    </w:p>
    <w:p w14:paraId="168120FE" w14:textId="77777777" w:rsidR="00217516" w:rsidRPr="009100C1" w:rsidRDefault="00217516" w:rsidP="00217516">
      <w:pPr>
        <w:tabs>
          <w:tab w:val="left" w:pos="1134"/>
        </w:tabs>
        <w:suppressAutoHyphens/>
        <w:jc w:val="both"/>
        <w:rPr>
          <w:iCs/>
        </w:rPr>
      </w:pPr>
    </w:p>
    <w:p w14:paraId="72DB7521" w14:textId="77777777" w:rsidR="00217516" w:rsidRPr="009100C1" w:rsidRDefault="00217516" w:rsidP="00217516">
      <w:pPr>
        <w:tabs>
          <w:tab w:val="left" w:pos="1134"/>
        </w:tabs>
        <w:suppressAutoHyphens/>
        <w:jc w:val="both"/>
        <w:rPr>
          <w:iCs/>
        </w:rPr>
      </w:pPr>
      <w:r w:rsidRPr="009100C1">
        <w:rPr>
          <w:iCs/>
        </w:rPr>
        <w:t xml:space="preserve">Por otra parte, el GMC recordó que la Plataforma MERCOSUR de Formación centraliza la oferta de formación y capacitación desarrollada por los órganos y foros de la estructura institucional del MERCOSUR. </w:t>
      </w:r>
    </w:p>
    <w:p w14:paraId="6829706B" w14:textId="77777777" w:rsidR="00217516" w:rsidRPr="009100C1" w:rsidRDefault="00217516" w:rsidP="00217516">
      <w:pPr>
        <w:tabs>
          <w:tab w:val="left" w:pos="1134"/>
        </w:tabs>
        <w:suppressAutoHyphens/>
        <w:jc w:val="both"/>
        <w:rPr>
          <w:iCs/>
        </w:rPr>
      </w:pPr>
    </w:p>
    <w:p w14:paraId="18CA9569" w14:textId="5ADF6391" w:rsidR="00217516" w:rsidRDefault="00217516" w:rsidP="00217516">
      <w:pPr>
        <w:tabs>
          <w:tab w:val="left" w:pos="1134"/>
        </w:tabs>
        <w:suppressAutoHyphens/>
        <w:jc w:val="both"/>
        <w:rPr>
          <w:iCs/>
        </w:rPr>
      </w:pPr>
      <w:r w:rsidRPr="009100C1">
        <w:rPr>
          <w:iCs/>
        </w:rPr>
        <w:t xml:space="preserve">Asimismo, indicó que las propuestas de iniciativa de formación y capacitación deben ser remitidas formalmente a consideración de la </w:t>
      </w:r>
      <w:r w:rsidRPr="00B6396B">
        <w:rPr>
          <w:iCs/>
        </w:rPr>
        <w:t>CRPM, de co</w:t>
      </w:r>
      <w:r w:rsidRPr="009100C1">
        <w:rPr>
          <w:iCs/>
        </w:rPr>
        <w:t>nformidad con lo dispuesto en la Resolución GMC N° 33/22.</w:t>
      </w:r>
    </w:p>
    <w:p w14:paraId="2ED29D22" w14:textId="77777777" w:rsidR="00217516" w:rsidRDefault="00217516" w:rsidP="00217516">
      <w:pPr>
        <w:tabs>
          <w:tab w:val="left" w:pos="1134"/>
        </w:tabs>
        <w:suppressAutoHyphens/>
        <w:jc w:val="both"/>
        <w:rPr>
          <w:iCs/>
        </w:rPr>
      </w:pPr>
    </w:p>
    <w:p w14:paraId="60E2FFD6" w14:textId="77777777" w:rsidR="00217516" w:rsidRPr="00B6396B" w:rsidRDefault="00217516" w:rsidP="00217516">
      <w:pPr>
        <w:tabs>
          <w:tab w:val="left" w:pos="1134"/>
        </w:tabs>
        <w:suppressAutoHyphens/>
        <w:jc w:val="both"/>
        <w:rPr>
          <w:iCs/>
        </w:rPr>
      </w:pPr>
      <w:r w:rsidRPr="00B6396B">
        <w:rPr>
          <w:iCs/>
        </w:rPr>
        <w:t>El GMC recordó a l</w:t>
      </w:r>
      <w:r w:rsidRPr="00B6396B">
        <w:rPr>
          <w:color w:val="000000"/>
        </w:rPr>
        <w:t xml:space="preserve">os órganos MERCOSUR con presupuesto propio que deben solicitar autorización previa para firmar convenios a la CRPM por intermedio del Representante Permanente del Estado Parte en ejercicio de la Presidencia </w:t>
      </w:r>
      <w:r w:rsidRPr="00B6396B">
        <w:rPr>
          <w:i/>
          <w:iCs/>
          <w:color w:val="000000"/>
        </w:rPr>
        <w:t xml:space="preserve">Pro Tempore </w:t>
      </w:r>
      <w:r w:rsidRPr="00B6396B">
        <w:rPr>
          <w:color w:val="000000"/>
        </w:rPr>
        <w:t xml:space="preserve">de conformidad con lo establecido </w:t>
      </w:r>
      <w:r w:rsidRPr="00B6396B">
        <w:rPr>
          <w:iCs/>
        </w:rPr>
        <w:t>en la Resolución GMC N° 15/20.</w:t>
      </w:r>
    </w:p>
    <w:p w14:paraId="7F7D9073" w14:textId="77777777" w:rsidR="00217516" w:rsidRPr="00C67772" w:rsidRDefault="00217516" w:rsidP="00217516">
      <w:pPr>
        <w:tabs>
          <w:tab w:val="left" w:pos="1134"/>
        </w:tabs>
        <w:suppressAutoHyphens/>
        <w:jc w:val="both"/>
        <w:rPr>
          <w:bCs/>
        </w:rPr>
      </w:pPr>
    </w:p>
    <w:p w14:paraId="0F1B9892" w14:textId="77777777" w:rsidR="00217516" w:rsidRPr="00C67772" w:rsidRDefault="00217516" w:rsidP="00217516">
      <w:pPr>
        <w:suppressAutoHyphens/>
        <w:ind w:left="567" w:hanging="567"/>
        <w:jc w:val="both"/>
        <w:rPr>
          <w:b/>
          <w:lang w:eastAsia="es-ES"/>
        </w:rPr>
      </w:pPr>
      <w:r w:rsidRPr="00C67772">
        <w:t>-</w:t>
      </w:r>
      <w:r w:rsidRPr="00C67772">
        <w:tab/>
      </w:r>
      <w:r w:rsidRPr="00C67772">
        <w:rPr>
          <w:b/>
          <w:bCs/>
        </w:rPr>
        <w:t xml:space="preserve">Comisión de Comercio del MERCOSUR (CCM) </w:t>
      </w:r>
    </w:p>
    <w:p w14:paraId="30B8D834" w14:textId="77777777" w:rsidR="00217516" w:rsidRPr="00C67772" w:rsidRDefault="00217516" w:rsidP="00217516">
      <w:pPr>
        <w:tabs>
          <w:tab w:val="left" w:pos="567"/>
          <w:tab w:val="left" w:pos="1134"/>
        </w:tabs>
        <w:suppressAutoHyphens/>
        <w:jc w:val="both"/>
        <w:rPr>
          <w:bCs/>
        </w:rPr>
      </w:pPr>
    </w:p>
    <w:p w14:paraId="3E4B2173" w14:textId="77777777" w:rsidR="00217516" w:rsidRDefault="00217516" w:rsidP="00217516">
      <w:pPr>
        <w:tabs>
          <w:tab w:val="left" w:pos="1778"/>
        </w:tabs>
        <w:suppressAutoHyphens/>
        <w:jc w:val="both"/>
        <w:rPr>
          <w:bCs/>
        </w:rPr>
      </w:pPr>
      <w:r w:rsidRPr="00BC61FF">
        <w:rPr>
          <w:bCs/>
        </w:rPr>
        <w:t>El GMC tomó nota de los resultados de la CCIX reunión ordinaria de la CCM realizada en Montevideo los días 18 y 19 de marzo de 2025.</w:t>
      </w:r>
    </w:p>
    <w:p w14:paraId="6ABF983A" w14:textId="533FE60D" w:rsidR="00CE44D3" w:rsidRDefault="00CE44D3">
      <w:pPr>
        <w:rPr>
          <w:bCs/>
        </w:rPr>
      </w:pPr>
      <w:r>
        <w:rPr>
          <w:bCs/>
        </w:rPr>
        <w:br w:type="page"/>
      </w:r>
    </w:p>
    <w:p w14:paraId="45A19989" w14:textId="77777777" w:rsidR="00CE44D3" w:rsidRDefault="00CE44D3" w:rsidP="0020622A">
      <w:pPr>
        <w:suppressAutoHyphens/>
        <w:ind w:left="567" w:hanging="567"/>
        <w:jc w:val="both"/>
      </w:pPr>
    </w:p>
    <w:p w14:paraId="6CDD39CF" w14:textId="77777777" w:rsidR="00217516" w:rsidRPr="00C67772" w:rsidRDefault="00217516" w:rsidP="0020622A">
      <w:pPr>
        <w:suppressAutoHyphens/>
        <w:ind w:left="567" w:hanging="567"/>
        <w:jc w:val="both"/>
        <w:rPr>
          <w:b/>
          <w:bCs/>
        </w:rPr>
      </w:pPr>
      <w:r w:rsidRPr="00C67772">
        <w:t>-</w:t>
      </w:r>
      <w:r w:rsidRPr="00C67772">
        <w:tab/>
      </w:r>
      <w:r w:rsidRPr="00C67772">
        <w:rPr>
          <w:b/>
        </w:rPr>
        <w:t>Subgrupo de Trabajo N° 3 “Reglamentos Técnicos y Evaluación de la Conformidad” (SGT N° 3)</w:t>
      </w:r>
      <w:r>
        <w:rPr>
          <w:b/>
        </w:rPr>
        <w:t xml:space="preserve"> </w:t>
      </w:r>
    </w:p>
    <w:p w14:paraId="7DFFA006" w14:textId="77777777" w:rsidR="00217516" w:rsidRPr="00C67772" w:rsidRDefault="00217516" w:rsidP="00217516">
      <w:pPr>
        <w:jc w:val="both"/>
      </w:pPr>
    </w:p>
    <w:p w14:paraId="52AB00B0" w14:textId="77777777" w:rsidR="00217516" w:rsidRPr="0089349E" w:rsidRDefault="00217516" w:rsidP="00217516">
      <w:pPr>
        <w:tabs>
          <w:tab w:val="left" w:pos="1778"/>
        </w:tabs>
        <w:suppressAutoHyphens/>
        <w:jc w:val="both"/>
        <w:rPr>
          <w:rFonts w:eastAsia="Times New Roman" w:cs="Times New Roman"/>
          <w:bCs/>
          <w:szCs w:val="20"/>
          <w:lang w:val="es-UY" w:eastAsia="es-ES"/>
        </w:rPr>
      </w:pPr>
      <w:r w:rsidRPr="0089349E">
        <w:rPr>
          <w:rFonts w:eastAsia="Times New Roman" w:cs="Times New Roman"/>
          <w:bCs/>
          <w:szCs w:val="20"/>
          <w:lang w:val="es-UY" w:eastAsia="es-ES"/>
        </w:rPr>
        <w:t>El GMC tomó nota de los resultados de la XCI reunión ordinaria del SGT N° 3 realizada los días 3, 7, 8 y 9 de abril de 2025, por sistema de videoconferencia de conformidad con lo establecido en la Resolución GMC N°</w:t>
      </w:r>
      <w:r>
        <w:rPr>
          <w:rFonts w:eastAsia="Times New Roman" w:cs="Times New Roman"/>
          <w:bCs/>
          <w:szCs w:val="20"/>
          <w:lang w:val="es-UY" w:eastAsia="es-ES"/>
        </w:rPr>
        <w:t xml:space="preserve"> </w:t>
      </w:r>
      <w:r w:rsidRPr="0089349E">
        <w:rPr>
          <w:rFonts w:eastAsia="Times New Roman" w:cs="Times New Roman"/>
          <w:bCs/>
          <w:szCs w:val="20"/>
          <w:lang w:val="es-UY" w:eastAsia="es-ES"/>
        </w:rPr>
        <w:t>19/12.</w:t>
      </w:r>
    </w:p>
    <w:p w14:paraId="0546392E" w14:textId="77777777" w:rsidR="00217516" w:rsidRPr="0089349E" w:rsidRDefault="00217516" w:rsidP="00217516">
      <w:pPr>
        <w:tabs>
          <w:tab w:val="left" w:pos="1778"/>
        </w:tabs>
        <w:suppressAutoHyphens/>
        <w:jc w:val="both"/>
        <w:rPr>
          <w:rFonts w:eastAsia="Times New Roman" w:cs="Times New Roman"/>
          <w:bCs/>
          <w:szCs w:val="20"/>
          <w:lang w:val="es-UY" w:eastAsia="es-ES"/>
        </w:rPr>
      </w:pPr>
    </w:p>
    <w:p w14:paraId="720C59FF" w14:textId="77777777" w:rsidR="00217516" w:rsidRPr="0089349E" w:rsidRDefault="00217516" w:rsidP="00217516">
      <w:pPr>
        <w:autoSpaceDE w:val="0"/>
        <w:autoSpaceDN w:val="0"/>
        <w:adjustRightInd w:val="0"/>
        <w:jc w:val="both"/>
        <w:rPr>
          <w:rFonts w:eastAsia="Times New Roman" w:cs="Times New Roman"/>
          <w:bCs/>
          <w:szCs w:val="20"/>
          <w:lang w:val="es-UY" w:eastAsia="es-ES"/>
        </w:rPr>
      </w:pPr>
      <w:r w:rsidRPr="0089349E">
        <w:rPr>
          <w:rFonts w:eastAsia="Times New Roman" w:cs="Times New Roman"/>
          <w:bCs/>
          <w:szCs w:val="20"/>
          <w:lang w:val="es-UY" w:eastAsia="es-ES"/>
        </w:rPr>
        <w:t>El GMC aprobó las Resoluciones N° 01/25 “</w:t>
      </w:r>
      <w:r w:rsidRPr="00CF0CE4">
        <w:rPr>
          <w:rFonts w:eastAsia="Times New Roman" w:cs="Times New Roman"/>
          <w:bCs/>
          <w:szCs w:val="20"/>
          <w:lang w:val="es-UY" w:eastAsia="es-ES"/>
        </w:rPr>
        <w:t>Modificación de las Resoluciones GMC Nº 50/97, 53/98, 54/98, 16/00, 51/00, 07/06, 08/06, 09/06, 09/07 y 02/08 sobre Aditivos Alimentarios</w:t>
      </w:r>
      <w:r>
        <w:rPr>
          <w:rFonts w:eastAsia="Times New Roman" w:cs="Times New Roman"/>
          <w:bCs/>
          <w:szCs w:val="20"/>
          <w:lang w:val="es-UY" w:eastAsia="es-ES"/>
        </w:rPr>
        <w:t>”,</w:t>
      </w:r>
      <w:r w:rsidRPr="0089349E">
        <w:rPr>
          <w:rFonts w:eastAsia="Times New Roman" w:cs="Times New Roman"/>
          <w:bCs/>
          <w:szCs w:val="20"/>
          <w:lang w:val="es-UY" w:eastAsia="es-ES"/>
        </w:rPr>
        <w:t xml:space="preserve"> N° 02/25 “</w:t>
      </w:r>
      <w:r w:rsidRPr="00CF0CE4">
        <w:rPr>
          <w:rFonts w:eastAsia="Times New Roman" w:cs="Times New Roman"/>
          <w:bCs/>
          <w:szCs w:val="20"/>
          <w:lang w:val="es-UY" w:eastAsia="es-ES"/>
        </w:rPr>
        <w:t>Modificación de la Resolución GMC N° 40/15 “Reglamento Técnico MERCOSUR sobre materiales, envases y equipamientos celulósicos destinados a estar en contacto con alimentos”</w:t>
      </w:r>
      <w:r>
        <w:rPr>
          <w:rFonts w:eastAsia="Times New Roman" w:cs="Times New Roman"/>
          <w:bCs/>
          <w:szCs w:val="20"/>
          <w:lang w:val="es-UY" w:eastAsia="es-ES"/>
        </w:rPr>
        <w:t xml:space="preserve"> y</w:t>
      </w:r>
      <w:r w:rsidRPr="0089349E">
        <w:rPr>
          <w:rFonts w:eastAsia="Times New Roman" w:cs="Times New Roman"/>
          <w:bCs/>
          <w:szCs w:val="20"/>
          <w:lang w:val="es-UY" w:eastAsia="es-ES"/>
        </w:rPr>
        <w:t xml:space="preserve"> N°</w:t>
      </w:r>
      <w:r>
        <w:rPr>
          <w:rFonts w:eastAsia="Times New Roman" w:cs="Times New Roman"/>
          <w:bCs/>
          <w:szCs w:val="20"/>
          <w:lang w:val="es-UY" w:eastAsia="es-ES"/>
        </w:rPr>
        <w:t xml:space="preserve"> </w:t>
      </w:r>
      <w:r w:rsidRPr="0089349E">
        <w:rPr>
          <w:rFonts w:eastAsia="Times New Roman" w:cs="Times New Roman"/>
          <w:bCs/>
          <w:szCs w:val="20"/>
          <w:lang w:val="es-UY" w:eastAsia="es-ES"/>
        </w:rPr>
        <w:t>03/25 “</w:t>
      </w:r>
      <w:r w:rsidRPr="00CF0CE4">
        <w:rPr>
          <w:rFonts w:eastAsia="Times New Roman" w:cs="Times New Roman"/>
          <w:bCs/>
          <w:szCs w:val="20"/>
          <w:lang w:val="es-UY" w:eastAsia="es-ES"/>
        </w:rPr>
        <w:t>Modificación de las Resoluciones GMC Nº 09/06 y 63/18 sobre Aditivos Alimentarios</w:t>
      </w:r>
      <w:r w:rsidRPr="0089349E">
        <w:rPr>
          <w:rFonts w:eastAsia="Times New Roman" w:cs="Times New Roman"/>
          <w:bCs/>
          <w:szCs w:val="20"/>
          <w:lang w:val="es-UY" w:eastAsia="es-ES"/>
        </w:rPr>
        <w:t xml:space="preserve">” </w:t>
      </w:r>
      <w:r w:rsidRPr="0018567A">
        <w:rPr>
          <w:rFonts w:eastAsia="Times New Roman" w:cs="Times New Roman"/>
          <w:b/>
          <w:szCs w:val="20"/>
          <w:lang w:val="es-UY" w:eastAsia="es-ES"/>
        </w:rPr>
        <w:t>(Anexo III)</w:t>
      </w:r>
      <w:r w:rsidRPr="0018567A">
        <w:rPr>
          <w:rFonts w:eastAsia="Times New Roman" w:cs="Times New Roman"/>
          <w:bCs/>
          <w:szCs w:val="20"/>
          <w:lang w:val="es-UY" w:eastAsia="es-ES"/>
        </w:rPr>
        <w:t>.</w:t>
      </w:r>
    </w:p>
    <w:p w14:paraId="5EE585FE" w14:textId="77777777" w:rsidR="00217516" w:rsidRPr="00C67772" w:rsidRDefault="00217516" w:rsidP="00217516">
      <w:pPr>
        <w:pStyle w:val="xmsonormal"/>
        <w:shd w:val="clear" w:color="auto" w:fill="FFFFFF"/>
        <w:spacing w:before="0" w:beforeAutospacing="0" w:after="0" w:afterAutospacing="0"/>
        <w:jc w:val="both"/>
        <w:rPr>
          <w:rFonts w:ascii="Arial" w:hAnsi="Arial" w:cs="Arial"/>
          <w:lang w:val="es-ES_tradnl"/>
        </w:rPr>
      </w:pPr>
    </w:p>
    <w:p w14:paraId="265252F1" w14:textId="77777777" w:rsidR="00217516" w:rsidRPr="00C67772" w:rsidRDefault="00217516" w:rsidP="00217516">
      <w:pPr>
        <w:pStyle w:val="Prrafodelista"/>
        <w:numPr>
          <w:ilvl w:val="0"/>
          <w:numId w:val="5"/>
        </w:numPr>
        <w:tabs>
          <w:tab w:val="left" w:pos="1778"/>
        </w:tabs>
        <w:suppressAutoHyphens/>
        <w:ind w:left="567" w:hanging="567"/>
        <w:contextualSpacing w:val="0"/>
        <w:jc w:val="both"/>
        <w:rPr>
          <w:b/>
          <w:bCs/>
        </w:rPr>
      </w:pPr>
      <w:r w:rsidRPr="00C67772">
        <w:rPr>
          <w:b/>
        </w:rPr>
        <w:t xml:space="preserve">Subgrupo de Trabajo N° </w:t>
      </w:r>
      <w:r>
        <w:rPr>
          <w:b/>
        </w:rPr>
        <w:t>9</w:t>
      </w:r>
      <w:r w:rsidRPr="00C67772">
        <w:rPr>
          <w:b/>
        </w:rPr>
        <w:t xml:space="preserve"> “</w:t>
      </w:r>
      <w:r>
        <w:rPr>
          <w:b/>
        </w:rPr>
        <w:t>Energía</w:t>
      </w:r>
      <w:r w:rsidRPr="00C67772">
        <w:rPr>
          <w:b/>
        </w:rPr>
        <w:t xml:space="preserve">” (SGT N° </w:t>
      </w:r>
      <w:r>
        <w:rPr>
          <w:b/>
        </w:rPr>
        <w:t>9</w:t>
      </w:r>
      <w:r w:rsidRPr="00C67772">
        <w:rPr>
          <w:b/>
        </w:rPr>
        <w:t>)</w:t>
      </w:r>
    </w:p>
    <w:p w14:paraId="3F44B015" w14:textId="77777777" w:rsidR="00217516" w:rsidRPr="0089349E" w:rsidRDefault="00217516" w:rsidP="00217516">
      <w:pPr>
        <w:pStyle w:val="xmsonormal"/>
        <w:shd w:val="clear" w:color="auto" w:fill="FFFFFF"/>
        <w:spacing w:before="0" w:beforeAutospacing="0" w:after="0" w:afterAutospacing="0"/>
        <w:jc w:val="both"/>
        <w:rPr>
          <w:rFonts w:ascii="Arial" w:hAnsi="Arial" w:cs="Arial"/>
          <w:lang w:val="es-ES_tradnl"/>
        </w:rPr>
      </w:pPr>
    </w:p>
    <w:p w14:paraId="4923E8E0" w14:textId="77777777" w:rsidR="00217516" w:rsidRPr="0089349E" w:rsidRDefault="00217516" w:rsidP="00217516">
      <w:pPr>
        <w:pStyle w:val="xmsonormal"/>
        <w:shd w:val="clear" w:color="auto" w:fill="FFFFFF"/>
        <w:spacing w:before="0" w:beforeAutospacing="0" w:after="0" w:afterAutospacing="0"/>
        <w:jc w:val="both"/>
        <w:rPr>
          <w:rFonts w:ascii="Arial" w:hAnsi="Arial" w:cs="Arial"/>
          <w:strike/>
          <w:bdr w:val="none" w:sz="0" w:space="0" w:color="auto" w:frame="1"/>
          <w:lang w:val="es-ES_tradnl"/>
        </w:rPr>
      </w:pPr>
      <w:r w:rsidRPr="0089349E">
        <w:rPr>
          <w:rFonts w:ascii="Arial" w:hAnsi="Arial" w:cs="Arial"/>
          <w:bCs/>
          <w:lang w:val="es-ES_tradnl"/>
        </w:rPr>
        <w:t xml:space="preserve">El GMC tomó nota de los resultados de la LXV reunión ordinaria del SGT N° 9 realizada el día 21 de noviembre de 2024, </w:t>
      </w:r>
      <w:r w:rsidRPr="0089349E">
        <w:rPr>
          <w:rFonts w:ascii="Arial" w:hAnsi="Arial" w:cs="Arial"/>
          <w:bdr w:val="none" w:sz="0" w:space="0" w:color="auto" w:frame="1"/>
          <w:lang w:val="es-ES_tradnl"/>
        </w:rPr>
        <w:t>por sistema de videoconferencia de conformidad con lo establecido en la Resolución GMC N°</w:t>
      </w:r>
      <w:r>
        <w:rPr>
          <w:rFonts w:ascii="Arial" w:hAnsi="Arial" w:cs="Arial"/>
          <w:bdr w:val="none" w:sz="0" w:space="0" w:color="auto" w:frame="1"/>
          <w:lang w:val="es-ES_tradnl"/>
        </w:rPr>
        <w:t xml:space="preserve"> </w:t>
      </w:r>
      <w:r w:rsidRPr="0089349E">
        <w:rPr>
          <w:rFonts w:ascii="Arial" w:hAnsi="Arial" w:cs="Arial"/>
          <w:bdr w:val="none" w:sz="0" w:space="0" w:color="auto" w:frame="1"/>
          <w:lang w:val="es-ES_tradnl"/>
        </w:rPr>
        <w:t>19/12.</w:t>
      </w:r>
    </w:p>
    <w:p w14:paraId="01A9ABA7" w14:textId="77777777" w:rsidR="00217516" w:rsidRPr="0089349E" w:rsidRDefault="00217516" w:rsidP="00217516">
      <w:pPr>
        <w:tabs>
          <w:tab w:val="left" w:pos="1778"/>
        </w:tabs>
        <w:suppressAutoHyphens/>
        <w:jc w:val="both"/>
        <w:rPr>
          <w:rFonts w:eastAsia="Trebuchet MS"/>
          <w:lang w:eastAsia="pt-BR"/>
        </w:rPr>
      </w:pPr>
    </w:p>
    <w:p w14:paraId="652AC3B6" w14:textId="77777777" w:rsidR="00217516" w:rsidRPr="0089349E" w:rsidRDefault="00217516" w:rsidP="00217516">
      <w:pPr>
        <w:tabs>
          <w:tab w:val="left" w:pos="1778"/>
        </w:tabs>
        <w:suppressAutoHyphens/>
        <w:jc w:val="both"/>
        <w:rPr>
          <w:strike/>
        </w:rPr>
      </w:pPr>
      <w:r w:rsidRPr="0089349E">
        <w:rPr>
          <w:rFonts w:eastAsia="Trebuchet MS"/>
          <w:lang w:eastAsia="pt-BR"/>
        </w:rPr>
        <w:t>Al respecto, tomó conocimiento de la presentación de su estructura interna, de conformidad con lo establecido en la Decisión CMC N° 19/19.</w:t>
      </w:r>
    </w:p>
    <w:p w14:paraId="34A3171A" w14:textId="77777777" w:rsidR="00217516" w:rsidRPr="00C67772" w:rsidRDefault="00217516" w:rsidP="00217516">
      <w:pPr>
        <w:widowControl w:val="0"/>
        <w:jc w:val="both"/>
        <w:rPr>
          <w:b/>
        </w:rPr>
      </w:pPr>
    </w:p>
    <w:p w14:paraId="6FBA1AA8" w14:textId="77777777" w:rsidR="00217516" w:rsidRPr="0089349E" w:rsidRDefault="00217516" w:rsidP="00217516">
      <w:pPr>
        <w:pStyle w:val="Prrafodelista"/>
        <w:numPr>
          <w:ilvl w:val="0"/>
          <w:numId w:val="5"/>
        </w:numPr>
        <w:tabs>
          <w:tab w:val="left" w:pos="1778"/>
        </w:tabs>
        <w:suppressAutoHyphens/>
        <w:ind w:left="567" w:hanging="567"/>
        <w:contextualSpacing w:val="0"/>
        <w:jc w:val="both"/>
      </w:pPr>
      <w:r w:rsidRPr="0089349E">
        <w:rPr>
          <w:b/>
          <w:bCs/>
        </w:rPr>
        <w:t xml:space="preserve">Subgrupo de Trabajo N° 13 “Comercio Electrónico” </w:t>
      </w:r>
      <w:r w:rsidRPr="0089349E">
        <w:rPr>
          <w:b/>
        </w:rPr>
        <w:t xml:space="preserve">(SGT N° 13) </w:t>
      </w:r>
    </w:p>
    <w:p w14:paraId="519D938B" w14:textId="77777777" w:rsidR="00217516" w:rsidRPr="00C67772" w:rsidRDefault="00217516" w:rsidP="00217516">
      <w:pPr>
        <w:tabs>
          <w:tab w:val="left" w:pos="1778"/>
        </w:tabs>
        <w:suppressAutoHyphens/>
        <w:jc w:val="both"/>
      </w:pPr>
    </w:p>
    <w:p w14:paraId="253226B8" w14:textId="77777777" w:rsidR="00217516" w:rsidRPr="0089349E" w:rsidRDefault="00217516" w:rsidP="00217516">
      <w:pPr>
        <w:widowControl w:val="0"/>
        <w:jc w:val="both"/>
        <w:rPr>
          <w:rFonts w:eastAsia="Times New Roman"/>
          <w:bCs/>
          <w:lang w:val="es-ES_tradnl"/>
        </w:rPr>
      </w:pPr>
      <w:r w:rsidRPr="0089349E">
        <w:rPr>
          <w:rFonts w:eastAsia="Times New Roman"/>
          <w:bCs/>
          <w:lang w:val="es-ES_tradnl"/>
        </w:rPr>
        <w:t>El GMC tomó nota de los resultados de la XXXIV reunión ordinaria del SGT N° 13 realizada el día 26 de marzo de 2025, por sistema de videoconferencia de conformidad con lo establecido en la Resolución GMC N°19/12.</w:t>
      </w:r>
    </w:p>
    <w:p w14:paraId="100437EA" w14:textId="77777777" w:rsidR="00217516" w:rsidRPr="00C67772" w:rsidRDefault="00217516" w:rsidP="00217516">
      <w:pPr>
        <w:autoSpaceDE w:val="0"/>
        <w:autoSpaceDN w:val="0"/>
        <w:adjustRightInd w:val="0"/>
        <w:contextualSpacing/>
        <w:jc w:val="both"/>
        <w:rPr>
          <w:rFonts w:eastAsia="Times New Roman"/>
          <w:lang w:eastAsia="x-none"/>
        </w:rPr>
      </w:pPr>
    </w:p>
    <w:p w14:paraId="0CE1C209" w14:textId="77777777" w:rsidR="00217516" w:rsidRPr="00C67772" w:rsidRDefault="00217516" w:rsidP="00217516">
      <w:pPr>
        <w:pStyle w:val="Prrafodelista"/>
        <w:numPr>
          <w:ilvl w:val="0"/>
          <w:numId w:val="5"/>
        </w:numPr>
        <w:tabs>
          <w:tab w:val="left" w:pos="1778"/>
        </w:tabs>
        <w:suppressAutoHyphens/>
        <w:ind w:left="567" w:hanging="567"/>
        <w:contextualSpacing w:val="0"/>
        <w:jc w:val="both"/>
        <w:rPr>
          <w:b/>
          <w:bCs/>
        </w:rPr>
      </w:pPr>
      <w:r w:rsidRPr="00C67772">
        <w:rPr>
          <w:b/>
          <w:bCs/>
        </w:rPr>
        <w:t xml:space="preserve">Reunión Especializada de </w:t>
      </w:r>
      <w:r>
        <w:rPr>
          <w:b/>
          <w:bCs/>
        </w:rPr>
        <w:t>Autoridades Cinematográficas y Audiovisuales</w:t>
      </w:r>
      <w:r w:rsidRPr="00C67772">
        <w:rPr>
          <w:b/>
          <w:bCs/>
        </w:rPr>
        <w:t xml:space="preserve"> (RE</w:t>
      </w:r>
      <w:r>
        <w:rPr>
          <w:b/>
          <w:bCs/>
        </w:rPr>
        <w:t>CAM</w:t>
      </w:r>
      <w:r w:rsidRPr="00C67772">
        <w:rPr>
          <w:b/>
          <w:bCs/>
        </w:rPr>
        <w:t>)</w:t>
      </w:r>
    </w:p>
    <w:p w14:paraId="4BDD8552" w14:textId="77777777" w:rsidR="00217516" w:rsidRPr="00C67772" w:rsidRDefault="00217516" w:rsidP="00217516">
      <w:pPr>
        <w:widowControl w:val="0"/>
        <w:jc w:val="both"/>
        <w:rPr>
          <w:b/>
          <w:bCs/>
          <w:color w:val="FF0000"/>
        </w:rPr>
      </w:pPr>
    </w:p>
    <w:p w14:paraId="0C508185" w14:textId="77777777" w:rsidR="00217516" w:rsidRPr="0013194C" w:rsidRDefault="00217516" w:rsidP="00217516">
      <w:pPr>
        <w:widowControl w:val="0"/>
        <w:jc w:val="both"/>
      </w:pPr>
      <w:r w:rsidRPr="0013194C">
        <w:rPr>
          <w:bCs/>
        </w:rPr>
        <w:t xml:space="preserve">El GMC tomó nota de los resultados de la XLIII reunión ordinaria de la RECAM </w:t>
      </w:r>
      <w:r w:rsidRPr="0013194C">
        <w:t>realizada el día 12 de noviembre de 2024, por sistema de videoconferencia de conformidad con lo establecido en la Resolución GMC N°19/12.</w:t>
      </w:r>
    </w:p>
    <w:p w14:paraId="07857FEB" w14:textId="77777777" w:rsidR="00217516" w:rsidRPr="0013194C" w:rsidRDefault="00217516" w:rsidP="00217516">
      <w:pPr>
        <w:widowControl w:val="0"/>
        <w:jc w:val="both"/>
      </w:pPr>
    </w:p>
    <w:p w14:paraId="2789217B" w14:textId="77777777" w:rsidR="00217516" w:rsidRPr="0013194C" w:rsidRDefault="00217516" w:rsidP="00217516">
      <w:pPr>
        <w:pStyle w:val="Prrafodelista"/>
        <w:numPr>
          <w:ilvl w:val="0"/>
          <w:numId w:val="5"/>
        </w:numPr>
        <w:tabs>
          <w:tab w:val="left" w:pos="1778"/>
        </w:tabs>
        <w:suppressAutoHyphens/>
        <w:ind w:left="567" w:hanging="567"/>
        <w:contextualSpacing w:val="0"/>
        <w:jc w:val="both"/>
        <w:rPr>
          <w:b/>
          <w:bCs/>
        </w:rPr>
      </w:pPr>
      <w:r w:rsidRPr="0013194C">
        <w:rPr>
          <w:b/>
          <w:bCs/>
        </w:rPr>
        <w:t xml:space="preserve">Reunión Especializada de Cooperativas (RECM) </w:t>
      </w:r>
    </w:p>
    <w:p w14:paraId="52D62D9F" w14:textId="77777777" w:rsidR="00217516" w:rsidRPr="0013194C" w:rsidRDefault="00217516" w:rsidP="00217516">
      <w:pPr>
        <w:widowControl w:val="0"/>
        <w:jc w:val="both"/>
      </w:pPr>
    </w:p>
    <w:p w14:paraId="7DA1009A" w14:textId="77777777" w:rsidR="00217516" w:rsidRPr="0013194C" w:rsidRDefault="00217516" w:rsidP="00217516">
      <w:pPr>
        <w:widowControl w:val="0"/>
        <w:jc w:val="both"/>
        <w:rPr>
          <w:bCs/>
        </w:rPr>
      </w:pPr>
      <w:r w:rsidRPr="0013194C">
        <w:t>El GMC tomó nota de los resultados de la LXIX reunión ordinaria de la RECM realizada en Montevideo el día 2 de diciembre de 2024.</w:t>
      </w:r>
    </w:p>
    <w:p w14:paraId="24A11DF7" w14:textId="77777777" w:rsidR="00217516" w:rsidRPr="0013194C" w:rsidRDefault="00217516" w:rsidP="00217516">
      <w:pPr>
        <w:widowControl w:val="0"/>
        <w:jc w:val="both"/>
        <w:rPr>
          <w:bCs/>
        </w:rPr>
      </w:pPr>
    </w:p>
    <w:p w14:paraId="540756AF" w14:textId="77777777" w:rsidR="00217516" w:rsidRDefault="00217516" w:rsidP="00217516">
      <w:pPr>
        <w:tabs>
          <w:tab w:val="left" w:pos="1778"/>
        </w:tabs>
        <w:suppressAutoHyphens/>
        <w:jc w:val="both"/>
        <w:rPr>
          <w:rFonts w:eastAsia="Trebuchet MS"/>
          <w:lang w:eastAsia="pt-BR"/>
        </w:rPr>
      </w:pPr>
      <w:r w:rsidRPr="0013194C">
        <w:rPr>
          <w:rFonts w:eastAsia="Trebuchet MS"/>
          <w:lang w:eastAsia="pt-BR"/>
        </w:rPr>
        <w:t>Al respecto, tomó conocimiento de la presentación de su estructura interna, presentada de conformidad con lo establecido en la Decisión CMC N° 19/19.</w:t>
      </w:r>
    </w:p>
    <w:p w14:paraId="638C013F" w14:textId="0D18BDFC" w:rsidR="00CE44D3" w:rsidRDefault="00CE44D3">
      <w:pPr>
        <w:rPr>
          <w:rFonts w:eastAsia="Trebuchet MS"/>
          <w:lang w:eastAsia="pt-BR"/>
        </w:rPr>
      </w:pPr>
      <w:r>
        <w:rPr>
          <w:rFonts w:eastAsia="Trebuchet MS"/>
          <w:lang w:eastAsia="pt-BR"/>
        </w:rPr>
        <w:br w:type="page"/>
      </w:r>
    </w:p>
    <w:p w14:paraId="54FC2EAF" w14:textId="77777777" w:rsidR="00217516" w:rsidRPr="00861C1F" w:rsidRDefault="00217516" w:rsidP="00217516">
      <w:pPr>
        <w:pStyle w:val="Prrafodelista"/>
        <w:widowControl w:val="0"/>
        <w:numPr>
          <w:ilvl w:val="0"/>
          <w:numId w:val="5"/>
        </w:numPr>
        <w:jc w:val="both"/>
        <w:rPr>
          <w:b/>
          <w:bCs/>
        </w:rPr>
      </w:pPr>
      <w:r w:rsidRPr="00861C1F">
        <w:rPr>
          <w:b/>
          <w:bCs/>
        </w:rPr>
        <w:lastRenderedPageBreak/>
        <w:t xml:space="preserve">Reunión Especializada de Organismos Gubernamentales de Control Interno (REOGCI) </w:t>
      </w:r>
    </w:p>
    <w:p w14:paraId="6997E177" w14:textId="77777777" w:rsidR="00217516" w:rsidRPr="00B70C15" w:rsidRDefault="00217516" w:rsidP="00217516">
      <w:pPr>
        <w:widowControl w:val="0"/>
        <w:jc w:val="both"/>
        <w:rPr>
          <w:b/>
          <w:bCs/>
          <w:highlight w:val="yellow"/>
        </w:rPr>
      </w:pPr>
    </w:p>
    <w:p w14:paraId="02B16FAC" w14:textId="77777777" w:rsidR="00217516" w:rsidRPr="00FD0118" w:rsidRDefault="00217516" w:rsidP="00217516">
      <w:pPr>
        <w:widowControl w:val="0"/>
        <w:jc w:val="both"/>
      </w:pPr>
      <w:r w:rsidRPr="00FD0118">
        <w:t>El GMC tomó nota de los resultados de las XXII y XXIII reuniones ordinarias de la REOGCI realizadas los días 6 y 7 de junio y 7 y 8 de noviembre de 2024, respectivamente, por sistema de videoconferencia de conformidad con lo establecido en la Resolución GMC N° 19/12.</w:t>
      </w:r>
    </w:p>
    <w:p w14:paraId="6C15BA00" w14:textId="77777777" w:rsidR="00217516" w:rsidRDefault="00217516" w:rsidP="00217516">
      <w:pPr>
        <w:widowControl w:val="0"/>
        <w:jc w:val="both"/>
        <w:rPr>
          <w:b/>
          <w:bCs/>
        </w:rPr>
      </w:pPr>
    </w:p>
    <w:p w14:paraId="188D8BC3" w14:textId="77777777" w:rsidR="00217516" w:rsidRPr="00C67772" w:rsidRDefault="00217516" w:rsidP="00217516">
      <w:pPr>
        <w:pStyle w:val="Prrafodelista"/>
        <w:numPr>
          <w:ilvl w:val="0"/>
          <w:numId w:val="5"/>
        </w:numPr>
        <w:tabs>
          <w:tab w:val="left" w:pos="1778"/>
        </w:tabs>
        <w:suppressAutoHyphens/>
        <w:ind w:left="567" w:hanging="567"/>
        <w:contextualSpacing w:val="0"/>
        <w:jc w:val="both"/>
      </w:pPr>
      <w:r w:rsidRPr="00C67772">
        <w:rPr>
          <w:b/>
          <w:bCs/>
        </w:rPr>
        <w:t>Evaluación y aprobación de los Programas de Trabajo e Informes de Cumplimiento (Decisión CMC N° 36/10)</w:t>
      </w:r>
    </w:p>
    <w:p w14:paraId="093788B1" w14:textId="77777777" w:rsidR="00217516" w:rsidRPr="00D83411" w:rsidRDefault="00217516" w:rsidP="00217516">
      <w:pPr>
        <w:widowControl w:val="0"/>
        <w:jc w:val="both"/>
      </w:pPr>
      <w:bookmarkStart w:id="4" w:name="_Hlk119575584"/>
    </w:p>
    <w:p w14:paraId="3283A167" w14:textId="34365F1B" w:rsidR="00217516" w:rsidRDefault="00217516" w:rsidP="00217516">
      <w:pPr>
        <w:widowControl w:val="0"/>
        <w:jc w:val="both"/>
      </w:pPr>
      <w:bookmarkStart w:id="5" w:name="_Hlk195094172"/>
      <w:r w:rsidRPr="00D83411">
        <w:t>El GMC tomó nota de los Informes Semestrales del Grado de Avance del Programa de Trabajo 2023 -2024 correspondientes al primer semestre del año 2024 del SGT N° 8 (CBA, CSA, CSV y CS), REOGCI y FCES</w:t>
      </w:r>
      <w:r w:rsidR="00BE1446">
        <w:t xml:space="preserve"> </w:t>
      </w:r>
      <w:r w:rsidR="00BE1446" w:rsidRPr="00BE1446">
        <w:rPr>
          <w:b/>
          <w:bCs/>
        </w:rPr>
        <w:t>(Anexo VII)</w:t>
      </w:r>
      <w:r w:rsidRPr="00D83411">
        <w:t>.</w:t>
      </w:r>
    </w:p>
    <w:p w14:paraId="7ED3C19C" w14:textId="77777777" w:rsidR="00217516" w:rsidRPr="00D83411" w:rsidRDefault="00217516" w:rsidP="00217516">
      <w:pPr>
        <w:widowControl w:val="0"/>
        <w:jc w:val="both"/>
      </w:pPr>
    </w:p>
    <w:p w14:paraId="1CB76BAB" w14:textId="24EB6D4C" w:rsidR="00217516" w:rsidRPr="000177C2" w:rsidRDefault="00217516" w:rsidP="00217516">
      <w:pPr>
        <w:widowControl w:val="0"/>
        <w:jc w:val="both"/>
      </w:pPr>
      <w:r w:rsidRPr="000177C2">
        <w:t xml:space="preserve">El GMC tomó nota de los Informes de Cumplimiento del Programa de Trabajo 2023 - 2024 del SGT N° 1 (CTAP, </w:t>
      </w:r>
      <w:proofErr w:type="spellStart"/>
      <w:r w:rsidRPr="000177C2">
        <w:t>CTRc</w:t>
      </w:r>
      <w:proofErr w:type="spellEnd"/>
      <w:r w:rsidRPr="000177C2">
        <w:t xml:space="preserve">, </w:t>
      </w:r>
      <w:proofErr w:type="spellStart"/>
      <w:r w:rsidRPr="000177C2">
        <w:t>CTRd</w:t>
      </w:r>
      <w:proofErr w:type="spellEnd"/>
      <w:r w:rsidRPr="000177C2">
        <w:t>, CTSPT), SGT N° 3 (CIA, CJ, CBUI, CG, CA, CM, CEC), SGT N° 4 (CSB, CS, CPLDFT, CSPT, CPECSB), SGT N° 5, SGT N° 8 (CBAG, CBA, CSV, CSA y CV</w:t>
      </w:r>
      <w:r>
        <w:t>)</w:t>
      </w:r>
      <w:r w:rsidRPr="000177C2">
        <w:t>, SGT N° 9, RECAM, RECM, REDPO y REMPM (SCLH, SCG, SPPL-MAP, CCOT, SCTPTIM-FMR, SCTN</w:t>
      </w:r>
      <w:r>
        <w:t>, SCCAF</w:t>
      </w:r>
      <w:r w:rsidRPr="000177C2">
        <w:t xml:space="preserve"> y SDI) </w:t>
      </w:r>
      <w:r w:rsidRPr="000177C2">
        <w:rPr>
          <w:b/>
          <w:bCs/>
        </w:rPr>
        <w:t xml:space="preserve">(Anexo </w:t>
      </w:r>
      <w:r w:rsidR="00BE1446">
        <w:rPr>
          <w:b/>
          <w:bCs/>
        </w:rPr>
        <w:t>VIII</w:t>
      </w:r>
      <w:r w:rsidRPr="000177C2">
        <w:rPr>
          <w:b/>
          <w:bCs/>
        </w:rPr>
        <w:t>)</w:t>
      </w:r>
      <w:r w:rsidRPr="000177C2">
        <w:t>.</w:t>
      </w:r>
    </w:p>
    <w:p w14:paraId="43AA4B79" w14:textId="77777777" w:rsidR="00217516" w:rsidRPr="000177C2" w:rsidRDefault="00217516" w:rsidP="00217516">
      <w:pPr>
        <w:widowControl w:val="0"/>
        <w:jc w:val="both"/>
      </w:pPr>
    </w:p>
    <w:p w14:paraId="771E3E51" w14:textId="4DD5637D" w:rsidR="00217516" w:rsidRPr="00BC3BE9" w:rsidRDefault="00217516" w:rsidP="00217516">
      <w:pPr>
        <w:widowControl w:val="0"/>
        <w:jc w:val="both"/>
        <w:rPr>
          <w:color w:val="FF0000"/>
          <w:lang w:val="es-UY"/>
        </w:rPr>
      </w:pPr>
      <w:r w:rsidRPr="00CC5FA8">
        <w:rPr>
          <w:bCs/>
        </w:rPr>
        <w:t xml:space="preserve">Por otra parte, el GMC aprobó el </w:t>
      </w:r>
      <w:r w:rsidRPr="00CC5FA8">
        <w:rPr>
          <w:rFonts w:eastAsia="Times New Roman"/>
          <w:bdr w:val="none" w:sz="0" w:space="0" w:color="auto" w:frame="1"/>
          <w:lang w:eastAsia="es-ES"/>
        </w:rPr>
        <w:t xml:space="preserve">Programa de Trabajo 2025 - 2026 del </w:t>
      </w:r>
      <w:r w:rsidRPr="00CC5FA8">
        <w:rPr>
          <w:bCs/>
        </w:rPr>
        <w:t>SGT N° 1</w:t>
      </w:r>
      <w:r w:rsidRPr="00CC5FA8">
        <w:rPr>
          <w:rFonts w:eastAsia="Trebuchet MS"/>
          <w:bCs/>
          <w:lang w:eastAsia="pt-BR"/>
        </w:rPr>
        <w:t xml:space="preserve"> (CTAP, </w:t>
      </w:r>
      <w:proofErr w:type="spellStart"/>
      <w:r w:rsidRPr="00CC5FA8">
        <w:rPr>
          <w:rFonts w:eastAsia="Trebuchet MS"/>
          <w:bCs/>
          <w:lang w:eastAsia="pt-BR"/>
        </w:rPr>
        <w:t>CTRc</w:t>
      </w:r>
      <w:proofErr w:type="spellEnd"/>
      <w:r w:rsidRPr="00CC5FA8">
        <w:rPr>
          <w:rFonts w:eastAsia="Trebuchet MS"/>
          <w:bCs/>
          <w:lang w:eastAsia="pt-BR"/>
        </w:rPr>
        <w:t xml:space="preserve">, </w:t>
      </w:r>
      <w:proofErr w:type="spellStart"/>
      <w:r w:rsidRPr="00CC5FA8">
        <w:rPr>
          <w:rFonts w:eastAsia="Trebuchet MS"/>
          <w:bCs/>
          <w:lang w:eastAsia="pt-BR"/>
        </w:rPr>
        <w:t>CTRd</w:t>
      </w:r>
      <w:proofErr w:type="spellEnd"/>
      <w:r w:rsidRPr="00CC5FA8">
        <w:rPr>
          <w:rFonts w:eastAsia="Trebuchet MS"/>
          <w:bCs/>
          <w:lang w:eastAsia="pt-BR"/>
        </w:rPr>
        <w:t xml:space="preserve">, CTSPT), </w:t>
      </w:r>
      <w:r w:rsidRPr="00CC5FA8">
        <w:rPr>
          <w:bCs/>
        </w:rPr>
        <w:t>SGT N° 3 (</w:t>
      </w:r>
      <w:r w:rsidRPr="00CC5FA8">
        <w:rPr>
          <w:rFonts w:eastAsia="Trebuchet MS"/>
          <w:bCs/>
          <w:lang w:eastAsia="pt-BR"/>
        </w:rPr>
        <w:t xml:space="preserve">CIA, CJ, CBUI, CG, CA, CM, CEEE, CEC), </w:t>
      </w:r>
      <w:r w:rsidRPr="00CC5FA8">
        <w:rPr>
          <w:lang w:val="es-UY"/>
        </w:rPr>
        <w:t xml:space="preserve">SGT N° 4 (CMV, CSB, CS, CPLDFT, CSPT, CPECSB), </w:t>
      </w:r>
      <w:r w:rsidRPr="00CC5FA8">
        <w:rPr>
          <w:rFonts w:eastAsia="Calibri"/>
          <w:kern w:val="28"/>
          <w:lang w:eastAsia="en-US"/>
        </w:rPr>
        <w:t xml:space="preserve">SGT N° 5 </w:t>
      </w:r>
      <w:r w:rsidRPr="0041582C">
        <w:rPr>
          <w:rFonts w:eastAsia="Calibri"/>
          <w:kern w:val="28"/>
          <w:lang w:eastAsia="en-US"/>
        </w:rPr>
        <w:t>(</w:t>
      </w:r>
      <w:r w:rsidRPr="0041582C">
        <w:rPr>
          <w:lang w:val="es-UY"/>
        </w:rPr>
        <w:t>CETM, CIIT</w:t>
      </w:r>
      <w:r w:rsidRPr="00CC5FA8">
        <w:rPr>
          <w:rFonts w:eastAsia="Calibri"/>
          <w:kern w:val="28"/>
          <w:lang w:eastAsia="en-US"/>
        </w:rPr>
        <w:t xml:space="preserve">), </w:t>
      </w:r>
      <w:r w:rsidRPr="00CC5FA8">
        <w:rPr>
          <w:bCs/>
          <w:lang w:val="es-PY" w:eastAsia="pt-BR"/>
        </w:rPr>
        <w:t>SGT N° 8 (CBAG, CBA, CSV</w:t>
      </w:r>
      <w:r w:rsidRPr="004D4D24">
        <w:rPr>
          <w:bCs/>
          <w:lang w:val="es-PY" w:eastAsia="pt-BR"/>
        </w:rPr>
        <w:t xml:space="preserve">, </w:t>
      </w:r>
      <w:r w:rsidRPr="004D4D24">
        <w:rPr>
          <w:lang w:val="es-UY"/>
        </w:rPr>
        <w:t>CSA y CV</w:t>
      </w:r>
      <w:r>
        <w:rPr>
          <w:lang w:val="es-UY"/>
        </w:rPr>
        <w:t>)</w:t>
      </w:r>
      <w:r w:rsidRPr="004D4D24">
        <w:rPr>
          <w:bCs/>
          <w:lang w:val="es-PY" w:eastAsia="pt-BR"/>
        </w:rPr>
        <w:t xml:space="preserve">, </w:t>
      </w:r>
      <w:r w:rsidRPr="00CC5FA8">
        <w:rPr>
          <w:bCs/>
          <w:lang w:val="es-PY" w:eastAsia="pt-BR"/>
        </w:rPr>
        <w:t xml:space="preserve">SGT N° 9, </w:t>
      </w:r>
      <w:r w:rsidRPr="00CC5FA8">
        <w:rPr>
          <w:rFonts w:eastAsia="Times New Roman"/>
          <w:bdr w:val="none" w:sz="0" w:space="0" w:color="auto" w:frame="1"/>
          <w:lang w:eastAsia="es-ES"/>
        </w:rPr>
        <w:t>SGT N° 10 (</w:t>
      </w:r>
      <w:r w:rsidRPr="00CC5FA8">
        <w:rPr>
          <w:lang w:val="es-UY"/>
        </w:rPr>
        <w:t>UEPETI, COMTM, CETFP, COPRIT, CETSS, CETSP, CG, CSPS y RETP</w:t>
      </w:r>
      <w:r w:rsidRPr="00CC5FA8">
        <w:rPr>
          <w:rFonts w:eastAsia="Times New Roman"/>
          <w:bdr w:val="none" w:sz="0" w:space="0" w:color="auto" w:frame="1"/>
          <w:lang w:eastAsia="es-ES"/>
        </w:rPr>
        <w:t>)</w:t>
      </w:r>
      <w:r>
        <w:rPr>
          <w:rFonts w:eastAsia="Times New Roman"/>
          <w:bdr w:val="none" w:sz="0" w:space="0" w:color="auto" w:frame="1"/>
          <w:lang w:eastAsia="es-ES"/>
        </w:rPr>
        <w:t>;</w:t>
      </w:r>
      <w:r w:rsidRPr="00CC5FA8">
        <w:rPr>
          <w:rFonts w:eastAsia="Times New Roman"/>
          <w:bdr w:val="none" w:sz="0" w:space="0" w:color="auto" w:frame="1"/>
          <w:lang w:eastAsia="es-ES"/>
        </w:rPr>
        <w:t xml:space="preserve"> </w:t>
      </w:r>
      <w:r w:rsidRPr="00CC5FA8">
        <w:t xml:space="preserve">COPROSAL, SCOCOSME, SCODOMIS, SCOPSICO, SCOFARMA, </w:t>
      </w:r>
      <w:r>
        <w:t xml:space="preserve">SCOARFAR, SCOPROME, </w:t>
      </w:r>
      <w:r w:rsidRPr="00CC5FA8">
        <w:t>COSERATS,</w:t>
      </w:r>
      <w:r>
        <w:t xml:space="preserve"> SCOEJER,</w:t>
      </w:r>
      <w:r w:rsidRPr="00CC5FA8">
        <w:t xml:space="preserve"> COVIGSAL y SCOCONTS</w:t>
      </w:r>
      <w:r>
        <w:t xml:space="preserve"> del SGT N° 11;</w:t>
      </w:r>
      <w:r w:rsidRPr="00CC5FA8">
        <w:t xml:space="preserve"> </w:t>
      </w:r>
      <w:r w:rsidRPr="00CC5FA8">
        <w:rPr>
          <w:bCs/>
          <w:lang w:val="es-PY" w:eastAsia="pt-BR"/>
        </w:rPr>
        <w:t xml:space="preserve"> </w:t>
      </w:r>
      <w:r>
        <w:rPr>
          <w:bCs/>
          <w:lang w:val="es-PY" w:eastAsia="pt-BR"/>
        </w:rPr>
        <w:t xml:space="preserve">SGT N° 18, </w:t>
      </w:r>
      <w:r w:rsidRPr="00CC5FA8">
        <w:rPr>
          <w:bCs/>
          <w:lang w:val="es-PY" w:eastAsia="pt-BR"/>
        </w:rPr>
        <w:t xml:space="preserve">RECAM, RED, </w:t>
      </w:r>
      <w:r w:rsidRPr="00CC5FA8">
        <w:rPr>
          <w:lang w:val="es-UY"/>
        </w:rPr>
        <w:t xml:space="preserve"> CTIC´S</w:t>
      </w:r>
      <w:r>
        <w:rPr>
          <w:lang w:val="es-UY"/>
        </w:rPr>
        <w:t>, CIDAF y</w:t>
      </w:r>
      <w:r w:rsidRPr="00CC5FA8">
        <w:rPr>
          <w:lang w:val="es-UY"/>
        </w:rPr>
        <w:t xml:space="preserve"> CRAF</w:t>
      </w:r>
      <w:r>
        <w:rPr>
          <w:lang w:val="es-UY"/>
        </w:rPr>
        <w:t xml:space="preserve"> de la REAF</w:t>
      </w:r>
      <w:r w:rsidRPr="00CC5FA8">
        <w:rPr>
          <w:bCs/>
        </w:rPr>
        <w:t>, RECM</w:t>
      </w:r>
      <w:r>
        <w:rPr>
          <w:bCs/>
        </w:rPr>
        <w:t xml:space="preserve"> y</w:t>
      </w:r>
      <w:r w:rsidRPr="00CC5FA8">
        <w:rPr>
          <w:bCs/>
        </w:rPr>
        <w:t xml:space="preserve"> </w:t>
      </w:r>
      <w:r>
        <w:t xml:space="preserve">RECYT </w:t>
      </w:r>
      <w:r w:rsidRPr="001D5E24">
        <w:t>(CPA, CPP)</w:t>
      </w:r>
      <w:r>
        <w:t xml:space="preserve"> </w:t>
      </w:r>
      <w:r w:rsidRPr="00CC5FA8">
        <w:rPr>
          <w:rFonts w:eastAsia="Times New Roman"/>
          <w:b/>
          <w:bCs/>
          <w:bdr w:val="none" w:sz="0" w:space="0" w:color="auto" w:frame="1"/>
          <w:lang w:eastAsia="es-ES"/>
        </w:rPr>
        <w:t xml:space="preserve">(Anexo </w:t>
      </w:r>
      <w:r w:rsidR="00BE1446">
        <w:rPr>
          <w:rFonts w:eastAsia="Times New Roman"/>
          <w:b/>
          <w:bCs/>
          <w:bdr w:val="none" w:sz="0" w:space="0" w:color="auto" w:frame="1"/>
          <w:lang w:eastAsia="es-ES"/>
        </w:rPr>
        <w:t>IX</w:t>
      </w:r>
      <w:r w:rsidRPr="00CC5FA8">
        <w:rPr>
          <w:rFonts w:eastAsia="Times New Roman"/>
          <w:b/>
          <w:bCs/>
          <w:bdr w:val="none" w:sz="0" w:space="0" w:color="auto" w:frame="1"/>
          <w:lang w:eastAsia="es-ES"/>
        </w:rPr>
        <w:t>)</w:t>
      </w:r>
      <w:r w:rsidRPr="00CC5FA8">
        <w:rPr>
          <w:rFonts w:eastAsia="Times New Roman"/>
          <w:bdr w:val="none" w:sz="0" w:space="0" w:color="auto" w:frame="1"/>
          <w:lang w:eastAsia="es-ES"/>
        </w:rPr>
        <w:t>.</w:t>
      </w:r>
    </w:p>
    <w:p w14:paraId="5E498FB4" w14:textId="77777777" w:rsidR="00217516" w:rsidRDefault="00217516" w:rsidP="00217516">
      <w:pPr>
        <w:widowControl w:val="0"/>
        <w:jc w:val="both"/>
        <w:rPr>
          <w:rFonts w:eastAsia="Times New Roman"/>
          <w:bdr w:val="none" w:sz="0" w:space="0" w:color="auto" w:frame="1"/>
          <w:lang w:val="es-UY" w:eastAsia="es-ES"/>
        </w:rPr>
      </w:pPr>
    </w:p>
    <w:p w14:paraId="471AC3FB" w14:textId="77777777" w:rsidR="00217516" w:rsidRPr="000A715C" w:rsidRDefault="00217516" w:rsidP="00217516">
      <w:pPr>
        <w:widowControl w:val="0"/>
        <w:jc w:val="both"/>
        <w:rPr>
          <w:bCs/>
        </w:rPr>
      </w:pPr>
      <w:r w:rsidRPr="000A715C">
        <w:rPr>
          <w:bCs/>
        </w:rPr>
        <w:t>Asimismo, el GMC reiteró la instrucción a</w:t>
      </w:r>
      <w:r>
        <w:rPr>
          <w:bCs/>
        </w:rPr>
        <w:t xml:space="preserve"> aquellos </w:t>
      </w:r>
      <w:r w:rsidRPr="000A715C">
        <w:rPr>
          <w:bCs/>
        </w:rPr>
        <w:t xml:space="preserve">órganos y foros </w:t>
      </w:r>
      <w:r>
        <w:rPr>
          <w:bCs/>
        </w:rPr>
        <w:t xml:space="preserve">que aún no hayan presentado </w:t>
      </w:r>
      <w:r w:rsidRPr="000A715C">
        <w:rPr>
          <w:bCs/>
        </w:rPr>
        <w:t xml:space="preserve">sus Programas de Trabajo 2025-2026 e Informes de Cumplimiento de sus Programas de Trabajo 2023-2024 </w:t>
      </w:r>
      <w:r>
        <w:rPr>
          <w:bCs/>
        </w:rPr>
        <w:t xml:space="preserve">para que los elaboren </w:t>
      </w:r>
      <w:r w:rsidRPr="000A715C">
        <w:rPr>
          <w:bCs/>
        </w:rPr>
        <w:t>en la plataforma del Sistema de Información MERCOSUR (SIM)</w:t>
      </w:r>
      <w:r>
        <w:rPr>
          <w:bCs/>
        </w:rPr>
        <w:t xml:space="preserve"> en el presente semestre</w:t>
      </w:r>
      <w:r w:rsidRPr="000A715C">
        <w:rPr>
          <w:bCs/>
        </w:rPr>
        <w:t>.</w:t>
      </w:r>
    </w:p>
    <w:p w14:paraId="68DD5AFC" w14:textId="77777777" w:rsidR="00217516" w:rsidRDefault="00217516" w:rsidP="00217516">
      <w:pPr>
        <w:widowControl w:val="0"/>
        <w:jc w:val="both"/>
        <w:rPr>
          <w:bCs/>
          <w:color w:val="FF0000"/>
        </w:rPr>
      </w:pPr>
    </w:p>
    <w:bookmarkEnd w:id="4"/>
    <w:bookmarkEnd w:id="5"/>
    <w:p w14:paraId="0EF8577B" w14:textId="77777777" w:rsidR="00217516" w:rsidRPr="00F27B99" w:rsidRDefault="00217516" w:rsidP="00217516">
      <w:pPr>
        <w:widowControl w:val="0"/>
        <w:jc w:val="both"/>
        <w:rPr>
          <w:bCs/>
        </w:rPr>
      </w:pPr>
    </w:p>
    <w:p w14:paraId="6840CCAB" w14:textId="22EC2515" w:rsidR="00217516" w:rsidRPr="00BE1446" w:rsidRDefault="00217516" w:rsidP="00BE1446">
      <w:pPr>
        <w:pStyle w:val="Prrafodelista"/>
        <w:widowControl w:val="0"/>
        <w:numPr>
          <w:ilvl w:val="0"/>
          <w:numId w:val="38"/>
        </w:numPr>
        <w:pBdr>
          <w:top w:val="none" w:sz="0" w:space="0" w:color="000000"/>
          <w:left w:val="none" w:sz="0" w:space="0" w:color="000000"/>
          <w:bottom w:val="none" w:sz="0" w:space="0" w:color="000000"/>
          <w:right w:val="none" w:sz="0" w:space="0" w:color="000000"/>
          <w:between w:val="none" w:sz="0" w:space="0" w:color="000000"/>
        </w:pBdr>
        <w:ind w:left="567" w:hanging="567"/>
        <w:jc w:val="both"/>
        <w:rPr>
          <w:b/>
          <w:color w:val="000000"/>
        </w:rPr>
      </w:pPr>
      <w:r w:rsidRPr="00BE1446">
        <w:rPr>
          <w:b/>
          <w:color w:val="000000"/>
        </w:rPr>
        <w:t>APROBACIÓN DE NORMAS</w:t>
      </w:r>
    </w:p>
    <w:p w14:paraId="18F8A4CC" w14:textId="77777777" w:rsidR="00217516" w:rsidRPr="00C67772" w:rsidRDefault="00217516" w:rsidP="00217516">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15D6F66F" w14:textId="77777777" w:rsidR="00217516" w:rsidRPr="00C67772" w:rsidRDefault="00217516" w:rsidP="00217516">
      <w:pPr>
        <w:widowControl w:val="0"/>
        <w:pBdr>
          <w:top w:val="none" w:sz="0" w:space="0" w:color="000000"/>
          <w:left w:val="none" w:sz="0" w:space="0" w:color="000000"/>
          <w:bottom w:val="none" w:sz="0" w:space="0" w:color="000000"/>
          <w:right w:val="none" w:sz="0" w:space="0" w:color="000000"/>
          <w:between w:val="none" w:sz="0" w:space="0" w:color="000000"/>
        </w:pBdr>
        <w:jc w:val="both"/>
      </w:pPr>
      <w:r w:rsidRPr="00491153">
        <w:t>El GMC aprobó las Resoluciones N°</w:t>
      </w:r>
      <w:r>
        <w:t xml:space="preserve"> 01</w:t>
      </w:r>
      <w:r w:rsidRPr="00491153">
        <w:t>/2</w:t>
      </w:r>
      <w:r>
        <w:t>5</w:t>
      </w:r>
      <w:r w:rsidRPr="00491153">
        <w:t xml:space="preserve"> a N° </w:t>
      </w:r>
      <w:r>
        <w:t>04</w:t>
      </w:r>
      <w:r w:rsidRPr="00491153">
        <w:t>/2</w:t>
      </w:r>
      <w:r>
        <w:t>5</w:t>
      </w:r>
      <w:r w:rsidRPr="00491153">
        <w:t xml:space="preserve"> </w:t>
      </w:r>
      <w:r w:rsidRPr="00491153">
        <w:rPr>
          <w:b/>
        </w:rPr>
        <w:t>(Anexo III)</w:t>
      </w:r>
      <w:r w:rsidRPr="00491153">
        <w:t>.</w:t>
      </w:r>
    </w:p>
    <w:p w14:paraId="72B8CF5F" w14:textId="77777777" w:rsidR="00217516" w:rsidRPr="00C67772" w:rsidRDefault="00217516" w:rsidP="00217516">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36F8618E" w14:textId="0CAEA483" w:rsidR="00217516" w:rsidRDefault="00217516" w:rsidP="00217516">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85545C">
        <w:rPr>
          <w:bCs/>
        </w:rPr>
        <w:t>El GMC acordó remitir al SGT N° 1</w:t>
      </w:r>
      <w:r>
        <w:rPr>
          <w:bCs/>
        </w:rPr>
        <w:t>8</w:t>
      </w:r>
      <w:r w:rsidRPr="0085545C">
        <w:rPr>
          <w:bCs/>
        </w:rPr>
        <w:t xml:space="preserve"> el proyecto de Resolución Nº </w:t>
      </w:r>
      <w:r>
        <w:rPr>
          <w:bCs/>
        </w:rPr>
        <w:t>01/24</w:t>
      </w:r>
      <w:r w:rsidRPr="0085545C">
        <w:rPr>
          <w:bCs/>
        </w:rPr>
        <w:t xml:space="preserve"> "</w:t>
      </w:r>
      <w:r>
        <w:rPr>
          <w:bCs/>
        </w:rPr>
        <w:t>Subgrupo de Trabajo N° 18 Integración Fronteriza (Modificación de la Resolución GMC N° 59/15”</w:t>
      </w:r>
      <w:r w:rsidRPr="0085545C">
        <w:rPr>
          <w:bCs/>
        </w:rPr>
        <w:t xml:space="preserve"> </w:t>
      </w:r>
      <w:r>
        <w:rPr>
          <w:bCs/>
        </w:rPr>
        <w:t xml:space="preserve">para su análisis </w:t>
      </w:r>
      <w:r w:rsidRPr="00520659">
        <w:rPr>
          <w:b/>
        </w:rPr>
        <w:t xml:space="preserve">(Anexo </w:t>
      </w:r>
      <w:r w:rsidR="00BE1446">
        <w:rPr>
          <w:b/>
        </w:rPr>
        <w:t>X</w:t>
      </w:r>
      <w:r w:rsidRPr="00520659">
        <w:rPr>
          <w:b/>
        </w:rPr>
        <w:t xml:space="preserve"> – RESERVADO)</w:t>
      </w:r>
      <w:r w:rsidRPr="0085545C">
        <w:rPr>
          <w:bCs/>
        </w:rPr>
        <w:t>.</w:t>
      </w:r>
    </w:p>
    <w:p w14:paraId="71C349BE" w14:textId="77777777" w:rsidR="00217516" w:rsidRDefault="00217516" w:rsidP="00217516">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077B6972" w14:textId="2488DE75" w:rsidR="00CE44D3" w:rsidRDefault="00CE44D3">
      <w:pPr>
        <w:rPr>
          <w:bCs/>
        </w:rPr>
      </w:pPr>
      <w:r>
        <w:rPr>
          <w:bCs/>
        </w:rPr>
        <w:br w:type="page"/>
      </w:r>
    </w:p>
    <w:p w14:paraId="1280AFA8" w14:textId="77777777" w:rsidR="00CE44D3" w:rsidRDefault="00CE44D3" w:rsidP="00217516">
      <w:pPr>
        <w:widowControl w:val="0"/>
        <w:jc w:val="both"/>
        <w:rPr>
          <w:b/>
        </w:rPr>
      </w:pPr>
    </w:p>
    <w:p w14:paraId="1558FFC9" w14:textId="77777777" w:rsidR="00217516" w:rsidRPr="00C67772" w:rsidRDefault="00217516" w:rsidP="00217516">
      <w:pPr>
        <w:widowControl w:val="0"/>
        <w:jc w:val="both"/>
        <w:rPr>
          <w:b/>
        </w:rPr>
      </w:pPr>
      <w:r w:rsidRPr="00C67772">
        <w:rPr>
          <w:b/>
        </w:rPr>
        <w:t>PRÓXIMA REUNIÓN</w:t>
      </w:r>
    </w:p>
    <w:p w14:paraId="12598396" w14:textId="77777777" w:rsidR="00217516" w:rsidRDefault="00217516" w:rsidP="00217516">
      <w:pPr>
        <w:pBdr>
          <w:top w:val="nil"/>
          <w:left w:val="nil"/>
          <w:bottom w:val="nil"/>
          <w:right w:val="nil"/>
          <w:between w:val="nil"/>
        </w:pBdr>
        <w:jc w:val="both"/>
      </w:pPr>
    </w:p>
    <w:p w14:paraId="67D7170C" w14:textId="77777777" w:rsidR="00BE1446" w:rsidRPr="00815AF5" w:rsidRDefault="00BE1446" w:rsidP="00BE1446">
      <w:pPr>
        <w:jc w:val="both"/>
      </w:pPr>
      <w:r w:rsidRPr="00815AF5">
        <w:t>Se acordó realizar la próxima reunión del GMC los días 10 y 11 de junio de 2025.</w:t>
      </w:r>
    </w:p>
    <w:p w14:paraId="4D6FA533" w14:textId="77777777" w:rsidR="00217516" w:rsidRDefault="00217516" w:rsidP="00217516">
      <w:pPr>
        <w:jc w:val="both"/>
      </w:pPr>
    </w:p>
    <w:p w14:paraId="04E19DD1" w14:textId="77777777" w:rsidR="00BE1446" w:rsidRPr="004C5BE8" w:rsidRDefault="00BE1446" w:rsidP="00217516">
      <w:pPr>
        <w:jc w:val="both"/>
      </w:pPr>
    </w:p>
    <w:p w14:paraId="52E221FD" w14:textId="70BEBEDE" w:rsidR="00217516" w:rsidRDefault="00217516" w:rsidP="00CE44D3">
      <w:pPr>
        <w:widowControl w:val="0"/>
        <w:jc w:val="both"/>
        <w:rPr>
          <w:b/>
        </w:rPr>
      </w:pPr>
      <w:r w:rsidRPr="004C5BE8">
        <w:rPr>
          <w:b/>
        </w:rPr>
        <w:t>ANEXOS</w:t>
      </w:r>
    </w:p>
    <w:p w14:paraId="60AD5018" w14:textId="77777777" w:rsidR="00CE44D3" w:rsidRPr="00CE44D3" w:rsidRDefault="00CE44D3" w:rsidP="00CE44D3">
      <w:pPr>
        <w:widowControl w:val="0"/>
        <w:jc w:val="both"/>
        <w:rPr>
          <w:sz w:val="16"/>
          <w:szCs w:val="16"/>
        </w:rPr>
      </w:pPr>
    </w:p>
    <w:p w14:paraId="483ECEB0" w14:textId="77777777" w:rsidR="00217516" w:rsidRDefault="00217516" w:rsidP="00217516">
      <w:pPr>
        <w:widowControl w:val="0"/>
        <w:tabs>
          <w:tab w:val="center" w:pos="4252"/>
          <w:tab w:val="right" w:pos="8504"/>
        </w:tabs>
        <w:jc w:val="both"/>
      </w:pPr>
      <w:r w:rsidRPr="004C5BE8">
        <w:t>Los Anexos que forman parte del Acta son los siguientes:</w:t>
      </w:r>
    </w:p>
    <w:p w14:paraId="3854CAC6" w14:textId="77777777" w:rsidR="00CE44D3" w:rsidRPr="004C5BE8" w:rsidRDefault="00CE44D3" w:rsidP="00217516">
      <w:pPr>
        <w:widowControl w:val="0"/>
        <w:tabs>
          <w:tab w:val="center" w:pos="4252"/>
          <w:tab w:val="right" w:pos="8504"/>
        </w:tabs>
        <w:jc w:val="both"/>
      </w:pPr>
    </w:p>
    <w:tbl>
      <w:tblPr>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7400"/>
      </w:tblGrid>
      <w:tr w:rsidR="00217516" w:rsidRPr="004C5BE8" w14:paraId="23F96615" w14:textId="77777777" w:rsidTr="00595A14">
        <w:tc>
          <w:tcPr>
            <w:tcW w:w="1418" w:type="dxa"/>
          </w:tcPr>
          <w:p w14:paraId="11D0934A" w14:textId="77777777" w:rsidR="00217516" w:rsidRPr="004C5BE8" w:rsidRDefault="00217516" w:rsidP="00595A14">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4C5BE8">
              <w:rPr>
                <w:b/>
              </w:rPr>
              <w:t>Anexo I</w:t>
            </w:r>
          </w:p>
        </w:tc>
        <w:tc>
          <w:tcPr>
            <w:tcW w:w="7400" w:type="dxa"/>
          </w:tcPr>
          <w:p w14:paraId="47429A14" w14:textId="77777777" w:rsidR="00CE44D3" w:rsidRDefault="00217516" w:rsidP="00CE44D3">
            <w:pPr>
              <w:jc w:val="both"/>
            </w:pPr>
            <w:r w:rsidRPr="004C5BE8">
              <w:t>Lista de Participantes</w:t>
            </w:r>
          </w:p>
          <w:p w14:paraId="09AF4511" w14:textId="0BA2C25C" w:rsidR="00CE44D3" w:rsidRPr="004C5BE8" w:rsidRDefault="00CE44D3" w:rsidP="00CE44D3">
            <w:pPr>
              <w:jc w:val="both"/>
            </w:pPr>
          </w:p>
        </w:tc>
      </w:tr>
      <w:tr w:rsidR="00217516" w:rsidRPr="004C5BE8" w14:paraId="4DF4E0DA" w14:textId="77777777" w:rsidTr="00595A14">
        <w:trPr>
          <w:trHeight w:val="274"/>
        </w:trPr>
        <w:tc>
          <w:tcPr>
            <w:tcW w:w="1418" w:type="dxa"/>
          </w:tcPr>
          <w:p w14:paraId="31CE035B" w14:textId="77777777" w:rsidR="00217516" w:rsidRPr="004C5BE8" w:rsidRDefault="00217516" w:rsidP="00595A14">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4C5BE8">
              <w:rPr>
                <w:b/>
              </w:rPr>
              <w:t>Anexo II</w:t>
            </w:r>
          </w:p>
        </w:tc>
        <w:tc>
          <w:tcPr>
            <w:tcW w:w="7400" w:type="dxa"/>
          </w:tcPr>
          <w:p w14:paraId="7E380C73" w14:textId="77777777" w:rsidR="00CE44D3" w:rsidRDefault="00217516" w:rsidP="00CE44D3">
            <w:pPr>
              <w:jc w:val="both"/>
            </w:pPr>
            <w:r w:rsidRPr="004C5BE8">
              <w:t>Agenda</w:t>
            </w:r>
          </w:p>
          <w:p w14:paraId="476377B9" w14:textId="7E06EE6D" w:rsidR="00CE44D3" w:rsidRPr="004C5BE8" w:rsidRDefault="00CE44D3" w:rsidP="00CE44D3">
            <w:pPr>
              <w:jc w:val="both"/>
            </w:pPr>
          </w:p>
        </w:tc>
      </w:tr>
      <w:tr w:rsidR="00217516" w:rsidRPr="004C5BE8" w14:paraId="3CA544BB" w14:textId="77777777" w:rsidTr="00595A14">
        <w:trPr>
          <w:trHeight w:val="303"/>
        </w:trPr>
        <w:tc>
          <w:tcPr>
            <w:tcW w:w="1418" w:type="dxa"/>
          </w:tcPr>
          <w:p w14:paraId="4662F392" w14:textId="77777777" w:rsidR="00217516" w:rsidRPr="004C5BE8" w:rsidRDefault="00217516" w:rsidP="00595A14">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4C5BE8">
              <w:rPr>
                <w:b/>
              </w:rPr>
              <w:t>Anexo III</w:t>
            </w:r>
          </w:p>
        </w:tc>
        <w:tc>
          <w:tcPr>
            <w:tcW w:w="7400" w:type="dxa"/>
          </w:tcPr>
          <w:p w14:paraId="6777E925" w14:textId="77777777" w:rsidR="00CE44D3" w:rsidRDefault="00217516" w:rsidP="00CE44D3">
            <w:pPr>
              <w:jc w:val="both"/>
            </w:pPr>
            <w:r w:rsidRPr="00520659">
              <w:t>Resoluciones GMC</w:t>
            </w:r>
            <w:r>
              <w:t xml:space="preserve"> N° 01/25 a 04/25</w:t>
            </w:r>
          </w:p>
          <w:p w14:paraId="5D2702DA" w14:textId="741977E3" w:rsidR="00CE44D3" w:rsidRPr="004C5BE8" w:rsidRDefault="00CE44D3" w:rsidP="00CE44D3">
            <w:pPr>
              <w:jc w:val="both"/>
            </w:pPr>
          </w:p>
        </w:tc>
      </w:tr>
      <w:tr w:rsidR="00217516" w:rsidRPr="00595444" w14:paraId="79B94E2F" w14:textId="77777777" w:rsidTr="00595A14">
        <w:trPr>
          <w:trHeight w:val="303"/>
        </w:trPr>
        <w:tc>
          <w:tcPr>
            <w:tcW w:w="1418" w:type="dxa"/>
          </w:tcPr>
          <w:p w14:paraId="2B4A841D" w14:textId="77777777" w:rsidR="00217516" w:rsidRPr="00595444" w:rsidRDefault="00217516" w:rsidP="00595A14">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595444">
              <w:rPr>
                <w:b/>
              </w:rPr>
              <w:t>Anexo IV</w:t>
            </w:r>
          </w:p>
        </w:tc>
        <w:tc>
          <w:tcPr>
            <w:tcW w:w="7400" w:type="dxa"/>
          </w:tcPr>
          <w:p w14:paraId="40D5DC79" w14:textId="77777777" w:rsidR="00CE44D3" w:rsidRDefault="007A14DE" w:rsidP="00CE44D3">
            <w:pPr>
              <w:jc w:val="both"/>
            </w:pPr>
            <w:r>
              <w:t>P</w:t>
            </w:r>
            <w:r w:rsidRPr="00AC63C7">
              <w:t>royecto de Decisión “Modificación de la Decisión CMC N° 58/10”</w:t>
            </w:r>
          </w:p>
          <w:p w14:paraId="64BB1FA1" w14:textId="10193721" w:rsidR="00CE44D3" w:rsidRPr="00595444" w:rsidRDefault="00CE44D3" w:rsidP="00CE44D3">
            <w:pPr>
              <w:jc w:val="both"/>
            </w:pPr>
          </w:p>
        </w:tc>
      </w:tr>
      <w:tr w:rsidR="00217516" w:rsidRPr="00595444" w14:paraId="51066BBC" w14:textId="77777777" w:rsidTr="00595A14">
        <w:trPr>
          <w:trHeight w:val="303"/>
        </w:trPr>
        <w:tc>
          <w:tcPr>
            <w:tcW w:w="1418" w:type="dxa"/>
          </w:tcPr>
          <w:p w14:paraId="54F95417" w14:textId="77777777" w:rsidR="00217516" w:rsidRPr="00595444" w:rsidRDefault="00217516" w:rsidP="00595A14">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595444">
              <w:rPr>
                <w:b/>
              </w:rPr>
              <w:t>Anexo V</w:t>
            </w:r>
          </w:p>
        </w:tc>
        <w:tc>
          <w:tcPr>
            <w:tcW w:w="7400" w:type="dxa"/>
          </w:tcPr>
          <w:p w14:paraId="78D5E597" w14:textId="77777777" w:rsidR="00CE44D3" w:rsidRDefault="007A14DE" w:rsidP="00CE44D3">
            <w:pPr>
              <w:jc w:val="both"/>
            </w:pPr>
            <w:r>
              <w:t>P</w:t>
            </w:r>
            <w:r w:rsidRPr="00AC63C7">
              <w:t>royecto de Decisión “Modificación de la Decisión CMC N° 58/10”</w:t>
            </w:r>
            <w:r>
              <w:t xml:space="preserve"> (</w:t>
            </w:r>
            <w:r w:rsidRPr="00AC63C7">
              <w:t>revisado</w:t>
            </w:r>
            <w:r>
              <w:t>)</w:t>
            </w:r>
            <w:r w:rsidRPr="00AC63C7">
              <w:t xml:space="preserve"> </w:t>
            </w:r>
          </w:p>
          <w:p w14:paraId="7C1BC94C" w14:textId="3264A39D" w:rsidR="00CE44D3" w:rsidRPr="00595444" w:rsidRDefault="00CE44D3" w:rsidP="00CE44D3">
            <w:pPr>
              <w:jc w:val="both"/>
              <w:rPr>
                <w:lang w:val="es-ES"/>
              </w:rPr>
            </w:pPr>
          </w:p>
        </w:tc>
      </w:tr>
      <w:tr w:rsidR="00217516" w:rsidRPr="00595444" w14:paraId="6DCCD380" w14:textId="77777777" w:rsidTr="00595A14">
        <w:trPr>
          <w:trHeight w:val="303"/>
        </w:trPr>
        <w:tc>
          <w:tcPr>
            <w:tcW w:w="1418" w:type="dxa"/>
            <w:tcBorders>
              <w:bottom w:val="single" w:sz="4" w:space="0" w:color="000000"/>
            </w:tcBorders>
          </w:tcPr>
          <w:p w14:paraId="7E5FE056" w14:textId="77777777" w:rsidR="00217516" w:rsidRPr="00595444" w:rsidRDefault="00217516" w:rsidP="00595A14">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595444">
              <w:rPr>
                <w:b/>
              </w:rPr>
              <w:t>Anexo VI</w:t>
            </w:r>
          </w:p>
        </w:tc>
        <w:tc>
          <w:tcPr>
            <w:tcW w:w="7400" w:type="dxa"/>
            <w:tcBorders>
              <w:bottom w:val="single" w:sz="4" w:space="0" w:color="000000"/>
            </w:tcBorders>
          </w:tcPr>
          <w:p w14:paraId="48D04438" w14:textId="77777777" w:rsidR="00CE44D3" w:rsidRDefault="007A14DE" w:rsidP="00CE44D3">
            <w:pPr>
              <w:autoSpaceDE w:val="0"/>
              <w:autoSpaceDN w:val="0"/>
              <w:adjustRightInd w:val="0"/>
              <w:jc w:val="both"/>
            </w:pPr>
            <w:r>
              <w:t>P</w:t>
            </w:r>
            <w:r w:rsidRPr="00965FB1">
              <w:t>royecto de Decisión sobre Relacionamiento Externo</w:t>
            </w:r>
          </w:p>
          <w:p w14:paraId="3F2E49AA" w14:textId="59E58178" w:rsidR="00CE44D3" w:rsidRPr="00595444" w:rsidRDefault="00CE44D3" w:rsidP="00CE44D3">
            <w:pPr>
              <w:autoSpaceDE w:val="0"/>
              <w:autoSpaceDN w:val="0"/>
              <w:adjustRightInd w:val="0"/>
              <w:jc w:val="both"/>
              <w:rPr>
                <w:rFonts w:eastAsia="Times New Roman"/>
                <w:lang w:eastAsia="es-ES"/>
              </w:rPr>
            </w:pPr>
          </w:p>
        </w:tc>
      </w:tr>
      <w:tr w:rsidR="00217516" w:rsidRPr="00595444" w14:paraId="5640708A" w14:textId="77777777" w:rsidTr="00595A14">
        <w:trPr>
          <w:trHeight w:val="303"/>
        </w:trPr>
        <w:tc>
          <w:tcPr>
            <w:tcW w:w="1418" w:type="dxa"/>
            <w:tcBorders>
              <w:bottom w:val="single" w:sz="4" w:space="0" w:color="auto"/>
            </w:tcBorders>
          </w:tcPr>
          <w:p w14:paraId="65DAC00C" w14:textId="77777777" w:rsidR="00217516" w:rsidRPr="00595444" w:rsidRDefault="00217516" w:rsidP="00595A14">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595444">
              <w:rPr>
                <w:b/>
              </w:rPr>
              <w:t>Anexo VII</w:t>
            </w:r>
          </w:p>
        </w:tc>
        <w:tc>
          <w:tcPr>
            <w:tcW w:w="7400" w:type="dxa"/>
            <w:tcBorders>
              <w:bottom w:val="single" w:sz="4" w:space="0" w:color="auto"/>
            </w:tcBorders>
          </w:tcPr>
          <w:p w14:paraId="6DDF7035" w14:textId="77777777" w:rsidR="00CE44D3" w:rsidRDefault="00BE1446" w:rsidP="00CE44D3">
            <w:pPr>
              <w:widowControl w:val="0"/>
              <w:jc w:val="both"/>
            </w:pPr>
            <w:r w:rsidRPr="00D83411">
              <w:t>Informes Semestrales del Grado de Avance del Programa de Trabajo 2023 -2024 correspondientes al primer semestre del año 2024 del SGT N° 8 (CBA, CSA, CSV y CS), REOGCI y FCES</w:t>
            </w:r>
          </w:p>
          <w:p w14:paraId="14067197" w14:textId="54A4C4B7" w:rsidR="00CE44D3" w:rsidRPr="00595444" w:rsidRDefault="00CE44D3" w:rsidP="00CE44D3">
            <w:pPr>
              <w:widowControl w:val="0"/>
              <w:jc w:val="both"/>
            </w:pPr>
          </w:p>
        </w:tc>
      </w:tr>
      <w:tr w:rsidR="00217516" w:rsidRPr="00595444" w14:paraId="240C236D" w14:textId="77777777" w:rsidTr="00595A14">
        <w:trPr>
          <w:trHeight w:val="303"/>
        </w:trPr>
        <w:tc>
          <w:tcPr>
            <w:tcW w:w="1418" w:type="dxa"/>
            <w:tcBorders>
              <w:top w:val="single" w:sz="4" w:space="0" w:color="auto"/>
            </w:tcBorders>
          </w:tcPr>
          <w:p w14:paraId="012A514D" w14:textId="77777777" w:rsidR="00217516" w:rsidRPr="00595444" w:rsidRDefault="00217516" w:rsidP="00595A14">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595444">
              <w:rPr>
                <w:b/>
              </w:rPr>
              <w:t>Anexo VIII</w:t>
            </w:r>
          </w:p>
        </w:tc>
        <w:tc>
          <w:tcPr>
            <w:tcW w:w="7400" w:type="dxa"/>
            <w:tcBorders>
              <w:top w:val="single" w:sz="4" w:space="0" w:color="auto"/>
            </w:tcBorders>
          </w:tcPr>
          <w:p w14:paraId="2FE09997" w14:textId="77777777" w:rsidR="00CE44D3" w:rsidRDefault="00BE1446" w:rsidP="00CE44D3">
            <w:pPr>
              <w:widowControl w:val="0"/>
              <w:jc w:val="both"/>
            </w:pPr>
            <w:r w:rsidRPr="000177C2">
              <w:t xml:space="preserve">Informes de Cumplimiento del Programa de Trabajo 2023 - 2024 del SGT N° 1 (CTAP, </w:t>
            </w:r>
            <w:proofErr w:type="spellStart"/>
            <w:r w:rsidRPr="000177C2">
              <w:t>CTRc</w:t>
            </w:r>
            <w:proofErr w:type="spellEnd"/>
            <w:r w:rsidRPr="000177C2">
              <w:t xml:space="preserve">, </w:t>
            </w:r>
            <w:proofErr w:type="spellStart"/>
            <w:r w:rsidRPr="000177C2">
              <w:t>CTRd</w:t>
            </w:r>
            <w:proofErr w:type="spellEnd"/>
            <w:r w:rsidRPr="000177C2">
              <w:t>, CTSPT), SGT N° 3 (CIA, CJ, CBUI, CG, CA, CM, CEC), SGT N° 4 (CSB, CS, CPLDFT, CSPT, CPECSB), SGT N° 5, SGT N° 8 (CBAG, CBA, CSV, CSA y CV</w:t>
            </w:r>
            <w:r>
              <w:t>)</w:t>
            </w:r>
            <w:r w:rsidRPr="000177C2">
              <w:t>, SGT N° 9, RECAM, RECM, REDPO y REMPM (SCLH, SCG, SPPL-MAP, CCOT, SCTPTIM-FMR, SCTN</w:t>
            </w:r>
            <w:r>
              <w:t>, SCCAF</w:t>
            </w:r>
            <w:r w:rsidRPr="000177C2">
              <w:t xml:space="preserve"> y SDI)</w:t>
            </w:r>
          </w:p>
          <w:p w14:paraId="4F7DB16B" w14:textId="501B7E71" w:rsidR="00CE44D3" w:rsidRPr="00595444" w:rsidRDefault="00CE44D3" w:rsidP="00CE44D3">
            <w:pPr>
              <w:widowControl w:val="0"/>
              <w:jc w:val="both"/>
              <w:rPr>
                <w:bCs/>
              </w:rPr>
            </w:pPr>
          </w:p>
        </w:tc>
      </w:tr>
      <w:tr w:rsidR="00217516" w:rsidRPr="004C5BE8" w14:paraId="35E4422D" w14:textId="77777777" w:rsidTr="00595A14">
        <w:trPr>
          <w:trHeight w:val="303"/>
        </w:trPr>
        <w:tc>
          <w:tcPr>
            <w:tcW w:w="1418" w:type="dxa"/>
          </w:tcPr>
          <w:p w14:paraId="00B7CB77" w14:textId="77777777" w:rsidR="00217516" w:rsidRPr="004C5BE8" w:rsidRDefault="00217516" w:rsidP="00595A14">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color w:val="FF0000"/>
              </w:rPr>
            </w:pPr>
            <w:r w:rsidRPr="00F9657A">
              <w:rPr>
                <w:b/>
              </w:rPr>
              <w:t>Anexo IX</w:t>
            </w:r>
          </w:p>
        </w:tc>
        <w:tc>
          <w:tcPr>
            <w:tcW w:w="7400" w:type="dxa"/>
          </w:tcPr>
          <w:p w14:paraId="567104C1" w14:textId="77777777" w:rsidR="00CE44D3" w:rsidRDefault="00BE1446" w:rsidP="00CE44D3">
            <w:pPr>
              <w:widowControl w:val="0"/>
              <w:jc w:val="both"/>
            </w:pPr>
            <w:r w:rsidRPr="00CC5FA8">
              <w:rPr>
                <w:rFonts w:eastAsia="Times New Roman"/>
                <w:bdr w:val="none" w:sz="0" w:space="0" w:color="auto" w:frame="1"/>
                <w:lang w:eastAsia="es-ES"/>
              </w:rPr>
              <w:t xml:space="preserve">Programa de Trabajo 2025 - 2026 del </w:t>
            </w:r>
            <w:r w:rsidRPr="00CC5FA8">
              <w:rPr>
                <w:bCs/>
              </w:rPr>
              <w:t>SGT N° 1</w:t>
            </w:r>
            <w:r w:rsidRPr="00CC5FA8">
              <w:rPr>
                <w:rFonts w:eastAsia="Trebuchet MS"/>
                <w:bCs/>
                <w:lang w:eastAsia="pt-BR"/>
              </w:rPr>
              <w:t xml:space="preserve"> (CTAP, </w:t>
            </w:r>
            <w:proofErr w:type="spellStart"/>
            <w:r w:rsidRPr="00CC5FA8">
              <w:rPr>
                <w:rFonts w:eastAsia="Trebuchet MS"/>
                <w:bCs/>
                <w:lang w:eastAsia="pt-BR"/>
              </w:rPr>
              <w:t>CTRc</w:t>
            </w:r>
            <w:proofErr w:type="spellEnd"/>
            <w:r w:rsidRPr="00CC5FA8">
              <w:rPr>
                <w:rFonts w:eastAsia="Trebuchet MS"/>
                <w:bCs/>
                <w:lang w:eastAsia="pt-BR"/>
              </w:rPr>
              <w:t xml:space="preserve">, </w:t>
            </w:r>
            <w:proofErr w:type="spellStart"/>
            <w:r w:rsidRPr="00CC5FA8">
              <w:rPr>
                <w:rFonts w:eastAsia="Trebuchet MS"/>
                <w:bCs/>
                <w:lang w:eastAsia="pt-BR"/>
              </w:rPr>
              <w:t>CTRd</w:t>
            </w:r>
            <w:proofErr w:type="spellEnd"/>
            <w:r w:rsidRPr="00CC5FA8">
              <w:rPr>
                <w:rFonts w:eastAsia="Trebuchet MS"/>
                <w:bCs/>
                <w:lang w:eastAsia="pt-BR"/>
              </w:rPr>
              <w:t xml:space="preserve">, CTSPT), </w:t>
            </w:r>
            <w:r w:rsidRPr="00CC5FA8">
              <w:rPr>
                <w:bCs/>
              </w:rPr>
              <w:t>SGT N° 3 (</w:t>
            </w:r>
            <w:r w:rsidRPr="00CC5FA8">
              <w:rPr>
                <w:rFonts w:eastAsia="Trebuchet MS"/>
                <w:bCs/>
                <w:lang w:eastAsia="pt-BR"/>
              </w:rPr>
              <w:t xml:space="preserve">CIA, CJ, CBUI, CG, CA, CM, CEEE, CEC), </w:t>
            </w:r>
            <w:r w:rsidRPr="00CC5FA8">
              <w:rPr>
                <w:lang w:val="es-UY"/>
              </w:rPr>
              <w:t xml:space="preserve">SGT N° 4 (CMV, CSB, CS, CPLDFT, CSPT, CPECSB), </w:t>
            </w:r>
            <w:r w:rsidRPr="00CC5FA8">
              <w:rPr>
                <w:rFonts w:eastAsia="Calibri"/>
                <w:kern w:val="28"/>
                <w:lang w:eastAsia="en-US"/>
              </w:rPr>
              <w:t xml:space="preserve">SGT N° 5 </w:t>
            </w:r>
            <w:r w:rsidRPr="0041582C">
              <w:rPr>
                <w:rFonts w:eastAsia="Calibri"/>
                <w:kern w:val="28"/>
                <w:lang w:eastAsia="en-US"/>
              </w:rPr>
              <w:t>(</w:t>
            </w:r>
            <w:r w:rsidRPr="0041582C">
              <w:rPr>
                <w:lang w:val="es-UY"/>
              </w:rPr>
              <w:t>CETM, CIIT</w:t>
            </w:r>
            <w:r w:rsidRPr="00CC5FA8">
              <w:rPr>
                <w:rFonts w:eastAsia="Calibri"/>
                <w:kern w:val="28"/>
                <w:lang w:eastAsia="en-US"/>
              </w:rPr>
              <w:t xml:space="preserve">), </w:t>
            </w:r>
            <w:r w:rsidRPr="00CC5FA8">
              <w:rPr>
                <w:bCs/>
                <w:lang w:val="es-PY" w:eastAsia="pt-BR"/>
              </w:rPr>
              <w:t>SGT N° 8 (CBAG, CBA, CSV</w:t>
            </w:r>
            <w:r w:rsidRPr="004D4D24">
              <w:rPr>
                <w:bCs/>
                <w:lang w:val="es-PY" w:eastAsia="pt-BR"/>
              </w:rPr>
              <w:t xml:space="preserve">, </w:t>
            </w:r>
            <w:r w:rsidRPr="004D4D24">
              <w:rPr>
                <w:lang w:val="es-UY"/>
              </w:rPr>
              <w:t>CSA y CV</w:t>
            </w:r>
            <w:r>
              <w:rPr>
                <w:lang w:val="es-UY"/>
              </w:rPr>
              <w:t>)</w:t>
            </w:r>
            <w:r w:rsidRPr="004D4D24">
              <w:rPr>
                <w:bCs/>
                <w:lang w:val="es-PY" w:eastAsia="pt-BR"/>
              </w:rPr>
              <w:t xml:space="preserve">, </w:t>
            </w:r>
            <w:r w:rsidRPr="00CC5FA8">
              <w:rPr>
                <w:bCs/>
                <w:lang w:val="es-PY" w:eastAsia="pt-BR"/>
              </w:rPr>
              <w:t xml:space="preserve">SGT N° 9, </w:t>
            </w:r>
            <w:r w:rsidRPr="00CC5FA8">
              <w:rPr>
                <w:rFonts w:eastAsia="Times New Roman"/>
                <w:bdr w:val="none" w:sz="0" w:space="0" w:color="auto" w:frame="1"/>
                <w:lang w:eastAsia="es-ES"/>
              </w:rPr>
              <w:t>SGT N° 10 (</w:t>
            </w:r>
            <w:r w:rsidRPr="00CC5FA8">
              <w:rPr>
                <w:lang w:val="es-UY"/>
              </w:rPr>
              <w:t>UEPETI, COMTM, CETFP, COPRIT, CETSS, CETSP, CG, CSPS y RETP</w:t>
            </w:r>
            <w:r w:rsidRPr="00CC5FA8">
              <w:rPr>
                <w:rFonts w:eastAsia="Times New Roman"/>
                <w:bdr w:val="none" w:sz="0" w:space="0" w:color="auto" w:frame="1"/>
                <w:lang w:eastAsia="es-ES"/>
              </w:rPr>
              <w:t>)</w:t>
            </w:r>
            <w:r>
              <w:rPr>
                <w:rFonts w:eastAsia="Times New Roman"/>
                <w:bdr w:val="none" w:sz="0" w:space="0" w:color="auto" w:frame="1"/>
                <w:lang w:eastAsia="es-ES"/>
              </w:rPr>
              <w:t>;</w:t>
            </w:r>
            <w:r w:rsidRPr="00CC5FA8">
              <w:rPr>
                <w:rFonts w:eastAsia="Times New Roman"/>
                <w:bdr w:val="none" w:sz="0" w:space="0" w:color="auto" w:frame="1"/>
                <w:lang w:eastAsia="es-ES"/>
              </w:rPr>
              <w:t xml:space="preserve"> </w:t>
            </w:r>
            <w:r w:rsidRPr="00CC5FA8">
              <w:t xml:space="preserve">COPROSAL, SCOCOSME, SCODOMIS, SCOPSICO, SCOFARMA, </w:t>
            </w:r>
            <w:r>
              <w:t xml:space="preserve">SCOARFAR, SCOPROME, </w:t>
            </w:r>
            <w:r w:rsidRPr="00CC5FA8">
              <w:t>COSERATS,</w:t>
            </w:r>
            <w:r>
              <w:t xml:space="preserve"> SCOEJER,</w:t>
            </w:r>
            <w:r w:rsidRPr="00CC5FA8">
              <w:t xml:space="preserve"> COVIGSAL y SCOCONTS</w:t>
            </w:r>
            <w:r>
              <w:t xml:space="preserve"> del SGT N° 11;</w:t>
            </w:r>
            <w:r w:rsidRPr="00CC5FA8">
              <w:t xml:space="preserve"> </w:t>
            </w:r>
            <w:r w:rsidRPr="00CC5FA8">
              <w:rPr>
                <w:bCs/>
                <w:lang w:val="es-PY" w:eastAsia="pt-BR"/>
              </w:rPr>
              <w:t xml:space="preserve"> </w:t>
            </w:r>
            <w:r>
              <w:rPr>
                <w:bCs/>
                <w:lang w:val="es-PY" w:eastAsia="pt-BR"/>
              </w:rPr>
              <w:t xml:space="preserve">SGT N° 18, </w:t>
            </w:r>
            <w:r w:rsidRPr="00CC5FA8">
              <w:rPr>
                <w:bCs/>
                <w:lang w:val="es-PY" w:eastAsia="pt-BR"/>
              </w:rPr>
              <w:t xml:space="preserve">RECAM, RED, </w:t>
            </w:r>
            <w:r w:rsidRPr="00CC5FA8">
              <w:rPr>
                <w:lang w:val="es-UY"/>
              </w:rPr>
              <w:t xml:space="preserve"> CTIC´S</w:t>
            </w:r>
            <w:r>
              <w:rPr>
                <w:lang w:val="es-UY"/>
              </w:rPr>
              <w:t>, CIDAF y</w:t>
            </w:r>
            <w:r w:rsidRPr="00CC5FA8">
              <w:rPr>
                <w:lang w:val="es-UY"/>
              </w:rPr>
              <w:t xml:space="preserve"> CRAF</w:t>
            </w:r>
            <w:r>
              <w:rPr>
                <w:lang w:val="es-UY"/>
              </w:rPr>
              <w:t xml:space="preserve"> de la REAF</w:t>
            </w:r>
            <w:r w:rsidRPr="00CC5FA8">
              <w:rPr>
                <w:bCs/>
              </w:rPr>
              <w:t>, RECM</w:t>
            </w:r>
            <w:r>
              <w:rPr>
                <w:bCs/>
              </w:rPr>
              <w:t xml:space="preserve"> y</w:t>
            </w:r>
            <w:r w:rsidRPr="00CC5FA8">
              <w:rPr>
                <w:bCs/>
              </w:rPr>
              <w:t xml:space="preserve"> </w:t>
            </w:r>
            <w:r>
              <w:t xml:space="preserve">RECYT </w:t>
            </w:r>
            <w:r w:rsidRPr="001D5E24">
              <w:t>(CPA, CPP)</w:t>
            </w:r>
          </w:p>
          <w:p w14:paraId="260556EB" w14:textId="49CE8659" w:rsidR="00CE44D3" w:rsidRPr="004C5BE8" w:rsidRDefault="00CE44D3" w:rsidP="00CE44D3">
            <w:pPr>
              <w:widowControl w:val="0"/>
              <w:jc w:val="both"/>
              <w:rPr>
                <w:bCs/>
                <w:color w:val="FF0000"/>
              </w:rPr>
            </w:pPr>
          </w:p>
        </w:tc>
      </w:tr>
    </w:tbl>
    <w:p w14:paraId="24C86EF1" w14:textId="77777777" w:rsidR="00CE44D3" w:rsidRDefault="00CE44D3">
      <w:r>
        <w:br w:type="page"/>
      </w:r>
    </w:p>
    <w:tbl>
      <w:tblPr>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7400"/>
      </w:tblGrid>
      <w:tr w:rsidR="00217516" w:rsidRPr="004C5BE8" w14:paraId="745F82A7" w14:textId="77777777" w:rsidTr="00595A14">
        <w:trPr>
          <w:trHeight w:val="303"/>
        </w:trPr>
        <w:tc>
          <w:tcPr>
            <w:tcW w:w="1418" w:type="dxa"/>
          </w:tcPr>
          <w:p w14:paraId="10CB7E4C" w14:textId="3D41EA5B" w:rsidR="00217516" w:rsidRPr="00F9657A" w:rsidRDefault="00217516" w:rsidP="00595A14">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F9657A">
              <w:rPr>
                <w:b/>
              </w:rPr>
              <w:lastRenderedPageBreak/>
              <w:t>Anexo X</w:t>
            </w:r>
          </w:p>
        </w:tc>
        <w:tc>
          <w:tcPr>
            <w:tcW w:w="7400" w:type="dxa"/>
          </w:tcPr>
          <w:p w14:paraId="611DC64F" w14:textId="77777777" w:rsidR="00CE44D3" w:rsidRDefault="00BE1446" w:rsidP="00CE44D3">
            <w:pPr>
              <w:widowControl w:val="0"/>
              <w:jc w:val="both"/>
              <w:rPr>
                <w:bCs/>
              </w:rPr>
            </w:pPr>
            <w:r w:rsidRPr="00BE1446">
              <w:rPr>
                <w:b/>
              </w:rPr>
              <w:t>RESERVADO</w:t>
            </w:r>
            <w:r>
              <w:rPr>
                <w:bCs/>
              </w:rPr>
              <w:t xml:space="preserve">  - </w:t>
            </w:r>
            <w:r w:rsidRPr="0085545C">
              <w:rPr>
                <w:bCs/>
              </w:rPr>
              <w:t xml:space="preserve">Resolución Nº </w:t>
            </w:r>
            <w:r>
              <w:rPr>
                <w:bCs/>
              </w:rPr>
              <w:t>01/24</w:t>
            </w:r>
            <w:r w:rsidRPr="0085545C">
              <w:rPr>
                <w:bCs/>
              </w:rPr>
              <w:t xml:space="preserve"> "</w:t>
            </w:r>
            <w:r>
              <w:rPr>
                <w:bCs/>
              </w:rPr>
              <w:t>Subgrupo de Trabajo N° 18 Integración Fronteriza (Modificación de la Resolución GMC N° 59/15”</w:t>
            </w:r>
            <w:r w:rsidRPr="0085545C">
              <w:rPr>
                <w:bCs/>
              </w:rPr>
              <w:t xml:space="preserve"> </w:t>
            </w:r>
          </w:p>
          <w:p w14:paraId="69B8DF68" w14:textId="1304E13F" w:rsidR="00CE44D3" w:rsidRDefault="00CE44D3" w:rsidP="00CE44D3">
            <w:pPr>
              <w:widowControl w:val="0"/>
              <w:jc w:val="both"/>
              <w:rPr>
                <w:rFonts w:eastAsia="Arial Unicode MS"/>
                <w:bdr w:val="none" w:sz="0" w:space="0" w:color="auto" w:frame="1"/>
                <w:lang w:val="es-UY"/>
              </w:rPr>
            </w:pPr>
          </w:p>
        </w:tc>
      </w:tr>
    </w:tbl>
    <w:p w14:paraId="6656D379" w14:textId="77777777" w:rsidR="00217516" w:rsidRPr="004C5BE8" w:rsidRDefault="00217516" w:rsidP="00217516">
      <w:pPr>
        <w:rPr>
          <w:color w:val="FF0000"/>
        </w:rPr>
      </w:pPr>
    </w:p>
    <w:bookmarkEnd w:id="3"/>
    <w:tbl>
      <w:tblPr>
        <w:tblStyle w:val="1"/>
        <w:tblW w:w="8931" w:type="dxa"/>
        <w:tblInd w:w="0" w:type="dxa"/>
        <w:tblLayout w:type="fixed"/>
        <w:tblLook w:val="0400" w:firstRow="0" w:lastRow="0" w:firstColumn="0" w:lastColumn="0" w:noHBand="0" w:noVBand="1"/>
      </w:tblPr>
      <w:tblGrid>
        <w:gridCol w:w="4337"/>
        <w:gridCol w:w="4594"/>
      </w:tblGrid>
      <w:tr w:rsidR="002B4897" w:rsidRPr="00D22BC4" w14:paraId="0D8C91E6" w14:textId="77777777" w:rsidTr="006F494A">
        <w:trPr>
          <w:trHeight w:val="1070"/>
        </w:trPr>
        <w:tc>
          <w:tcPr>
            <w:tcW w:w="4337" w:type="dxa"/>
          </w:tcPr>
          <w:p w14:paraId="26B870DD" w14:textId="77777777" w:rsidR="005738CE" w:rsidRPr="00D22BC4" w:rsidRDefault="005738CE" w:rsidP="00FE58EB">
            <w:pPr>
              <w:widowControl w:val="0"/>
              <w:tabs>
                <w:tab w:val="left" w:pos="1418"/>
                <w:tab w:val="center" w:pos="4252"/>
                <w:tab w:val="right" w:pos="8504"/>
              </w:tabs>
              <w:jc w:val="center"/>
              <w:rPr>
                <w:b/>
              </w:rPr>
            </w:pPr>
          </w:p>
          <w:p w14:paraId="0CCE88A8" w14:textId="77777777" w:rsidR="005738CE" w:rsidRDefault="005738CE" w:rsidP="00FE58EB">
            <w:pPr>
              <w:widowControl w:val="0"/>
              <w:tabs>
                <w:tab w:val="left" w:pos="1418"/>
                <w:tab w:val="center" w:pos="4252"/>
                <w:tab w:val="right" w:pos="8504"/>
              </w:tabs>
              <w:jc w:val="center"/>
              <w:rPr>
                <w:bCs/>
              </w:rPr>
            </w:pPr>
          </w:p>
          <w:p w14:paraId="27F3E2C0" w14:textId="77777777" w:rsidR="00CE44D3" w:rsidRPr="00992A05" w:rsidRDefault="00CE44D3" w:rsidP="00FE58EB">
            <w:pPr>
              <w:widowControl w:val="0"/>
              <w:tabs>
                <w:tab w:val="left" w:pos="1418"/>
                <w:tab w:val="center" w:pos="4252"/>
                <w:tab w:val="right" w:pos="8504"/>
              </w:tabs>
              <w:jc w:val="center"/>
              <w:rPr>
                <w:bCs/>
              </w:rPr>
            </w:pPr>
          </w:p>
          <w:p w14:paraId="6A5D5B9D" w14:textId="77777777" w:rsidR="005738CE" w:rsidRPr="00D22BC4" w:rsidRDefault="001A4A6D" w:rsidP="00FE58EB">
            <w:pPr>
              <w:widowControl w:val="0"/>
              <w:tabs>
                <w:tab w:val="left" w:pos="1418"/>
                <w:tab w:val="center" w:pos="4252"/>
                <w:tab w:val="right" w:pos="8504"/>
              </w:tabs>
              <w:jc w:val="center"/>
              <w:rPr>
                <w:b/>
              </w:rPr>
            </w:pPr>
            <w:r w:rsidRPr="00D22BC4">
              <w:rPr>
                <w:b/>
              </w:rPr>
              <w:t>_______________________________</w:t>
            </w:r>
          </w:p>
          <w:p w14:paraId="1A9073EC" w14:textId="77777777" w:rsidR="005738CE" w:rsidRPr="00D22BC4" w:rsidRDefault="001A4A6D" w:rsidP="00FE58EB">
            <w:pPr>
              <w:widowControl w:val="0"/>
              <w:tabs>
                <w:tab w:val="center" w:pos="4252"/>
                <w:tab w:val="right" w:pos="8504"/>
              </w:tabs>
              <w:jc w:val="center"/>
              <w:rPr>
                <w:b/>
              </w:rPr>
            </w:pPr>
            <w:r w:rsidRPr="00D22BC4">
              <w:rPr>
                <w:b/>
              </w:rPr>
              <w:t>Por la delegación de Argentina</w:t>
            </w:r>
          </w:p>
          <w:p w14:paraId="71B5AE3A" w14:textId="0821BE7D" w:rsidR="005738CE" w:rsidRPr="00D22BC4" w:rsidRDefault="002B4897" w:rsidP="00FE58EB">
            <w:pPr>
              <w:jc w:val="center"/>
            </w:pPr>
            <w:r w:rsidRPr="00E9581E">
              <w:t xml:space="preserve">Luis María </w:t>
            </w:r>
            <w:proofErr w:type="spellStart"/>
            <w:r w:rsidRPr="00E9581E">
              <w:t>Kreckler</w:t>
            </w:r>
            <w:proofErr w:type="spellEnd"/>
          </w:p>
          <w:p w14:paraId="3F3032A6" w14:textId="77777777" w:rsidR="00706A0D" w:rsidRPr="00D22BC4" w:rsidRDefault="00706A0D" w:rsidP="00FE58EB">
            <w:pPr>
              <w:jc w:val="center"/>
            </w:pPr>
          </w:p>
        </w:tc>
        <w:tc>
          <w:tcPr>
            <w:tcW w:w="4594" w:type="dxa"/>
          </w:tcPr>
          <w:p w14:paraId="46369509" w14:textId="77777777" w:rsidR="005738CE" w:rsidRDefault="005738CE" w:rsidP="00FE58EB">
            <w:pPr>
              <w:widowControl w:val="0"/>
              <w:tabs>
                <w:tab w:val="left" w:pos="1418"/>
                <w:tab w:val="center" w:pos="4252"/>
                <w:tab w:val="right" w:pos="8504"/>
              </w:tabs>
              <w:jc w:val="center"/>
              <w:rPr>
                <w:b/>
              </w:rPr>
            </w:pPr>
          </w:p>
          <w:p w14:paraId="524EAAE7" w14:textId="77777777" w:rsidR="00CE44D3" w:rsidRPr="00D22BC4" w:rsidRDefault="00CE44D3" w:rsidP="00FE58EB">
            <w:pPr>
              <w:widowControl w:val="0"/>
              <w:tabs>
                <w:tab w:val="left" w:pos="1418"/>
                <w:tab w:val="center" w:pos="4252"/>
                <w:tab w:val="right" w:pos="8504"/>
              </w:tabs>
              <w:jc w:val="center"/>
              <w:rPr>
                <w:b/>
              </w:rPr>
            </w:pPr>
          </w:p>
          <w:p w14:paraId="3700481F" w14:textId="77777777" w:rsidR="005738CE" w:rsidRPr="00D22BC4" w:rsidRDefault="005738CE" w:rsidP="00FE58EB">
            <w:pPr>
              <w:widowControl w:val="0"/>
              <w:tabs>
                <w:tab w:val="left" w:pos="1418"/>
                <w:tab w:val="center" w:pos="4252"/>
                <w:tab w:val="right" w:pos="8504"/>
              </w:tabs>
              <w:jc w:val="center"/>
              <w:rPr>
                <w:b/>
              </w:rPr>
            </w:pPr>
          </w:p>
          <w:p w14:paraId="20DB9C8A" w14:textId="77777777" w:rsidR="005738CE" w:rsidRPr="00D22BC4" w:rsidRDefault="001A4A6D" w:rsidP="00FE58EB">
            <w:pPr>
              <w:widowControl w:val="0"/>
              <w:tabs>
                <w:tab w:val="left" w:pos="1418"/>
                <w:tab w:val="center" w:pos="4252"/>
                <w:tab w:val="right" w:pos="8504"/>
              </w:tabs>
              <w:jc w:val="center"/>
              <w:rPr>
                <w:b/>
              </w:rPr>
            </w:pPr>
            <w:r w:rsidRPr="00D22BC4">
              <w:rPr>
                <w:b/>
              </w:rPr>
              <w:t>_______________________________</w:t>
            </w:r>
          </w:p>
          <w:p w14:paraId="2411145B" w14:textId="77777777" w:rsidR="005738CE" w:rsidRPr="00D22BC4" w:rsidRDefault="001A4A6D" w:rsidP="00FE58EB">
            <w:pPr>
              <w:widowControl w:val="0"/>
              <w:tabs>
                <w:tab w:val="center" w:pos="4252"/>
                <w:tab w:val="right" w:pos="8504"/>
              </w:tabs>
              <w:jc w:val="center"/>
              <w:rPr>
                <w:b/>
              </w:rPr>
            </w:pPr>
            <w:r w:rsidRPr="00D22BC4">
              <w:rPr>
                <w:b/>
              </w:rPr>
              <w:t>Por la delegación de Brasil</w:t>
            </w:r>
          </w:p>
          <w:p w14:paraId="3669A285" w14:textId="19605E66" w:rsidR="005738CE" w:rsidRPr="00D22BC4" w:rsidRDefault="00FE58EB" w:rsidP="00FE58EB">
            <w:pPr>
              <w:jc w:val="center"/>
              <w:rPr>
                <w:b/>
              </w:rPr>
            </w:pPr>
            <w:r w:rsidRPr="00E9581E">
              <w:t xml:space="preserve">Francisco </w:t>
            </w:r>
            <w:proofErr w:type="spellStart"/>
            <w:r w:rsidRPr="00E9581E">
              <w:t>Pessanha</w:t>
            </w:r>
            <w:proofErr w:type="spellEnd"/>
            <w:r w:rsidRPr="00E9581E">
              <w:t xml:space="preserve"> </w:t>
            </w:r>
            <w:proofErr w:type="spellStart"/>
            <w:r w:rsidRPr="00E9581E">
              <w:t>Cannabrava</w:t>
            </w:r>
            <w:proofErr w:type="spellEnd"/>
          </w:p>
        </w:tc>
      </w:tr>
      <w:tr w:rsidR="002B4897" w:rsidRPr="00D22BC4" w14:paraId="4E831007" w14:textId="77777777" w:rsidTr="006F494A">
        <w:trPr>
          <w:trHeight w:val="1506"/>
        </w:trPr>
        <w:tc>
          <w:tcPr>
            <w:tcW w:w="4337" w:type="dxa"/>
            <w:shd w:val="clear" w:color="auto" w:fill="auto"/>
          </w:tcPr>
          <w:p w14:paraId="1BBA6476" w14:textId="77777777" w:rsidR="00FE58EB" w:rsidRDefault="00FE58EB" w:rsidP="00FE58EB">
            <w:pPr>
              <w:widowControl w:val="0"/>
              <w:pBdr>
                <w:bottom w:val="single" w:sz="12" w:space="1" w:color="000000"/>
              </w:pBdr>
              <w:tabs>
                <w:tab w:val="left" w:pos="1418"/>
                <w:tab w:val="center" w:pos="4252"/>
                <w:tab w:val="right" w:pos="8504"/>
              </w:tabs>
              <w:jc w:val="center"/>
              <w:rPr>
                <w:b/>
              </w:rPr>
            </w:pPr>
          </w:p>
          <w:p w14:paraId="2EFF40E0" w14:textId="77777777" w:rsidR="00CE44D3" w:rsidRPr="00D22BC4" w:rsidRDefault="00CE44D3" w:rsidP="00FE58EB">
            <w:pPr>
              <w:widowControl w:val="0"/>
              <w:pBdr>
                <w:bottom w:val="single" w:sz="12" w:space="1" w:color="000000"/>
              </w:pBdr>
              <w:tabs>
                <w:tab w:val="left" w:pos="1418"/>
                <w:tab w:val="center" w:pos="4252"/>
                <w:tab w:val="right" w:pos="8504"/>
              </w:tabs>
              <w:jc w:val="center"/>
              <w:rPr>
                <w:b/>
              </w:rPr>
            </w:pPr>
          </w:p>
          <w:p w14:paraId="171FA402" w14:textId="77777777" w:rsidR="005738CE" w:rsidRPr="00D22BC4" w:rsidRDefault="005738CE" w:rsidP="00FE58EB">
            <w:pPr>
              <w:widowControl w:val="0"/>
              <w:pBdr>
                <w:bottom w:val="single" w:sz="12" w:space="1" w:color="000000"/>
              </w:pBdr>
              <w:tabs>
                <w:tab w:val="left" w:pos="1418"/>
                <w:tab w:val="center" w:pos="4252"/>
                <w:tab w:val="right" w:pos="8504"/>
              </w:tabs>
              <w:jc w:val="center"/>
              <w:rPr>
                <w:b/>
              </w:rPr>
            </w:pPr>
          </w:p>
          <w:p w14:paraId="33E3AA62" w14:textId="77777777" w:rsidR="005738CE" w:rsidRPr="00D22BC4" w:rsidRDefault="005738CE" w:rsidP="00FE58EB">
            <w:pPr>
              <w:widowControl w:val="0"/>
              <w:pBdr>
                <w:bottom w:val="single" w:sz="12" w:space="1" w:color="000000"/>
              </w:pBdr>
              <w:tabs>
                <w:tab w:val="left" w:pos="1418"/>
                <w:tab w:val="center" w:pos="4252"/>
                <w:tab w:val="right" w:pos="8504"/>
              </w:tabs>
              <w:jc w:val="center"/>
              <w:rPr>
                <w:b/>
              </w:rPr>
            </w:pPr>
          </w:p>
          <w:p w14:paraId="400C3A48" w14:textId="77777777" w:rsidR="005738CE" w:rsidRPr="00E9581E" w:rsidRDefault="001A4A6D" w:rsidP="00FE58EB">
            <w:pPr>
              <w:widowControl w:val="0"/>
              <w:tabs>
                <w:tab w:val="center" w:pos="4252"/>
                <w:tab w:val="right" w:pos="8504"/>
              </w:tabs>
              <w:jc w:val="center"/>
              <w:rPr>
                <w:b/>
              </w:rPr>
            </w:pPr>
            <w:r w:rsidRPr="00E9581E">
              <w:rPr>
                <w:b/>
              </w:rPr>
              <w:t>Por la delegación de Paraguay</w:t>
            </w:r>
          </w:p>
          <w:p w14:paraId="447BA1BF" w14:textId="211228D4" w:rsidR="00FE58EB" w:rsidRPr="00E9581E" w:rsidRDefault="00C70015" w:rsidP="00FE58EB">
            <w:pPr>
              <w:widowControl w:val="0"/>
              <w:tabs>
                <w:tab w:val="left" w:pos="1418"/>
                <w:tab w:val="center" w:pos="4252"/>
                <w:tab w:val="right" w:pos="8504"/>
              </w:tabs>
              <w:jc w:val="center"/>
            </w:pPr>
            <w:r w:rsidRPr="00E9581E">
              <w:t>Patricia Frutos Ruiz</w:t>
            </w:r>
            <w:r w:rsidR="00FE58EB" w:rsidRPr="00E9581E">
              <w:t xml:space="preserve"> </w:t>
            </w:r>
          </w:p>
          <w:p w14:paraId="65F7B624" w14:textId="77777777" w:rsidR="005738CE" w:rsidRDefault="005738CE" w:rsidP="00E9581E">
            <w:pPr>
              <w:widowControl w:val="0"/>
              <w:tabs>
                <w:tab w:val="left" w:pos="1418"/>
                <w:tab w:val="center" w:pos="4252"/>
                <w:tab w:val="right" w:pos="8504"/>
              </w:tabs>
              <w:jc w:val="center"/>
              <w:rPr>
                <w:b/>
              </w:rPr>
            </w:pPr>
          </w:p>
          <w:p w14:paraId="69F747E5" w14:textId="77777777" w:rsidR="00EA0D1F" w:rsidRDefault="00EA0D1F" w:rsidP="00EA0D1F">
            <w:pPr>
              <w:widowControl w:val="0"/>
              <w:pBdr>
                <w:bottom w:val="single" w:sz="12" w:space="1" w:color="000000"/>
              </w:pBdr>
              <w:tabs>
                <w:tab w:val="left" w:pos="1418"/>
                <w:tab w:val="center" w:pos="4252"/>
                <w:tab w:val="right" w:pos="8504"/>
              </w:tabs>
              <w:jc w:val="center"/>
              <w:rPr>
                <w:b/>
              </w:rPr>
            </w:pPr>
          </w:p>
          <w:p w14:paraId="77BC6BCE" w14:textId="77777777" w:rsidR="00CE44D3" w:rsidRDefault="00CE44D3" w:rsidP="00EA0D1F">
            <w:pPr>
              <w:widowControl w:val="0"/>
              <w:pBdr>
                <w:bottom w:val="single" w:sz="12" w:space="1" w:color="000000"/>
              </w:pBdr>
              <w:tabs>
                <w:tab w:val="left" w:pos="1418"/>
                <w:tab w:val="center" w:pos="4252"/>
                <w:tab w:val="right" w:pos="8504"/>
              </w:tabs>
              <w:jc w:val="center"/>
              <w:rPr>
                <w:b/>
              </w:rPr>
            </w:pPr>
          </w:p>
          <w:p w14:paraId="0A4BD61C" w14:textId="77777777" w:rsidR="006F494A" w:rsidRPr="00D22BC4" w:rsidRDefault="006F494A" w:rsidP="00EA0D1F">
            <w:pPr>
              <w:widowControl w:val="0"/>
              <w:pBdr>
                <w:bottom w:val="single" w:sz="12" w:space="1" w:color="000000"/>
              </w:pBdr>
              <w:tabs>
                <w:tab w:val="left" w:pos="1418"/>
                <w:tab w:val="center" w:pos="4252"/>
                <w:tab w:val="right" w:pos="8504"/>
              </w:tabs>
              <w:jc w:val="center"/>
              <w:rPr>
                <w:b/>
              </w:rPr>
            </w:pPr>
          </w:p>
          <w:p w14:paraId="4E8E0491" w14:textId="77777777" w:rsidR="00EA0D1F" w:rsidRPr="00E9581E" w:rsidRDefault="00EA0D1F" w:rsidP="00EA0D1F">
            <w:pPr>
              <w:widowControl w:val="0"/>
              <w:tabs>
                <w:tab w:val="left" w:pos="1418"/>
                <w:tab w:val="center" w:pos="4252"/>
                <w:tab w:val="right" w:pos="8504"/>
              </w:tabs>
              <w:jc w:val="center"/>
              <w:rPr>
                <w:b/>
              </w:rPr>
            </w:pPr>
            <w:r w:rsidRPr="00E9581E">
              <w:rPr>
                <w:b/>
              </w:rPr>
              <w:t>Por la delegación de Bolivia</w:t>
            </w:r>
          </w:p>
          <w:p w14:paraId="6478EF0B" w14:textId="3952097D" w:rsidR="00EA0D1F" w:rsidRPr="00E9581E" w:rsidRDefault="00EA0D1F" w:rsidP="00EA0D1F">
            <w:pPr>
              <w:widowControl w:val="0"/>
              <w:tabs>
                <w:tab w:val="left" w:pos="1418"/>
                <w:tab w:val="center" w:pos="4252"/>
                <w:tab w:val="right" w:pos="8504"/>
              </w:tabs>
              <w:jc w:val="center"/>
              <w:rPr>
                <w:b/>
              </w:rPr>
            </w:pPr>
            <w:r w:rsidRPr="00E9581E">
              <w:t>Delia Pinto Melgarejo</w:t>
            </w:r>
          </w:p>
        </w:tc>
        <w:tc>
          <w:tcPr>
            <w:tcW w:w="4594" w:type="dxa"/>
            <w:shd w:val="clear" w:color="auto" w:fill="auto"/>
          </w:tcPr>
          <w:p w14:paraId="12B48D4A" w14:textId="77777777" w:rsidR="005738CE" w:rsidRPr="00E9581E" w:rsidRDefault="005738CE" w:rsidP="00FE58EB">
            <w:pPr>
              <w:widowControl w:val="0"/>
              <w:pBdr>
                <w:bottom w:val="single" w:sz="12" w:space="1" w:color="000000"/>
              </w:pBdr>
              <w:tabs>
                <w:tab w:val="left" w:pos="1418"/>
                <w:tab w:val="center" w:pos="4252"/>
                <w:tab w:val="right" w:pos="8504"/>
              </w:tabs>
              <w:jc w:val="center"/>
              <w:rPr>
                <w:b/>
              </w:rPr>
            </w:pPr>
          </w:p>
          <w:p w14:paraId="00A075C3" w14:textId="77777777" w:rsidR="00706A0D" w:rsidRDefault="00706A0D" w:rsidP="00FE58EB">
            <w:pPr>
              <w:widowControl w:val="0"/>
              <w:pBdr>
                <w:bottom w:val="single" w:sz="12" w:space="1" w:color="000000"/>
              </w:pBdr>
              <w:tabs>
                <w:tab w:val="left" w:pos="1418"/>
                <w:tab w:val="center" w:pos="4252"/>
                <w:tab w:val="right" w:pos="8504"/>
              </w:tabs>
              <w:jc w:val="center"/>
              <w:rPr>
                <w:b/>
              </w:rPr>
            </w:pPr>
          </w:p>
          <w:p w14:paraId="1168ACDE" w14:textId="77777777" w:rsidR="00CE44D3" w:rsidRPr="00E9581E" w:rsidRDefault="00CE44D3" w:rsidP="00FE58EB">
            <w:pPr>
              <w:widowControl w:val="0"/>
              <w:pBdr>
                <w:bottom w:val="single" w:sz="12" w:space="1" w:color="000000"/>
              </w:pBdr>
              <w:tabs>
                <w:tab w:val="left" w:pos="1418"/>
                <w:tab w:val="center" w:pos="4252"/>
                <w:tab w:val="right" w:pos="8504"/>
              </w:tabs>
              <w:jc w:val="center"/>
              <w:rPr>
                <w:b/>
              </w:rPr>
            </w:pPr>
          </w:p>
          <w:p w14:paraId="339CFECA" w14:textId="77777777" w:rsidR="005738CE" w:rsidRPr="00E9581E" w:rsidRDefault="005738CE" w:rsidP="00FE58EB">
            <w:pPr>
              <w:widowControl w:val="0"/>
              <w:pBdr>
                <w:bottom w:val="single" w:sz="12" w:space="1" w:color="000000"/>
              </w:pBdr>
              <w:tabs>
                <w:tab w:val="left" w:pos="1418"/>
                <w:tab w:val="center" w:pos="4252"/>
                <w:tab w:val="right" w:pos="8504"/>
              </w:tabs>
              <w:jc w:val="center"/>
              <w:rPr>
                <w:b/>
              </w:rPr>
            </w:pPr>
          </w:p>
          <w:p w14:paraId="28E759FC" w14:textId="77777777" w:rsidR="005738CE" w:rsidRPr="00E9581E" w:rsidRDefault="001A4A6D" w:rsidP="00FE58EB">
            <w:pPr>
              <w:widowControl w:val="0"/>
              <w:tabs>
                <w:tab w:val="left" w:pos="1418"/>
                <w:tab w:val="center" w:pos="4252"/>
                <w:tab w:val="right" w:pos="8504"/>
              </w:tabs>
              <w:jc w:val="center"/>
              <w:rPr>
                <w:b/>
              </w:rPr>
            </w:pPr>
            <w:r w:rsidRPr="00E9581E">
              <w:rPr>
                <w:b/>
              </w:rPr>
              <w:t>Por la delegación de Uruguay</w:t>
            </w:r>
          </w:p>
          <w:p w14:paraId="48E5D971" w14:textId="50B50237" w:rsidR="00FE58EB" w:rsidRPr="00E9581E" w:rsidRDefault="00FE58EB" w:rsidP="00FE58EB">
            <w:pPr>
              <w:widowControl w:val="0"/>
              <w:tabs>
                <w:tab w:val="left" w:pos="1418"/>
                <w:tab w:val="center" w:pos="4252"/>
                <w:tab w:val="right" w:pos="8504"/>
              </w:tabs>
              <w:jc w:val="center"/>
            </w:pPr>
            <w:r w:rsidRPr="00E9581E">
              <w:t xml:space="preserve">Paola </w:t>
            </w:r>
            <w:proofErr w:type="spellStart"/>
            <w:r w:rsidRPr="00E9581E">
              <w:t>Repetto</w:t>
            </w:r>
            <w:proofErr w:type="spellEnd"/>
            <w:r w:rsidRPr="00E9581E">
              <w:t xml:space="preserve"> </w:t>
            </w:r>
          </w:p>
          <w:p w14:paraId="4E73E0C7" w14:textId="4B593F4F" w:rsidR="00E036FA" w:rsidRPr="00D22BC4" w:rsidRDefault="00E036FA" w:rsidP="00E9581E">
            <w:pPr>
              <w:widowControl w:val="0"/>
              <w:tabs>
                <w:tab w:val="left" w:pos="1418"/>
                <w:tab w:val="center" w:pos="4252"/>
                <w:tab w:val="right" w:pos="8504"/>
              </w:tabs>
              <w:jc w:val="center"/>
            </w:pPr>
          </w:p>
        </w:tc>
      </w:tr>
    </w:tbl>
    <w:p w14:paraId="08BBFF72" w14:textId="77777777" w:rsidR="00FE58EB" w:rsidRPr="00D22BC4" w:rsidRDefault="00FE58EB" w:rsidP="006F494A">
      <w:pPr>
        <w:widowControl w:val="0"/>
        <w:pBdr>
          <w:top w:val="nil"/>
          <w:left w:val="nil"/>
          <w:bottom w:val="nil"/>
          <w:right w:val="nil"/>
          <w:between w:val="nil"/>
        </w:pBdr>
        <w:tabs>
          <w:tab w:val="center" w:pos="4252"/>
          <w:tab w:val="right" w:pos="8504"/>
        </w:tabs>
        <w:jc w:val="both"/>
        <w:rPr>
          <w:color w:val="FF0000"/>
        </w:rPr>
      </w:pPr>
    </w:p>
    <w:sectPr w:rsidR="00FE58EB" w:rsidRPr="00D22BC4" w:rsidSect="00CE44D3">
      <w:headerReference w:type="even" r:id="rId9"/>
      <w:headerReference w:type="default" r:id="rId10"/>
      <w:footerReference w:type="default" r:id="rId11"/>
      <w:headerReference w:type="first" r:id="rId12"/>
      <w:footerReference w:type="first" r:id="rId13"/>
      <w:pgSz w:w="11907" w:h="16840"/>
      <w:pgMar w:top="1417" w:right="1701" w:bottom="1417" w:left="1701" w:header="680" w:footer="691"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C17D5" w14:textId="77777777" w:rsidR="00D65B58" w:rsidRPr="00741B26" w:rsidRDefault="00D65B58">
      <w:r w:rsidRPr="00741B26">
        <w:separator/>
      </w:r>
    </w:p>
  </w:endnote>
  <w:endnote w:type="continuationSeparator" w:id="0">
    <w:p w14:paraId="5B882902" w14:textId="77777777" w:rsidR="00D65B58" w:rsidRPr="00741B26" w:rsidRDefault="00D65B58">
      <w:r w:rsidRPr="00741B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Corsiva">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F5CB5" w14:textId="15CADF7B" w:rsidR="00975048" w:rsidRPr="00741B26" w:rsidRDefault="00975048">
    <w:pPr>
      <w:pBdr>
        <w:top w:val="nil"/>
        <w:left w:val="nil"/>
        <w:bottom w:val="nil"/>
        <w:right w:val="nil"/>
        <w:between w:val="nil"/>
      </w:pBdr>
      <w:tabs>
        <w:tab w:val="center" w:pos="4419"/>
        <w:tab w:val="right" w:pos="8838"/>
      </w:tabs>
      <w:jc w:val="right"/>
      <w:rPr>
        <w:color w:val="000000"/>
      </w:rPr>
    </w:pPr>
    <w:r w:rsidRPr="00741B26">
      <w:rPr>
        <w:color w:val="000000"/>
      </w:rPr>
      <w:fldChar w:fldCharType="begin"/>
    </w:r>
    <w:r w:rsidRPr="00741B26">
      <w:rPr>
        <w:color w:val="000000"/>
      </w:rPr>
      <w:instrText>PAGE</w:instrText>
    </w:r>
    <w:r w:rsidRPr="00741B26">
      <w:rPr>
        <w:color w:val="000000"/>
      </w:rPr>
      <w:fldChar w:fldCharType="separate"/>
    </w:r>
    <w:r w:rsidR="004B0A5E">
      <w:rPr>
        <w:noProof/>
        <w:color w:val="000000"/>
      </w:rPr>
      <w:t>19</w:t>
    </w:r>
    <w:r w:rsidRPr="00741B26">
      <w:rPr>
        <w:color w:val="000000"/>
      </w:rPr>
      <w:fldChar w:fldCharType="end"/>
    </w:r>
  </w:p>
  <w:p w14:paraId="536481D7" w14:textId="77777777" w:rsidR="00975048" w:rsidRPr="00741B26" w:rsidRDefault="0097504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F77DF" w14:textId="3ED1108B" w:rsidR="00975048" w:rsidRPr="00741B26" w:rsidRDefault="00975048" w:rsidP="00622225">
    <w:pPr>
      <w:pStyle w:val="Piedepgina"/>
      <w:jc w:val="center"/>
      <w:rPr>
        <w:b/>
        <w:i/>
        <w:sz w:val="16"/>
      </w:rPr>
    </w:pPr>
    <w:r w:rsidRPr="00741B26">
      <w:rPr>
        <w:b/>
        <w:i/>
        <w:sz w:val="16"/>
      </w:rPr>
      <w:t>Secretaría del MERCOSUR</w:t>
    </w:r>
  </w:p>
  <w:p w14:paraId="3C7672F7" w14:textId="77777777" w:rsidR="00975048" w:rsidRPr="00741B26" w:rsidRDefault="00975048" w:rsidP="00622225">
    <w:pPr>
      <w:pStyle w:val="Piedepgina"/>
      <w:jc w:val="center"/>
      <w:rPr>
        <w:b/>
        <w:sz w:val="16"/>
      </w:rPr>
    </w:pPr>
    <w:r w:rsidRPr="00741B26">
      <w:rPr>
        <w:b/>
        <w:sz w:val="16"/>
      </w:rPr>
      <w:t>Archivo Oficial</w:t>
    </w:r>
  </w:p>
  <w:p w14:paraId="2725361D" w14:textId="77777777" w:rsidR="00975048" w:rsidRPr="00741B26" w:rsidRDefault="00975048" w:rsidP="00622225">
    <w:pPr>
      <w:pStyle w:val="Piedepgina"/>
      <w:jc w:val="center"/>
      <w:rPr>
        <w:b/>
        <w:i/>
        <w:sz w:val="16"/>
      </w:rPr>
    </w:pPr>
    <w:r w:rsidRPr="00741B26">
      <w:rPr>
        <w:sz w:val="16"/>
      </w:rPr>
      <w:t>www.mercosur.int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D53588" w14:textId="77777777" w:rsidR="00D65B58" w:rsidRPr="00741B26" w:rsidRDefault="00D65B58">
      <w:r w:rsidRPr="00741B26">
        <w:separator/>
      </w:r>
    </w:p>
  </w:footnote>
  <w:footnote w:type="continuationSeparator" w:id="0">
    <w:p w14:paraId="67677D1D" w14:textId="77777777" w:rsidR="00D65B58" w:rsidRPr="00741B26" w:rsidRDefault="00D65B58">
      <w:r w:rsidRPr="00741B26">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9328C" w14:textId="77777777" w:rsidR="00975048" w:rsidRPr="00741B26" w:rsidRDefault="00975048">
    <w:pPr>
      <w:widowControl w:val="0"/>
      <w:pBdr>
        <w:top w:val="nil"/>
        <w:left w:val="nil"/>
        <w:bottom w:val="nil"/>
        <w:right w:val="nil"/>
        <w:between w:val="nil"/>
      </w:pBdr>
      <w:tabs>
        <w:tab w:val="center" w:pos="4252"/>
        <w:tab w:val="right" w:pos="8504"/>
      </w:tabs>
      <w:rPr>
        <w:color w:val="000000"/>
      </w:rPr>
    </w:pPr>
    <w:r w:rsidRPr="00741B26">
      <w:rPr>
        <w:noProof/>
        <w:color w:val="000000"/>
        <w:lang w:eastAsia="es-AR"/>
      </w:rPr>
      <w:drawing>
        <wp:anchor distT="0" distB="0" distL="0" distR="0" simplePos="0" relativeHeight="251656704" behindDoc="1" locked="0" layoutInCell="1" hidden="0" allowOverlap="1" wp14:anchorId="0FD22A74" wp14:editId="0CB36E53">
          <wp:simplePos x="0" y="0"/>
          <wp:positionH relativeFrom="margin">
            <wp:align>center</wp:align>
          </wp:positionH>
          <wp:positionV relativeFrom="margin">
            <wp:align>center</wp:align>
          </wp:positionV>
          <wp:extent cx="6498590" cy="3940175"/>
          <wp:effectExtent l="0" t="0" r="0" b="0"/>
          <wp:wrapNone/>
          <wp:docPr id="15067230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8590" cy="394017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6C24B" w14:textId="77777777" w:rsidR="00975048" w:rsidRPr="00741B26" w:rsidRDefault="00975048">
    <w:pPr>
      <w:widowControl w:val="0"/>
      <w:pBdr>
        <w:top w:val="nil"/>
        <w:left w:val="nil"/>
        <w:bottom w:val="nil"/>
        <w:right w:val="nil"/>
        <w:between w:val="nil"/>
      </w:pBdr>
      <w:tabs>
        <w:tab w:val="center" w:pos="4252"/>
        <w:tab w:val="right" w:pos="8504"/>
      </w:tabs>
      <w:jc w:val="right"/>
      <w:rPr>
        <w:color w:val="000000"/>
      </w:rPr>
    </w:pPr>
  </w:p>
  <w:p w14:paraId="39E89163" w14:textId="77777777" w:rsidR="00975048" w:rsidRPr="00741B26" w:rsidRDefault="00975048">
    <w:pPr>
      <w:widowControl w:val="0"/>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C518F" w14:textId="77777777" w:rsidR="00975048" w:rsidRPr="00741B26" w:rsidRDefault="00975048" w:rsidP="00622225">
    <w:pPr>
      <w:pStyle w:val="Encabezado"/>
      <w:rPr>
        <w:lang w:val="es-AR"/>
      </w:rPr>
    </w:pPr>
    <w:r w:rsidRPr="00741B26">
      <w:rPr>
        <w:noProof/>
        <w:lang w:val="es-AR" w:eastAsia="es-AR"/>
      </w:rPr>
      <w:drawing>
        <wp:anchor distT="0" distB="0" distL="114300" distR="114300" simplePos="0" relativeHeight="251657728" behindDoc="0" locked="0" layoutInCell="0" allowOverlap="1" wp14:anchorId="10C1EAD1" wp14:editId="4B18535F">
          <wp:simplePos x="0" y="0"/>
          <wp:positionH relativeFrom="margin">
            <wp:posOffset>4419600</wp:posOffset>
          </wp:positionH>
          <wp:positionV relativeFrom="margin">
            <wp:posOffset>-909955</wp:posOffset>
          </wp:positionV>
          <wp:extent cx="1186180" cy="748030"/>
          <wp:effectExtent l="0" t="0" r="0" b="0"/>
          <wp:wrapSquare wrapText="bothSides"/>
          <wp:docPr id="1710246562" name="Imagen 171024656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D65B58">
      <w:rPr>
        <w:lang w:val="es-AR"/>
      </w:rPr>
      <w:pict w14:anchorId="59AA9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2049" type="#_x0000_t75" alt="LogoMERCOSUR-Principal_45" style="position:absolute;margin-left:-22.1pt;margin-top:162.2pt;width:508.75pt;height:311pt;z-index:-251657728;mso-wrap-edited:f;mso-position-horizontal-relative:margin;mso-position-vertical-relative:margin" o:allowincell="f">
          <v:imagedata r:id="rId2" o:title="LogoMERCOSUR-Principal_45" gain="19661f" blacklevel="22938f"/>
          <w10:wrap anchorx="margin" anchory="margin"/>
        </v:shape>
      </w:pict>
    </w:r>
    <w:r w:rsidRPr="00741B26">
      <w:rPr>
        <w:noProof/>
        <w:lang w:val="es-AR" w:eastAsia="es-AR"/>
      </w:rPr>
      <w:drawing>
        <wp:inline distT="0" distB="0" distL="0" distR="0" wp14:anchorId="696ADCA4" wp14:editId="439F75E4">
          <wp:extent cx="1200150" cy="762000"/>
          <wp:effectExtent l="0" t="0" r="0" b="0"/>
          <wp:docPr id="1778285950" name="Imagen 177828595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18C37A00" w14:textId="75746CE0" w:rsidR="00975048" w:rsidRPr="00741B26" w:rsidRDefault="00975048">
    <w:pPr>
      <w:widowControl w:val="0"/>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081B"/>
    <w:multiLevelType w:val="multilevel"/>
    <w:tmpl w:val="00B8DC3E"/>
    <w:lvl w:ilvl="0">
      <w:start w:val="1"/>
      <w:numFmt w:val="decimal"/>
      <w:lvlText w:val="%1."/>
      <w:lvlJc w:val="left"/>
      <w:pPr>
        <w:ind w:left="142" w:hanging="360"/>
      </w:pPr>
      <w:rPr>
        <w:rFonts w:ascii="Arial" w:eastAsia="Arial" w:hAnsi="Arial" w:cs="Arial"/>
        <w:b/>
      </w:rPr>
    </w:lvl>
    <w:lvl w:ilvl="1">
      <w:start w:val="1"/>
      <w:numFmt w:val="decimal"/>
      <w:lvlText w:val="%1.%2."/>
      <w:lvlJc w:val="left"/>
      <w:pPr>
        <w:ind w:left="2199" w:hanging="432"/>
      </w:pPr>
      <w:rPr>
        <w:rFonts w:ascii="Arial" w:eastAsia="Arial" w:hAnsi="Arial" w:cs="Arial"/>
        <w:b/>
        <w:color w:val="auto"/>
      </w:rPr>
    </w:lvl>
    <w:lvl w:ilvl="2">
      <w:start w:val="1"/>
      <w:numFmt w:val="decimal"/>
      <w:lvlText w:val="%1.%2.%3."/>
      <w:lvlJc w:val="left"/>
      <w:pPr>
        <w:ind w:left="1421" w:hanging="504"/>
      </w:pPr>
      <w:rPr>
        <w:rFonts w:ascii="Arial" w:eastAsia="Arial" w:hAnsi="Arial" w:cs="Arial"/>
        <w:b/>
        <w:i w:val="0"/>
        <w:strike w:val="0"/>
        <w:color w:val="auto"/>
      </w:rPr>
    </w:lvl>
    <w:lvl w:ilvl="3">
      <w:start w:val="1"/>
      <w:numFmt w:val="decimal"/>
      <w:lvlText w:val="%1.%2.%3.%4."/>
      <w:lvlJc w:val="left"/>
      <w:pPr>
        <w:ind w:left="6809" w:hanging="647"/>
      </w:pPr>
      <w:rPr>
        <w:b/>
        <w:bCs/>
      </w:rPr>
    </w:lvl>
    <w:lvl w:ilvl="4">
      <w:start w:val="1"/>
      <w:numFmt w:val="decimal"/>
      <w:lvlText w:val="%1.%2.%3.%4.%5."/>
      <w:lvlJc w:val="left"/>
      <w:pPr>
        <w:ind w:left="2014" w:hanging="792"/>
      </w:pPr>
    </w:lvl>
    <w:lvl w:ilvl="5">
      <w:start w:val="1"/>
      <w:numFmt w:val="decimal"/>
      <w:lvlText w:val="%1.%2.%3.%4.%5.%6."/>
      <w:lvlJc w:val="left"/>
      <w:pPr>
        <w:ind w:left="2518" w:hanging="935"/>
      </w:pPr>
    </w:lvl>
    <w:lvl w:ilvl="6">
      <w:start w:val="1"/>
      <w:numFmt w:val="decimal"/>
      <w:lvlText w:val="%1.%2.%3.%4.%5.%6.%7."/>
      <w:lvlJc w:val="left"/>
      <w:pPr>
        <w:ind w:left="3022" w:hanging="1080"/>
      </w:pPr>
    </w:lvl>
    <w:lvl w:ilvl="7">
      <w:start w:val="1"/>
      <w:numFmt w:val="decimal"/>
      <w:lvlText w:val="%1.%2.%3.%4.%5.%6.%7.%8."/>
      <w:lvlJc w:val="left"/>
      <w:pPr>
        <w:ind w:left="3526" w:hanging="1224"/>
      </w:pPr>
    </w:lvl>
    <w:lvl w:ilvl="8">
      <w:start w:val="1"/>
      <w:numFmt w:val="decimal"/>
      <w:lvlText w:val="%1.%2.%3.%4.%5.%6.%7.%8.%9."/>
      <w:lvlJc w:val="left"/>
      <w:pPr>
        <w:ind w:left="4102" w:hanging="1440"/>
      </w:pPr>
    </w:lvl>
  </w:abstractNum>
  <w:abstractNum w:abstractNumId="1">
    <w:nsid w:val="02647816"/>
    <w:multiLevelType w:val="multilevel"/>
    <w:tmpl w:val="3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741C63"/>
    <w:multiLevelType w:val="multilevel"/>
    <w:tmpl w:val="4DF2B576"/>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00000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42B0641"/>
    <w:multiLevelType w:val="multilevel"/>
    <w:tmpl w:val="00B8DC3E"/>
    <w:lvl w:ilvl="0">
      <w:start w:val="1"/>
      <w:numFmt w:val="decimal"/>
      <w:lvlText w:val="%1."/>
      <w:lvlJc w:val="left"/>
      <w:pPr>
        <w:ind w:left="360" w:hanging="360"/>
      </w:pPr>
      <w:rPr>
        <w:rFonts w:ascii="Arial" w:eastAsia="Arial" w:hAnsi="Arial" w:cs="Arial"/>
        <w:b/>
      </w:rPr>
    </w:lvl>
    <w:lvl w:ilvl="1">
      <w:start w:val="1"/>
      <w:numFmt w:val="decimal"/>
      <w:lvlText w:val="%1.%2."/>
      <w:lvlJc w:val="left"/>
      <w:pPr>
        <w:ind w:left="2417" w:hanging="432"/>
      </w:pPr>
      <w:rPr>
        <w:rFonts w:ascii="Arial" w:eastAsia="Arial" w:hAnsi="Arial" w:cs="Arial"/>
        <w:b/>
        <w:color w:val="auto"/>
      </w:rPr>
    </w:lvl>
    <w:lvl w:ilvl="2">
      <w:start w:val="1"/>
      <w:numFmt w:val="decimal"/>
      <w:lvlText w:val="%1.%2.%3."/>
      <w:lvlJc w:val="left"/>
      <w:pPr>
        <w:ind w:left="1639" w:hanging="504"/>
      </w:pPr>
      <w:rPr>
        <w:rFonts w:ascii="Arial" w:eastAsia="Arial" w:hAnsi="Arial" w:cs="Arial"/>
        <w:b/>
        <w:i w:val="0"/>
        <w:strike w:val="0"/>
        <w:dstrike w:val="0"/>
        <w:color w:val="auto"/>
        <w:u w:val="none"/>
        <w:effect w:val="none"/>
      </w:rPr>
    </w:lvl>
    <w:lvl w:ilvl="3">
      <w:start w:val="1"/>
      <w:numFmt w:val="decimal"/>
      <w:lvlText w:val="%1.%2.%3.%4."/>
      <w:lvlJc w:val="left"/>
      <w:pPr>
        <w:ind w:left="7027" w:hanging="647"/>
      </w:pPr>
      <w:rPr>
        <w:b/>
        <w:bCs/>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57D29D0"/>
    <w:multiLevelType w:val="hybridMultilevel"/>
    <w:tmpl w:val="BE5AF9B0"/>
    <w:lvl w:ilvl="0" w:tplc="2AECE862">
      <w:start w:val="8"/>
      <w:numFmt w:val="decimal"/>
      <w:lvlText w:val="%1."/>
      <w:lvlJc w:val="left"/>
      <w:pPr>
        <w:ind w:left="786" w:hanging="360"/>
      </w:pPr>
      <w:rPr>
        <w:rFonts w:hint="default"/>
      </w:rPr>
    </w:lvl>
    <w:lvl w:ilvl="1" w:tplc="380A0019" w:tentative="1">
      <w:start w:val="1"/>
      <w:numFmt w:val="lowerLetter"/>
      <w:lvlText w:val="%2."/>
      <w:lvlJc w:val="left"/>
      <w:pPr>
        <w:ind w:left="1506" w:hanging="360"/>
      </w:pPr>
    </w:lvl>
    <w:lvl w:ilvl="2" w:tplc="380A001B" w:tentative="1">
      <w:start w:val="1"/>
      <w:numFmt w:val="lowerRoman"/>
      <w:lvlText w:val="%3."/>
      <w:lvlJc w:val="right"/>
      <w:pPr>
        <w:ind w:left="2226" w:hanging="180"/>
      </w:pPr>
    </w:lvl>
    <w:lvl w:ilvl="3" w:tplc="380A000F" w:tentative="1">
      <w:start w:val="1"/>
      <w:numFmt w:val="decimal"/>
      <w:lvlText w:val="%4."/>
      <w:lvlJc w:val="left"/>
      <w:pPr>
        <w:ind w:left="2946" w:hanging="360"/>
      </w:pPr>
    </w:lvl>
    <w:lvl w:ilvl="4" w:tplc="380A0019" w:tentative="1">
      <w:start w:val="1"/>
      <w:numFmt w:val="lowerLetter"/>
      <w:lvlText w:val="%5."/>
      <w:lvlJc w:val="left"/>
      <w:pPr>
        <w:ind w:left="3666" w:hanging="360"/>
      </w:pPr>
    </w:lvl>
    <w:lvl w:ilvl="5" w:tplc="380A001B" w:tentative="1">
      <w:start w:val="1"/>
      <w:numFmt w:val="lowerRoman"/>
      <w:lvlText w:val="%6."/>
      <w:lvlJc w:val="right"/>
      <w:pPr>
        <w:ind w:left="4386" w:hanging="180"/>
      </w:pPr>
    </w:lvl>
    <w:lvl w:ilvl="6" w:tplc="380A000F" w:tentative="1">
      <w:start w:val="1"/>
      <w:numFmt w:val="decimal"/>
      <w:lvlText w:val="%7."/>
      <w:lvlJc w:val="left"/>
      <w:pPr>
        <w:ind w:left="5106" w:hanging="360"/>
      </w:pPr>
    </w:lvl>
    <w:lvl w:ilvl="7" w:tplc="380A0019" w:tentative="1">
      <w:start w:val="1"/>
      <w:numFmt w:val="lowerLetter"/>
      <w:lvlText w:val="%8."/>
      <w:lvlJc w:val="left"/>
      <w:pPr>
        <w:ind w:left="5826" w:hanging="360"/>
      </w:pPr>
    </w:lvl>
    <w:lvl w:ilvl="8" w:tplc="380A001B" w:tentative="1">
      <w:start w:val="1"/>
      <w:numFmt w:val="lowerRoman"/>
      <w:lvlText w:val="%9."/>
      <w:lvlJc w:val="right"/>
      <w:pPr>
        <w:ind w:left="6546" w:hanging="180"/>
      </w:pPr>
    </w:lvl>
  </w:abstractNum>
  <w:abstractNum w:abstractNumId="5">
    <w:nsid w:val="09221F11"/>
    <w:multiLevelType w:val="hybridMultilevel"/>
    <w:tmpl w:val="84D8D97E"/>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nsid w:val="0C996FE8"/>
    <w:multiLevelType w:val="hybridMultilevel"/>
    <w:tmpl w:val="7F60FD7E"/>
    <w:lvl w:ilvl="0" w:tplc="42E241A4">
      <w:start w:val="7"/>
      <w:numFmt w:val="bullet"/>
      <w:lvlText w:val="-"/>
      <w:lvlJc w:val="left"/>
      <w:pPr>
        <w:ind w:left="720" w:hanging="360"/>
      </w:pPr>
      <w:rPr>
        <w:rFonts w:ascii="Arial" w:eastAsia="Arial"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7">
    <w:nsid w:val="0D812CF8"/>
    <w:multiLevelType w:val="hybridMultilevel"/>
    <w:tmpl w:val="4ED25B18"/>
    <w:lvl w:ilvl="0" w:tplc="DDD6E2B8">
      <w:start w:val="3"/>
      <w:numFmt w:val="bullet"/>
      <w:lvlText w:val="-"/>
      <w:lvlJc w:val="left"/>
      <w:pPr>
        <w:ind w:left="720" w:hanging="360"/>
      </w:pPr>
      <w:rPr>
        <w:rFonts w:ascii="Arial" w:eastAsia="Cambria"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8">
    <w:nsid w:val="101E03DE"/>
    <w:multiLevelType w:val="multilevel"/>
    <w:tmpl w:val="61321302"/>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strike w:val="0"/>
        <w:color w:val="auto"/>
      </w:rPr>
    </w:lvl>
    <w:lvl w:ilvl="3">
      <w:start w:val="1"/>
      <w:numFmt w:val="decimal"/>
      <w:lvlText w:val="%1.%2.%3.%4."/>
      <w:lvlJc w:val="left"/>
      <w:pPr>
        <w:ind w:left="7027" w:hanging="647"/>
      </w:pPr>
      <w:rPr>
        <w:b/>
        <w:bCs/>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068270D"/>
    <w:multiLevelType w:val="hybridMultilevel"/>
    <w:tmpl w:val="3F749E1E"/>
    <w:lvl w:ilvl="0" w:tplc="53FAFBF2">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0">
    <w:nsid w:val="163F34CB"/>
    <w:multiLevelType w:val="multilevel"/>
    <w:tmpl w:val="4DF2B576"/>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00000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6E1778E"/>
    <w:multiLevelType w:val="multilevel"/>
    <w:tmpl w:val="B9604A86"/>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i w:val="0"/>
        <w:strike w:val="0"/>
        <w:color w:val="auto"/>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75B25EF"/>
    <w:multiLevelType w:val="multilevel"/>
    <w:tmpl w:val="380A001F"/>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i w:val="0"/>
        <w:strike w:val="0"/>
        <w:color w:val="auto"/>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8331E3D"/>
    <w:multiLevelType w:val="multilevel"/>
    <w:tmpl w:val="99C6EC2E"/>
    <w:lvl w:ilvl="0">
      <w:start w:val="9"/>
      <w:numFmt w:val="decimal"/>
      <w:lvlText w:val="%1."/>
      <w:lvlJc w:val="left"/>
      <w:pPr>
        <w:ind w:left="400" w:hanging="400"/>
      </w:pPr>
      <w:rPr>
        <w:rFonts w:ascii="Arial" w:eastAsia="Arial" w:hAnsi="Arial" w:cs="Arial"/>
      </w:rPr>
    </w:lvl>
    <w:lvl w:ilvl="1">
      <w:start w:val="1"/>
      <w:numFmt w:val="decimal"/>
      <w:lvlText w:val="%1.%2."/>
      <w:lvlJc w:val="left"/>
      <w:pPr>
        <w:ind w:left="1080" w:hanging="7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4">
    <w:nsid w:val="1FA23A75"/>
    <w:multiLevelType w:val="multilevel"/>
    <w:tmpl w:val="CBFAD6AC"/>
    <w:lvl w:ilvl="0">
      <w:start w:val="10"/>
      <w:numFmt w:val="decimal"/>
      <w:lvlText w:val="%1."/>
      <w:lvlJc w:val="left"/>
      <w:pPr>
        <w:ind w:left="525" w:hanging="52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nsid w:val="31F24B83"/>
    <w:multiLevelType w:val="hybridMultilevel"/>
    <w:tmpl w:val="5DB439D8"/>
    <w:lvl w:ilvl="0" w:tplc="380A000F">
      <w:start w:val="1"/>
      <w:numFmt w:val="decimal"/>
      <w:lvlText w:val="%1."/>
      <w:lvlJc w:val="left"/>
      <w:pPr>
        <w:ind w:left="720" w:hanging="360"/>
      </w:pPr>
      <w:rPr>
        <w:rFonts w:hint="default"/>
      </w:r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6">
    <w:nsid w:val="37F74BC2"/>
    <w:multiLevelType w:val="hybridMultilevel"/>
    <w:tmpl w:val="E34C9C0A"/>
    <w:lvl w:ilvl="0" w:tplc="4CCA501E">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7">
    <w:nsid w:val="39133D37"/>
    <w:multiLevelType w:val="hybridMultilevel"/>
    <w:tmpl w:val="632274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3D937AAC"/>
    <w:multiLevelType w:val="multilevel"/>
    <w:tmpl w:val="22FC94F4"/>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auto"/>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F130615"/>
    <w:multiLevelType w:val="multilevel"/>
    <w:tmpl w:val="BA8AB78E"/>
    <w:lvl w:ilvl="0">
      <w:start w:val="2"/>
      <w:numFmt w:val="decimal"/>
      <w:lvlText w:val="%1."/>
      <w:lvlJc w:val="left"/>
      <w:pPr>
        <w:ind w:left="450" w:hanging="450"/>
      </w:pPr>
    </w:lvl>
    <w:lvl w:ilvl="1">
      <w:start w:val="1"/>
      <w:numFmt w:val="decimal"/>
      <w:lvlText w:val="%1.%2."/>
      <w:lvlJc w:val="left"/>
      <w:pPr>
        <w:ind w:left="862" w:hanging="720"/>
      </w:pPr>
    </w:lvl>
    <w:lvl w:ilvl="2">
      <w:start w:val="1"/>
      <w:numFmt w:val="decimal"/>
      <w:lvlText w:val="%1.%2.%3."/>
      <w:lvlJc w:val="left"/>
      <w:pPr>
        <w:ind w:left="1004" w:hanging="720"/>
      </w:pPr>
    </w:lvl>
    <w:lvl w:ilvl="3">
      <w:start w:val="1"/>
      <w:numFmt w:val="decimal"/>
      <w:lvlText w:val="%1.%2.%3.%4."/>
      <w:lvlJc w:val="left"/>
      <w:pPr>
        <w:ind w:left="1506" w:hanging="1080"/>
      </w:pPr>
    </w:lvl>
    <w:lvl w:ilvl="4">
      <w:start w:val="1"/>
      <w:numFmt w:val="decimal"/>
      <w:lvlText w:val="%1.%2.%3.%4.%5."/>
      <w:lvlJc w:val="left"/>
      <w:pPr>
        <w:ind w:left="1648" w:hanging="1080"/>
      </w:pPr>
    </w:lvl>
    <w:lvl w:ilvl="5">
      <w:start w:val="1"/>
      <w:numFmt w:val="decimal"/>
      <w:lvlText w:val="%1.%2.%3.%4.%5.%6."/>
      <w:lvlJc w:val="left"/>
      <w:pPr>
        <w:ind w:left="2150" w:hanging="1440"/>
      </w:pPr>
    </w:lvl>
    <w:lvl w:ilvl="6">
      <w:start w:val="1"/>
      <w:numFmt w:val="decimal"/>
      <w:lvlText w:val="%1.%2.%3.%4.%5.%6.%7."/>
      <w:lvlJc w:val="left"/>
      <w:pPr>
        <w:ind w:left="2652" w:hanging="1800"/>
      </w:pPr>
    </w:lvl>
    <w:lvl w:ilvl="7">
      <w:start w:val="1"/>
      <w:numFmt w:val="decimal"/>
      <w:lvlText w:val="%1.%2.%3.%4.%5.%6.%7.%8."/>
      <w:lvlJc w:val="left"/>
      <w:pPr>
        <w:ind w:left="2794" w:hanging="1800"/>
      </w:pPr>
    </w:lvl>
    <w:lvl w:ilvl="8">
      <w:start w:val="1"/>
      <w:numFmt w:val="decimal"/>
      <w:lvlText w:val="%1.%2.%3.%4.%5.%6.%7.%8.%9."/>
      <w:lvlJc w:val="left"/>
      <w:pPr>
        <w:ind w:left="3296" w:hanging="2160"/>
      </w:pPr>
    </w:lvl>
  </w:abstractNum>
  <w:abstractNum w:abstractNumId="20">
    <w:nsid w:val="470B40EC"/>
    <w:multiLevelType w:val="hybridMultilevel"/>
    <w:tmpl w:val="13669BD6"/>
    <w:lvl w:ilvl="0" w:tplc="C4520842">
      <w:numFmt w:val="bullet"/>
      <w:lvlText w:val="-"/>
      <w:lvlJc w:val="left"/>
      <w:pPr>
        <w:ind w:left="720" w:hanging="360"/>
      </w:pPr>
      <w:rPr>
        <w:rFonts w:ascii="Arial" w:eastAsia="Arial" w:hAnsi="Arial" w:cs="Arial" w:hint="default"/>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1">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379"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207132F"/>
    <w:multiLevelType w:val="multilevel"/>
    <w:tmpl w:val="380A001F"/>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i w:val="0"/>
        <w:strike w:val="0"/>
        <w:color w:val="auto"/>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38B545E"/>
    <w:multiLevelType w:val="multilevel"/>
    <w:tmpl w:val="380A001F"/>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i w:val="0"/>
        <w:strike w:val="0"/>
        <w:color w:val="auto"/>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3A10A8E"/>
    <w:multiLevelType w:val="multilevel"/>
    <w:tmpl w:val="18643908"/>
    <w:lvl w:ilvl="0">
      <w:start w:val="7"/>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A8C6CFE"/>
    <w:multiLevelType w:val="multilevel"/>
    <w:tmpl w:val="F75E5726"/>
    <w:lvl w:ilvl="0">
      <w:start w:val="2"/>
      <w:numFmt w:val="decimal"/>
      <w:lvlText w:val="%1."/>
      <w:lvlJc w:val="left"/>
      <w:pPr>
        <w:ind w:left="390" w:hanging="390"/>
      </w:pPr>
      <w:rPr>
        <w:rFonts w:hint="default"/>
        <w:b/>
      </w:rPr>
    </w:lvl>
    <w:lvl w:ilvl="1">
      <w:start w:val="1"/>
      <w:numFmt w:val="decimal"/>
      <w:lvlText w:val="%1.%2."/>
      <w:lvlJc w:val="left"/>
      <w:rPr>
        <w:rFonts w:hint="default"/>
        <w:b/>
        <w:color w:val="auto"/>
        <w:lang w:val="es-ES"/>
      </w:rPr>
    </w:lvl>
    <w:lvl w:ilvl="2">
      <w:start w:val="1"/>
      <w:numFmt w:val="decimal"/>
      <w:lvlText w:val="%1.%2.%3."/>
      <w:lvlJc w:val="left"/>
      <w:pPr>
        <w:ind w:left="1004"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5DC47B16"/>
    <w:multiLevelType w:val="hybridMultilevel"/>
    <w:tmpl w:val="748ECFC0"/>
    <w:lvl w:ilvl="0" w:tplc="5C2EB550">
      <w:start w:val="9"/>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7">
    <w:nsid w:val="5DF411CE"/>
    <w:multiLevelType w:val="hybridMultilevel"/>
    <w:tmpl w:val="FE3E229E"/>
    <w:lvl w:ilvl="0" w:tplc="59EADF8A">
      <w:start w:val="1"/>
      <w:numFmt w:val="bullet"/>
      <w:lvlText w:val="-"/>
      <w:lvlJc w:val="left"/>
      <w:pPr>
        <w:ind w:left="720" w:hanging="360"/>
      </w:pPr>
      <w:rPr>
        <w:rFonts w:ascii="Arial" w:eastAsia="Times New Roman" w:hAnsi="Arial" w:cs="Arial" w:hint="default"/>
        <w:color w:val="auto"/>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8">
    <w:nsid w:val="5F894EBB"/>
    <w:multiLevelType w:val="multilevel"/>
    <w:tmpl w:val="22FC94F4"/>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auto"/>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FBF78B5"/>
    <w:multiLevelType w:val="multilevel"/>
    <w:tmpl w:val="604CCD34"/>
    <w:lvl w:ilvl="0">
      <w:start w:val="9"/>
      <w:numFmt w:val="decimal"/>
      <w:lvlText w:val="%1."/>
      <w:lvlJc w:val="left"/>
      <w:pPr>
        <w:ind w:left="400" w:hanging="400"/>
      </w:pPr>
      <w:rPr>
        <w:rFonts w:ascii="Arial" w:hAnsi="Arial" w:cs="Arial" w:hint="default"/>
      </w:rPr>
    </w:lvl>
    <w:lvl w:ilvl="1">
      <w:start w:val="1"/>
      <w:numFmt w:val="decimal"/>
      <w:lvlText w:val="%1.%2."/>
      <w:lvlJc w:val="left"/>
      <w:pPr>
        <w:ind w:left="1080" w:hanging="720"/>
      </w:pPr>
      <w:rPr>
        <w:b/>
        <w:bCs/>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0">
    <w:nsid w:val="61CD4F31"/>
    <w:multiLevelType w:val="multilevel"/>
    <w:tmpl w:val="811A6376"/>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1">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32">
    <w:nsid w:val="647A76C7"/>
    <w:multiLevelType w:val="hybridMultilevel"/>
    <w:tmpl w:val="1362F8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88928C4"/>
    <w:multiLevelType w:val="multilevel"/>
    <w:tmpl w:val="00B8DC3E"/>
    <w:lvl w:ilvl="0">
      <w:start w:val="1"/>
      <w:numFmt w:val="decimal"/>
      <w:lvlText w:val="%1."/>
      <w:lvlJc w:val="left"/>
      <w:pPr>
        <w:ind w:left="360" w:hanging="360"/>
      </w:pPr>
      <w:rPr>
        <w:rFonts w:ascii="Arial" w:eastAsia="Arial" w:hAnsi="Arial" w:cs="Arial"/>
        <w:b/>
      </w:rPr>
    </w:lvl>
    <w:lvl w:ilvl="1">
      <w:start w:val="1"/>
      <w:numFmt w:val="decimal"/>
      <w:lvlText w:val="%1.%2."/>
      <w:lvlJc w:val="left"/>
      <w:pPr>
        <w:ind w:left="2417" w:hanging="432"/>
      </w:pPr>
      <w:rPr>
        <w:rFonts w:ascii="Arial" w:eastAsia="Arial" w:hAnsi="Arial" w:cs="Arial"/>
        <w:b/>
        <w:color w:val="auto"/>
      </w:rPr>
    </w:lvl>
    <w:lvl w:ilvl="2">
      <w:start w:val="1"/>
      <w:numFmt w:val="decimal"/>
      <w:lvlText w:val="%1.%2.%3."/>
      <w:lvlJc w:val="left"/>
      <w:pPr>
        <w:ind w:left="1639" w:hanging="504"/>
      </w:pPr>
      <w:rPr>
        <w:rFonts w:ascii="Arial" w:eastAsia="Arial" w:hAnsi="Arial" w:cs="Arial"/>
        <w:b/>
        <w:i w:val="0"/>
        <w:strike w:val="0"/>
        <w:color w:val="auto"/>
      </w:rPr>
    </w:lvl>
    <w:lvl w:ilvl="3">
      <w:start w:val="1"/>
      <w:numFmt w:val="decimal"/>
      <w:lvlText w:val="%1.%2.%3.%4."/>
      <w:lvlJc w:val="left"/>
      <w:pPr>
        <w:ind w:left="7027" w:hanging="647"/>
      </w:pPr>
      <w:rPr>
        <w:b/>
        <w:bCs/>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CCE5E96"/>
    <w:multiLevelType w:val="hybridMultilevel"/>
    <w:tmpl w:val="4DFE5DAA"/>
    <w:lvl w:ilvl="0" w:tplc="C40A3F1A">
      <w:start w:val="20"/>
      <w:numFmt w:val="lowerRoman"/>
      <w:lvlText w:val="%1."/>
      <w:lvlJc w:val="left"/>
      <w:pPr>
        <w:ind w:left="799" w:hanging="720"/>
      </w:pPr>
      <w:rPr>
        <w:rFonts w:hint="default"/>
        <w:color w:val="FF0000"/>
      </w:rPr>
    </w:lvl>
    <w:lvl w:ilvl="1" w:tplc="380A0019" w:tentative="1">
      <w:start w:val="1"/>
      <w:numFmt w:val="lowerLetter"/>
      <w:lvlText w:val="%2."/>
      <w:lvlJc w:val="left"/>
      <w:pPr>
        <w:ind w:left="1159" w:hanging="360"/>
      </w:pPr>
    </w:lvl>
    <w:lvl w:ilvl="2" w:tplc="380A001B" w:tentative="1">
      <w:start w:val="1"/>
      <w:numFmt w:val="lowerRoman"/>
      <w:lvlText w:val="%3."/>
      <w:lvlJc w:val="right"/>
      <w:pPr>
        <w:ind w:left="1879" w:hanging="180"/>
      </w:pPr>
    </w:lvl>
    <w:lvl w:ilvl="3" w:tplc="380A000F" w:tentative="1">
      <w:start w:val="1"/>
      <w:numFmt w:val="decimal"/>
      <w:lvlText w:val="%4."/>
      <w:lvlJc w:val="left"/>
      <w:pPr>
        <w:ind w:left="2599" w:hanging="360"/>
      </w:pPr>
    </w:lvl>
    <w:lvl w:ilvl="4" w:tplc="380A0019" w:tentative="1">
      <w:start w:val="1"/>
      <w:numFmt w:val="lowerLetter"/>
      <w:lvlText w:val="%5."/>
      <w:lvlJc w:val="left"/>
      <w:pPr>
        <w:ind w:left="3319" w:hanging="360"/>
      </w:pPr>
    </w:lvl>
    <w:lvl w:ilvl="5" w:tplc="380A001B" w:tentative="1">
      <w:start w:val="1"/>
      <w:numFmt w:val="lowerRoman"/>
      <w:lvlText w:val="%6."/>
      <w:lvlJc w:val="right"/>
      <w:pPr>
        <w:ind w:left="4039" w:hanging="180"/>
      </w:pPr>
    </w:lvl>
    <w:lvl w:ilvl="6" w:tplc="380A000F" w:tentative="1">
      <w:start w:val="1"/>
      <w:numFmt w:val="decimal"/>
      <w:lvlText w:val="%7."/>
      <w:lvlJc w:val="left"/>
      <w:pPr>
        <w:ind w:left="4759" w:hanging="360"/>
      </w:pPr>
    </w:lvl>
    <w:lvl w:ilvl="7" w:tplc="380A0019" w:tentative="1">
      <w:start w:val="1"/>
      <w:numFmt w:val="lowerLetter"/>
      <w:lvlText w:val="%8."/>
      <w:lvlJc w:val="left"/>
      <w:pPr>
        <w:ind w:left="5479" w:hanging="360"/>
      </w:pPr>
    </w:lvl>
    <w:lvl w:ilvl="8" w:tplc="380A001B" w:tentative="1">
      <w:start w:val="1"/>
      <w:numFmt w:val="lowerRoman"/>
      <w:lvlText w:val="%9."/>
      <w:lvlJc w:val="right"/>
      <w:pPr>
        <w:ind w:left="6199" w:hanging="180"/>
      </w:pPr>
    </w:lvl>
  </w:abstractNum>
  <w:abstractNum w:abstractNumId="35">
    <w:nsid w:val="76CA71CF"/>
    <w:multiLevelType w:val="hybridMultilevel"/>
    <w:tmpl w:val="DAB02FBC"/>
    <w:lvl w:ilvl="0" w:tplc="AE4E51EA">
      <w:numFmt w:val="bullet"/>
      <w:lvlText w:val="-"/>
      <w:lvlJc w:val="left"/>
      <w:pPr>
        <w:ind w:left="927" w:hanging="360"/>
      </w:pPr>
      <w:rPr>
        <w:rFonts w:ascii="Helv" w:eastAsiaTheme="minorHAnsi" w:hAnsi="Helv" w:cs="Helv" w:hint="default"/>
        <w:b w:val="0"/>
        <w:sz w:val="18"/>
        <w:szCs w:val="20"/>
      </w:rPr>
    </w:lvl>
    <w:lvl w:ilvl="1" w:tplc="380A0003" w:tentative="1">
      <w:start w:val="1"/>
      <w:numFmt w:val="bullet"/>
      <w:lvlText w:val="o"/>
      <w:lvlJc w:val="left"/>
      <w:pPr>
        <w:ind w:left="1647" w:hanging="360"/>
      </w:pPr>
      <w:rPr>
        <w:rFonts w:ascii="Courier New" w:hAnsi="Courier New" w:cs="Courier New" w:hint="default"/>
      </w:rPr>
    </w:lvl>
    <w:lvl w:ilvl="2" w:tplc="380A0005" w:tentative="1">
      <w:start w:val="1"/>
      <w:numFmt w:val="bullet"/>
      <w:lvlText w:val=""/>
      <w:lvlJc w:val="left"/>
      <w:pPr>
        <w:ind w:left="2367" w:hanging="360"/>
      </w:pPr>
      <w:rPr>
        <w:rFonts w:ascii="Wingdings" w:hAnsi="Wingdings" w:hint="default"/>
      </w:rPr>
    </w:lvl>
    <w:lvl w:ilvl="3" w:tplc="380A0001" w:tentative="1">
      <w:start w:val="1"/>
      <w:numFmt w:val="bullet"/>
      <w:lvlText w:val=""/>
      <w:lvlJc w:val="left"/>
      <w:pPr>
        <w:ind w:left="3087" w:hanging="360"/>
      </w:pPr>
      <w:rPr>
        <w:rFonts w:ascii="Symbol" w:hAnsi="Symbol" w:hint="default"/>
      </w:rPr>
    </w:lvl>
    <w:lvl w:ilvl="4" w:tplc="380A0003" w:tentative="1">
      <w:start w:val="1"/>
      <w:numFmt w:val="bullet"/>
      <w:lvlText w:val="o"/>
      <w:lvlJc w:val="left"/>
      <w:pPr>
        <w:ind w:left="3807" w:hanging="360"/>
      </w:pPr>
      <w:rPr>
        <w:rFonts w:ascii="Courier New" w:hAnsi="Courier New" w:cs="Courier New" w:hint="default"/>
      </w:rPr>
    </w:lvl>
    <w:lvl w:ilvl="5" w:tplc="380A0005" w:tentative="1">
      <w:start w:val="1"/>
      <w:numFmt w:val="bullet"/>
      <w:lvlText w:val=""/>
      <w:lvlJc w:val="left"/>
      <w:pPr>
        <w:ind w:left="4527" w:hanging="360"/>
      </w:pPr>
      <w:rPr>
        <w:rFonts w:ascii="Wingdings" w:hAnsi="Wingdings" w:hint="default"/>
      </w:rPr>
    </w:lvl>
    <w:lvl w:ilvl="6" w:tplc="380A0001" w:tentative="1">
      <w:start w:val="1"/>
      <w:numFmt w:val="bullet"/>
      <w:lvlText w:val=""/>
      <w:lvlJc w:val="left"/>
      <w:pPr>
        <w:ind w:left="5247" w:hanging="360"/>
      </w:pPr>
      <w:rPr>
        <w:rFonts w:ascii="Symbol" w:hAnsi="Symbol" w:hint="default"/>
      </w:rPr>
    </w:lvl>
    <w:lvl w:ilvl="7" w:tplc="380A0003" w:tentative="1">
      <w:start w:val="1"/>
      <w:numFmt w:val="bullet"/>
      <w:lvlText w:val="o"/>
      <w:lvlJc w:val="left"/>
      <w:pPr>
        <w:ind w:left="5967" w:hanging="360"/>
      </w:pPr>
      <w:rPr>
        <w:rFonts w:ascii="Courier New" w:hAnsi="Courier New" w:cs="Courier New" w:hint="default"/>
      </w:rPr>
    </w:lvl>
    <w:lvl w:ilvl="8" w:tplc="380A0005" w:tentative="1">
      <w:start w:val="1"/>
      <w:numFmt w:val="bullet"/>
      <w:lvlText w:val=""/>
      <w:lvlJc w:val="left"/>
      <w:pPr>
        <w:ind w:left="6687" w:hanging="360"/>
      </w:pPr>
      <w:rPr>
        <w:rFonts w:ascii="Wingdings" w:hAnsi="Wingdings" w:hint="default"/>
      </w:rPr>
    </w:lvl>
  </w:abstractNum>
  <w:abstractNum w:abstractNumId="36">
    <w:nsid w:val="7B3D2916"/>
    <w:multiLevelType w:val="hybridMultilevel"/>
    <w:tmpl w:val="C3505BD4"/>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14"/>
  </w:num>
  <w:num w:numId="4">
    <w:abstractNumId w:val="6"/>
  </w:num>
  <w:num w:numId="5">
    <w:abstractNumId w:val="27"/>
  </w:num>
  <w:num w:numId="6">
    <w:abstractNumId w:val="2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0"/>
  </w:num>
  <w:num w:numId="9">
    <w:abstractNumId w:val="2"/>
  </w:num>
  <w:num w:numId="10">
    <w:abstractNumId w:val="28"/>
  </w:num>
  <w:num w:numId="11">
    <w:abstractNumId w:val="18"/>
  </w:num>
  <w:num w:numId="12">
    <w:abstractNumId w:val="25"/>
  </w:num>
  <w:num w:numId="13">
    <w:abstractNumId w:val="16"/>
  </w:num>
  <w:num w:numId="14">
    <w:abstractNumId w:val="16"/>
  </w:num>
  <w:num w:numId="15">
    <w:abstractNumId w:val="20"/>
  </w:num>
  <w:num w:numId="16">
    <w:abstractNumId w:val="31"/>
  </w:num>
  <w:num w:numId="17">
    <w:abstractNumId w:val="15"/>
  </w:num>
  <w:num w:numId="18">
    <w:abstractNumId w:val="30"/>
  </w:num>
  <w:num w:numId="19">
    <w:abstractNumId w:val="36"/>
  </w:num>
  <w:num w:numId="20">
    <w:abstractNumId w:val="8"/>
  </w:num>
  <w:num w:numId="21">
    <w:abstractNumId w:val="7"/>
  </w:num>
  <w:num w:numId="22">
    <w:abstractNumId w:val="0"/>
  </w:num>
  <w:num w:numId="23">
    <w:abstractNumId w:val="5"/>
  </w:num>
  <w:num w:numId="24">
    <w:abstractNumId w:val="35"/>
  </w:num>
  <w:num w:numId="25">
    <w:abstractNumId w:val="24"/>
  </w:num>
  <w:num w:numId="26">
    <w:abstractNumId w:val="9"/>
  </w:num>
  <w:num w:numId="27">
    <w:abstractNumId w:val="33"/>
  </w:num>
  <w:num w:numId="28">
    <w:abstractNumId w:val="1"/>
  </w:num>
  <w:num w:numId="29">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12"/>
  </w:num>
  <w:num w:numId="32">
    <w:abstractNumId w:val="23"/>
  </w:num>
  <w:num w:numId="33">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32"/>
  </w:num>
  <w:num w:numId="37">
    <w:abstractNumId w:val="34"/>
  </w:num>
  <w:num w:numId="38">
    <w:abstractNumId w:val="4"/>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8CE"/>
    <w:rsid w:val="0000227D"/>
    <w:rsid w:val="000029E9"/>
    <w:rsid w:val="00004899"/>
    <w:rsid w:val="00004D88"/>
    <w:rsid w:val="00005054"/>
    <w:rsid w:val="000105E1"/>
    <w:rsid w:val="000107A5"/>
    <w:rsid w:val="00012FD4"/>
    <w:rsid w:val="00013E05"/>
    <w:rsid w:val="00013FC2"/>
    <w:rsid w:val="0001448B"/>
    <w:rsid w:val="00014AAC"/>
    <w:rsid w:val="000202CC"/>
    <w:rsid w:val="000205F9"/>
    <w:rsid w:val="00022134"/>
    <w:rsid w:val="00022BA3"/>
    <w:rsid w:val="00024A31"/>
    <w:rsid w:val="0002560E"/>
    <w:rsid w:val="0003321B"/>
    <w:rsid w:val="00034E41"/>
    <w:rsid w:val="00035F01"/>
    <w:rsid w:val="0003635A"/>
    <w:rsid w:val="00036D1B"/>
    <w:rsid w:val="00037524"/>
    <w:rsid w:val="00037C35"/>
    <w:rsid w:val="00037D82"/>
    <w:rsid w:val="0004068E"/>
    <w:rsid w:val="00041489"/>
    <w:rsid w:val="00041B49"/>
    <w:rsid w:val="00042E18"/>
    <w:rsid w:val="0004415F"/>
    <w:rsid w:val="00045760"/>
    <w:rsid w:val="00045B99"/>
    <w:rsid w:val="00046AC8"/>
    <w:rsid w:val="00047C18"/>
    <w:rsid w:val="00050C5E"/>
    <w:rsid w:val="000511A3"/>
    <w:rsid w:val="00051BD3"/>
    <w:rsid w:val="000522AB"/>
    <w:rsid w:val="00054309"/>
    <w:rsid w:val="00055109"/>
    <w:rsid w:val="000609D8"/>
    <w:rsid w:val="000612FE"/>
    <w:rsid w:val="00061D6F"/>
    <w:rsid w:val="00061E12"/>
    <w:rsid w:val="000627F4"/>
    <w:rsid w:val="00063260"/>
    <w:rsid w:val="00063EF3"/>
    <w:rsid w:val="0006449E"/>
    <w:rsid w:val="00064CE7"/>
    <w:rsid w:val="000663D8"/>
    <w:rsid w:val="00067173"/>
    <w:rsid w:val="00067978"/>
    <w:rsid w:val="0007127D"/>
    <w:rsid w:val="0007333B"/>
    <w:rsid w:val="000734C0"/>
    <w:rsid w:val="0008176F"/>
    <w:rsid w:val="00084AF5"/>
    <w:rsid w:val="00085059"/>
    <w:rsid w:val="000854C7"/>
    <w:rsid w:val="00086D57"/>
    <w:rsid w:val="00090422"/>
    <w:rsid w:val="00090492"/>
    <w:rsid w:val="00091244"/>
    <w:rsid w:val="00091441"/>
    <w:rsid w:val="000944B1"/>
    <w:rsid w:val="00095F5C"/>
    <w:rsid w:val="00096E8A"/>
    <w:rsid w:val="000A087D"/>
    <w:rsid w:val="000A0ACF"/>
    <w:rsid w:val="000A2741"/>
    <w:rsid w:val="000A4F9A"/>
    <w:rsid w:val="000A57AF"/>
    <w:rsid w:val="000A63F1"/>
    <w:rsid w:val="000B07AB"/>
    <w:rsid w:val="000B113A"/>
    <w:rsid w:val="000B5DDF"/>
    <w:rsid w:val="000C3636"/>
    <w:rsid w:val="000C4B50"/>
    <w:rsid w:val="000C54E6"/>
    <w:rsid w:val="000D0315"/>
    <w:rsid w:val="000D1D0D"/>
    <w:rsid w:val="000D4274"/>
    <w:rsid w:val="000D63B4"/>
    <w:rsid w:val="000D77B9"/>
    <w:rsid w:val="000E0D5A"/>
    <w:rsid w:val="000E676A"/>
    <w:rsid w:val="000F0D9A"/>
    <w:rsid w:val="000F1C23"/>
    <w:rsid w:val="000F211E"/>
    <w:rsid w:val="000F283B"/>
    <w:rsid w:val="00105EBB"/>
    <w:rsid w:val="001119ED"/>
    <w:rsid w:val="00114ADB"/>
    <w:rsid w:val="00114B8E"/>
    <w:rsid w:val="00116CBC"/>
    <w:rsid w:val="00116F23"/>
    <w:rsid w:val="00117B10"/>
    <w:rsid w:val="00120F26"/>
    <w:rsid w:val="00126C9E"/>
    <w:rsid w:val="001315BF"/>
    <w:rsid w:val="00134B1C"/>
    <w:rsid w:val="00134F0E"/>
    <w:rsid w:val="00135706"/>
    <w:rsid w:val="00135F51"/>
    <w:rsid w:val="0013638F"/>
    <w:rsid w:val="001367E1"/>
    <w:rsid w:val="0014064D"/>
    <w:rsid w:val="0014093E"/>
    <w:rsid w:val="00144930"/>
    <w:rsid w:val="00144D5F"/>
    <w:rsid w:val="001457C6"/>
    <w:rsid w:val="00147C6E"/>
    <w:rsid w:val="00150514"/>
    <w:rsid w:val="00151C6D"/>
    <w:rsid w:val="00152F8F"/>
    <w:rsid w:val="001565CF"/>
    <w:rsid w:val="00156F36"/>
    <w:rsid w:val="00163346"/>
    <w:rsid w:val="001639A4"/>
    <w:rsid w:val="00163A94"/>
    <w:rsid w:val="00165D55"/>
    <w:rsid w:val="0016616E"/>
    <w:rsid w:val="00171F19"/>
    <w:rsid w:val="001726FB"/>
    <w:rsid w:val="0017299C"/>
    <w:rsid w:val="00173E81"/>
    <w:rsid w:val="001753A3"/>
    <w:rsid w:val="001813C9"/>
    <w:rsid w:val="00181B77"/>
    <w:rsid w:val="00184542"/>
    <w:rsid w:val="00185729"/>
    <w:rsid w:val="00186598"/>
    <w:rsid w:val="00187D6E"/>
    <w:rsid w:val="00191841"/>
    <w:rsid w:val="00192EF1"/>
    <w:rsid w:val="0019637B"/>
    <w:rsid w:val="001965BB"/>
    <w:rsid w:val="001A075F"/>
    <w:rsid w:val="001A115E"/>
    <w:rsid w:val="001A1BF4"/>
    <w:rsid w:val="001A1F12"/>
    <w:rsid w:val="001A4A6D"/>
    <w:rsid w:val="001A5417"/>
    <w:rsid w:val="001A5C80"/>
    <w:rsid w:val="001A5F04"/>
    <w:rsid w:val="001A6B61"/>
    <w:rsid w:val="001A730E"/>
    <w:rsid w:val="001B25F6"/>
    <w:rsid w:val="001B4DA6"/>
    <w:rsid w:val="001C0579"/>
    <w:rsid w:val="001C09D0"/>
    <w:rsid w:val="001C140D"/>
    <w:rsid w:val="001C152C"/>
    <w:rsid w:val="001C2396"/>
    <w:rsid w:val="001C7D11"/>
    <w:rsid w:val="001D14F8"/>
    <w:rsid w:val="001D1FF0"/>
    <w:rsid w:val="001D5E24"/>
    <w:rsid w:val="001D66E5"/>
    <w:rsid w:val="001D6FD6"/>
    <w:rsid w:val="001E153D"/>
    <w:rsid w:val="001E2C8F"/>
    <w:rsid w:val="001E472E"/>
    <w:rsid w:val="001E6D9B"/>
    <w:rsid w:val="001E72A9"/>
    <w:rsid w:val="001E7A89"/>
    <w:rsid w:val="001F099F"/>
    <w:rsid w:val="001F1689"/>
    <w:rsid w:val="001F2A7A"/>
    <w:rsid w:val="001F3637"/>
    <w:rsid w:val="001F3C9E"/>
    <w:rsid w:val="001F62EB"/>
    <w:rsid w:val="001F63A4"/>
    <w:rsid w:val="001F6BD5"/>
    <w:rsid w:val="00201A8E"/>
    <w:rsid w:val="00201C45"/>
    <w:rsid w:val="00204B0A"/>
    <w:rsid w:val="0020522B"/>
    <w:rsid w:val="0020622A"/>
    <w:rsid w:val="00212E34"/>
    <w:rsid w:val="00214122"/>
    <w:rsid w:val="00215035"/>
    <w:rsid w:val="00217516"/>
    <w:rsid w:val="00217F62"/>
    <w:rsid w:val="002205BB"/>
    <w:rsid w:val="00222682"/>
    <w:rsid w:val="002230D8"/>
    <w:rsid w:val="00223622"/>
    <w:rsid w:val="002247D7"/>
    <w:rsid w:val="00226D11"/>
    <w:rsid w:val="00227EB0"/>
    <w:rsid w:val="00231646"/>
    <w:rsid w:val="00232362"/>
    <w:rsid w:val="002341F0"/>
    <w:rsid w:val="00234D8E"/>
    <w:rsid w:val="00237FCC"/>
    <w:rsid w:val="00240C6D"/>
    <w:rsid w:val="002411C3"/>
    <w:rsid w:val="00242901"/>
    <w:rsid w:val="00245FC3"/>
    <w:rsid w:val="00247736"/>
    <w:rsid w:val="00250764"/>
    <w:rsid w:val="00251843"/>
    <w:rsid w:val="00252018"/>
    <w:rsid w:val="00253CD0"/>
    <w:rsid w:val="0025419C"/>
    <w:rsid w:val="002568E6"/>
    <w:rsid w:val="00257018"/>
    <w:rsid w:val="002606C1"/>
    <w:rsid w:val="002646CD"/>
    <w:rsid w:val="0026608F"/>
    <w:rsid w:val="00267C1A"/>
    <w:rsid w:val="0027000B"/>
    <w:rsid w:val="002701D1"/>
    <w:rsid w:val="00274F26"/>
    <w:rsid w:val="00274F5C"/>
    <w:rsid w:val="002750BC"/>
    <w:rsid w:val="00277674"/>
    <w:rsid w:val="00277DFA"/>
    <w:rsid w:val="00282609"/>
    <w:rsid w:val="002835C8"/>
    <w:rsid w:val="00286F37"/>
    <w:rsid w:val="00287A10"/>
    <w:rsid w:val="00291AA4"/>
    <w:rsid w:val="002925AF"/>
    <w:rsid w:val="0029407A"/>
    <w:rsid w:val="00295859"/>
    <w:rsid w:val="00296359"/>
    <w:rsid w:val="00296C5E"/>
    <w:rsid w:val="002971FD"/>
    <w:rsid w:val="00297DA2"/>
    <w:rsid w:val="002A06BC"/>
    <w:rsid w:val="002A1781"/>
    <w:rsid w:val="002A1B40"/>
    <w:rsid w:val="002A1F6C"/>
    <w:rsid w:val="002A6287"/>
    <w:rsid w:val="002A6395"/>
    <w:rsid w:val="002B05DC"/>
    <w:rsid w:val="002B24CC"/>
    <w:rsid w:val="002B4897"/>
    <w:rsid w:val="002B5DD4"/>
    <w:rsid w:val="002C06F0"/>
    <w:rsid w:val="002C1002"/>
    <w:rsid w:val="002C15A3"/>
    <w:rsid w:val="002C1DE9"/>
    <w:rsid w:val="002C1EA4"/>
    <w:rsid w:val="002C416D"/>
    <w:rsid w:val="002C44B1"/>
    <w:rsid w:val="002C508A"/>
    <w:rsid w:val="002C75AE"/>
    <w:rsid w:val="002C7D2B"/>
    <w:rsid w:val="002D2800"/>
    <w:rsid w:val="002D34BF"/>
    <w:rsid w:val="002E11F6"/>
    <w:rsid w:val="002E1F22"/>
    <w:rsid w:val="002E1FB8"/>
    <w:rsid w:val="002E50F8"/>
    <w:rsid w:val="002E62F7"/>
    <w:rsid w:val="002E78D2"/>
    <w:rsid w:val="002F08F5"/>
    <w:rsid w:val="002F0DC1"/>
    <w:rsid w:val="002F26C7"/>
    <w:rsid w:val="002F29C2"/>
    <w:rsid w:val="002F41D3"/>
    <w:rsid w:val="002F41E0"/>
    <w:rsid w:val="002F4404"/>
    <w:rsid w:val="002F73D9"/>
    <w:rsid w:val="00303AA1"/>
    <w:rsid w:val="00304187"/>
    <w:rsid w:val="0030426E"/>
    <w:rsid w:val="00304641"/>
    <w:rsid w:val="00306EDE"/>
    <w:rsid w:val="003073D1"/>
    <w:rsid w:val="0030758F"/>
    <w:rsid w:val="00307E71"/>
    <w:rsid w:val="0031483A"/>
    <w:rsid w:val="00314F8E"/>
    <w:rsid w:val="00315A4D"/>
    <w:rsid w:val="00322501"/>
    <w:rsid w:val="003227E5"/>
    <w:rsid w:val="00323894"/>
    <w:rsid w:val="00323AD4"/>
    <w:rsid w:val="00325801"/>
    <w:rsid w:val="00327495"/>
    <w:rsid w:val="00331FF4"/>
    <w:rsid w:val="00332FFA"/>
    <w:rsid w:val="0033384E"/>
    <w:rsid w:val="003347FC"/>
    <w:rsid w:val="00336C9C"/>
    <w:rsid w:val="003422FF"/>
    <w:rsid w:val="00343549"/>
    <w:rsid w:val="00345C07"/>
    <w:rsid w:val="00350811"/>
    <w:rsid w:val="00350925"/>
    <w:rsid w:val="0035148D"/>
    <w:rsid w:val="00352FFB"/>
    <w:rsid w:val="0035303E"/>
    <w:rsid w:val="003530A0"/>
    <w:rsid w:val="003539E7"/>
    <w:rsid w:val="00354465"/>
    <w:rsid w:val="00357BB0"/>
    <w:rsid w:val="00361E86"/>
    <w:rsid w:val="003625CB"/>
    <w:rsid w:val="00363F3A"/>
    <w:rsid w:val="00366A7D"/>
    <w:rsid w:val="00366AB7"/>
    <w:rsid w:val="00366E28"/>
    <w:rsid w:val="00367A47"/>
    <w:rsid w:val="0037017E"/>
    <w:rsid w:val="003737B7"/>
    <w:rsid w:val="00375646"/>
    <w:rsid w:val="003773F1"/>
    <w:rsid w:val="003819D2"/>
    <w:rsid w:val="00383216"/>
    <w:rsid w:val="00384871"/>
    <w:rsid w:val="00386FA0"/>
    <w:rsid w:val="0039013B"/>
    <w:rsid w:val="003901A8"/>
    <w:rsid w:val="00392D9A"/>
    <w:rsid w:val="003949A2"/>
    <w:rsid w:val="00397B21"/>
    <w:rsid w:val="00397BC9"/>
    <w:rsid w:val="00397C0A"/>
    <w:rsid w:val="003A0F48"/>
    <w:rsid w:val="003A3908"/>
    <w:rsid w:val="003A49B1"/>
    <w:rsid w:val="003A54E9"/>
    <w:rsid w:val="003A556B"/>
    <w:rsid w:val="003A5846"/>
    <w:rsid w:val="003A587B"/>
    <w:rsid w:val="003B1E3C"/>
    <w:rsid w:val="003B1E85"/>
    <w:rsid w:val="003B5166"/>
    <w:rsid w:val="003B7869"/>
    <w:rsid w:val="003C0F85"/>
    <w:rsid w:val="003C1B3B"/>
    <w:rsid w:val="003C2474"/>
    <w:rsid w:val="003C5AB7"/>
    <w:rsid w:val="003C6767"/>
    <w:rsid w:val="003D4E36"/>
    <w:rsid w:val="003D60A3"/>
    <w:rsid w:val="003D6D36"/>
    <w:rsid w:val="003E3813"/>
    <w:rsid w:val="003E3AE4"/>
    <w:rsid w:val="003E3E1F"/>
    <w:rsid w:val="003E412B"/>
    <w:rsid w:val="003E4AD2"/>
    <w:rsid w:val="003E535E"/>
    <w:rsid w:val="003E71FB"/>
    <w:rsid w:val="003F0C90"/>
    <w:rsid w:val="003F1216"/>
    <w:rsid w:val="003F1521"/>
    <w:rsid w:val="003F269E"/>
    <w:rsid w:val="003F3F9B"/>
    <w:rsid w:val="003F4967"/>
    <w:rsid w:val="003F4B81"/>
    <w:rsid w:val="003F5B7B"/>
    <w:rsid w:val="0040005D"/>
    <w:rsid w:val="00400DB5"/>
    <w:rsid w:val="00401480"/>
    <w:rsid w:val="00402A29"/>
    <w:rsid w:val="004066CF"/>
    <w:rsid w:val="00407919"/>
    <w:rsid w:val="00412C9C"/>
    <w:rsid w:val="0041501B"/>
    <w:rsid w:val="004152C4"/>
    <w:rsid w:val="00415DB7"/>
    <w:rsid w:val="004172F0"/>
    <w:rsid w:val="0041784A"/>
    <w:rsid w:val="00420BD2"/>
    <w:rsid w:val="0042519B"/>
    <w:rsid w:val="00425250"/>
    <w:rsid w:val="00426D06"/>
    <w:rsid w:val="00427D92"/>
    <w:rsid w:val="00431DD0"/>
    <w:rsid w:val="00432731"/>
    <w:rsid w:val="0043421C"/>
    <w:rsid w:val="00434BD4"/>
    <w:rsid w:val="00435361"/>
    <w:rsid w:val="00436F47"/>
    <w:rsid w:val="0043711B"/>
    <w:rsid w:val="00437A50"/>
    <w:rsid w:val="00440489"/>
    <w:rsid w:val="00440534"/>
    <w:rsid w:val="0044772F"/>
    <w:rsid w:val="0045346E"/>
    <w:rsid w:val="004536AA"/>
    <w:rsid w:val="0045503D"/>
    <w:rsid w:val="0045569D"/>
    <w:rsid w:val="00455EF0"/>
    <w:rsid w:val="00456FA0"/>
    <w:rsid w:val="004573C3"/>
    <w:rsid w:val="00457BA8"/>
    <w:rsid w:val="004633A8"/>
    <w:rsid w:val="00463D39"/>
    <w:rsid w:val="00464EEA"/>
    <w:rsid w:val="00467D56"/>
    <w:rsid w:val="00470F22"/>
    <w:rsid w:val="0047334E"/>
    <w:rsid w:val="00474051"/>
    <w:rsid w:val="00474487"/>
    <w:rsid w:val="004752CC"/>
    <w:rsid w:val="00476522"/>
    <w:rsid w:val="004779A7"/>
    <w:rsid w:val="004815A4"/>
    <w:rsid w:val="00484560"/>
    <w:rsid w:val="00484AAB"/>
    <w:rsid w:val="00486968"/>
    <w:rsid w:val="00487CDF"/>
    <w:rsid w:val="00491153"/>
    <w:rsid w:val="004948EB"/>
    <w:rsid w:val="004A1A49"/>
    <w:rsid w:val="004A464C"/>
    <w:rsid w:val="004A4737"/>
    <w:rsid w:val="004A5162"/>
    <w:rsid w:val="004A5D33"/>
    <w:rsid w:val="004B08E2"/>
    <w:rsid w:val="004B0A5E"/>
    <w:rsid w:val="004B27A5"/>
    <w:rsid w:val="004B2A14"/>
    <w:rsid w:val="004B2D45"/>
    <w:rsid w:val="004B3B2F"/>
    <w:rsid w:val="004B5FD7"/>
    <w:rsid w:val="004B7835"/>
    <w:rsid w:val="004C0239"/>
    <w:rsid w:val="004C0555"/>
    <w:rsid w:val="004C06B0"/>
    <w:rsid w:val="004C2224"/>
    <w:rsid w:val="004C2600"/>
    <w:rsid w:val="004C299E"/>
    <w:rsid w:val="004C352D"/>
    <w:rsid w:val="004C3F02"/>
    <w:rsid w:val="004C5BE8"/>
    <w:rsid w:val="004D42C5"/>
    <w:rsid w:val="004D4320"/>
    <w:rsid w:val="004D54BD"/>
    <w:rsid w:val="004D7733"/>
    <w:rsid w:val="004D7D79"/>
    <w:rsid w:val="004D7E2C"/>
    <w:rsid w:val="004E021E"/>
    <w:rsid w:val="004E1E48"/>
    <w:rsid w:val="004E3B0A"/>
    <w:rsid w:val="004E4CE6"/>
    <w:rsid w:val="004E5894"/>
    <w:rsid w:val="004F04E8"/>
    <w:rsid w:val="004F1452"/>
    <w:rsid w:val="004F18B6"/>
    <w:rsid w:val="004F3314"/>
    <w:rsid w:val="004F33BE"/>
    <w:rsid w:val="004F364E"/>
    <w:rsid w:val="004F3B32"/>
    <w:rsid w:val="004F49FD"/>
    <w:rsid w:val="004F51F4"/>
    <w:rsid w:val="004F55A7"/>
    <w:rsid w:val="004F6B73"/>
    <w:rsid w:val="005016ED"/>
    <w:rsid w:val="00502545"/>
    <w:rsid w:val="00506148"/>
    <w:rsid w:val="00507542"/>
    <w:rsid w:val="005100B5"/>
    <w:rsid w:val="00511E6D"/>
    <w:rsid w:val="00512F27"/>
    <w:rsid w:val="005144BD"/>
    <w:rsid w:val="0051617A"/>
    <w:rsid w:val="00516F8B"/>
    <w:rsid w:val="00520206"/>
    <w:rsid w:val="00522360"/>
    <w:rsid w:val="0052291E"/>
    <w:rsid w:val="00522E2A"/>
    <w:rsid w:val="005277C6"/>
    <w:rsid w:val="0053156F"/>
    <w:rsid w:val="0053279A"/>
    <w:rsid w:val="00532B1B"/>
    <w:rsid w:val="00533DDB"/>
    <w:rsid w:val="00534334"/>
    <w:rsid w:val="00534B36"/>
    <w:rsid w:val="0053704E"/>
    <w:rsid w:val="00540576"/>
    <w:rsid w:val="00540A6E"/>
    <w:rsid w:val="00541A1B"/>
    <w:rsid w:val="00547700"/>
    <w:rsid w:val="0054777F"/>
    <w:rsid w:val="00550100"/>
    <w:rsid w:val="00552732"/>
    <w:rsid w:val="00557591"/>
    <w:rsid w:val="005576CF"/>
    <w:rsid w:val="00561BBA"/>
    <w:rsid w:val="005624A9"/>
    <w:rsid w:val="005678F8"/>
    <w:rsid w:val="00567C42"/>
    <w:rsid w:val="00570083"/>
    <w:rsid w:val="005738CE"/>
    <w:rsid w:val="00573EFC"/>
    <w:rsid w:val="0057540F"/>
    <w:rsid w:val="005803BE"/>
    <w:rsid w:val="00580DFD"/>
    <w:rsid w:val="005811B5"/>
    <w:rsid w:val="0058188D"/>
    <w:rsid w:val="005832DF"/>
    <w:rsid w:val="00583423"/>
    <w:rsid w:val="00583482"/>
    <w:rsid w:val="00584D66"/>
    <w:rsid w:val="00585D72"/>
    <w:rsid w:val="00586975"/>
    <w:rsid w:val="00587651"/>
    <w:rsid w:val="00587E86"/>
    <w:rsid w:val="00590341"/>
    <w:rsid w:val="00591A0F"/>
    <w:rsid w:val="005945FD"/>
    <w:rsid w:val="00595444"/>
    <w:rsid w:val="00595AE6"/>
    <w:rsid w:val="0059660E"/>
    <w:rsid w:val="005A19AA"/>
    <w:rsid w:val="005A1FD0"/>
    <w:rsid w:val="005A2066"/>
    <w:rsid w:val="005A2D9C"/>
    <w:rsid w:val="005A4B5F"/>
    <w:rsid w:val="005A6844"/>
    <w:rsid w:val="005B2A4A"/>
    <w:rsid w:val="005B371D"/>
    <w:rsid w:val="005B4B86"/>
    <w:rsid w:val="005B5DF5"/>
    <w:rsid w:val="005C1FCB"/>
    <w:rsid w:val="005C25E0"/>
    <w:rsid w:val="005C36EF"/>
    <w:rsid w:val="005C4061"/>
    <w:rsid w:val="005C435A"/>
    <w:rsid w:val="005C578A"/>
    <w:rsid w:val="005D031E"/>
    <w:rsid w:val="005D1E25"/>
    <w:rsid w:val="005D343A"/>
    <w:rsid w:val="005D46D5"/>
    <w:rsid w:val="005D5460"/>
    <w:rsid w:val="005D680B"/>
    <w:rsid w:val="005E08A1"/>
    <w:rsid w:val="005E0A47"/>
    <w:rsid w:val="005E2868"/>
    <w:rsid w:val="005E3A82"/>
    <w:rsid w:val="005E4620"/>
    <w:rsid w:val="005F053A"/>
    <w:rsid w:val="005F18D0"/>
    <w:rsid w:val="005F30B7"/>
    <w:rsid w:val="005F5653"/>
    <w:rsid w:val="005F5BCC"/>
    <w:rsid w:val="005F61CC"/>
    <w:rsid w:val="005F6AAF"/>
    <w:rsid w:val="005F6BE1"/>
    <w:rsid w:val="005F76A8"/>
    <w:rsid w:val="006021C6"/>
    <w:rsid w:val="006025C7"/>
    <w:rsid w:val="00603DF2"/>
    <w:rsid w:val="00603F96"/>
    <w:rsid w:val="00604C78"/>
    <w:rsid w:val="00606AEE"/>
    <w:rsid w:val="00607FCE"/>
    <w:rsid w:val="00610DE1"/>
    <w:rsid w:val="00616666"/>
    <w:rsid w:val="0062007B"/>
    <w:rsid w:val="00622225"/>
    <w:rsid w:val="0062509B"/>
    <w:rsid w:val="00625AA8"/>
    <w:rsid w:val="00625D60"/>
    <w:rsid w:val="0062609B"/>
    <w:rsid w:val="006278E0"/>
    <w:rsid w:val="00627D5C"/>
    <w:rsid w:val="00632FFF"/>
    <w:rsid w:val="00633E33"/>
    <w:rsid w:val="006429E2"/>
    <w:rsid w:val="00642E3A"/>
    <w:rsid w:val="00646053"/>
    <w:rsid w:val="00646B2E"/>
    <w:rsid w:val="00650296"/>
    <w:rsid w:val="006508F3"/>
    <w:rsid w:val="00650974"/>
    <w:rsid w:val="00650B23"/>
    <w:rsid w:val="00650D47"/>
    <w:rsid w:val="006522DC"/>
    <w:rsid w:val="00652D9A"/>
    <w:rsid w:val="00656108"/>
    <w:rsid w:val="0066010F"/>
    <w:rsid w:val="006608D1"/>
    <w:rsid w:val="00662DE4"/>
    <w:rsid w:val="00663036"/>
    <w:rsid w:val="0066379F"/>
    <w:rsid w:val="006651E5"/>
    <w:rsid w:val="00666910"/>
    <w:rsid w:val="006669B3"/>
    <w:rsid w:val="006713DC"/>
    <w:rsid w:val="0067201B"/>
    <w:rsid w:val="00674AA7"/>
    <w:rsid w:val="00676735"/>
    <w:rsid w:val="006819E5"/>
    <w:rsid w:val="00683B29"/>
    <w:rsid w:val="00684D32"/>
    <w:rsid w:val="006853FB"/>
    <w:rsid w:val="0068604F"/>
    <w:rsid w:val="00690FDD"/>
    <w:rsid w:val="006912A6"/>
    <w:rsid w:val="00691A96"/>
    <w:rsid w:val="00692F9A"/>
    <w:rsid w:val="0069619A"/>
    <w:rsid w:val="0069696F"/>
    <w:rsid w:val="006A0B3B"/>
    <w:rsid w:val="006A2F46"/>
    <w:rsid w:val="006A7633"/>
    <w:rsid w:val="006A7690"/>
    <w:rsid w:val="006B23DD"/>
    <w:rsid w:val="006B5B57"/>
    <w:rsid w:val="006B7825"/>
    <w:rsid w:val="006B7CE0"/>
    <w:rsid w:val="006C0D74"/>
    <w:rsid w:val="006C0EB6"/>
    <w:rsid w:val="006C26C6"/>
    <w:rsid w:val="006C5279"/>
    <w:rsid w:val="006C7024"/>
    <w:rsid w:val="006D03AA"/>
    <w:rsid w:val="006D60B4"/>
    <w:rsid w:val="006D6103"/>
    <w:rsid w:val="006D66B8"/>
    <w:rsid w:val="006D6B59"/>
    <w:rsid w:val="006E0023"/>
    <w:rsid w:val="006E15F6"/>
    <w:rsid w:val="006E4075"/>
    <w:rsid w:val="006E65B3"/>
    <w:rsid w:val="006F0914"/>
    <w:rsid w:val="006F0D6E"/>
    <w:rsid w:val="006F24B5"/>
    <w:rsid w:val="006F2B42"/>
    <w:rsid w:val="006F494A"/>
    <w:rsid w:val="006F5378"/>
    <w:rsid w:val="00700F09"/>
    <w:rsid w:val="00703472"/>
    <w:rsid w:val="0070663B"/>
    <w:rsid w:val="00706A0D"/>
    <w:rsid w:val="00714566"/>
    <w:rsid w:val="00715BAB"/>
    <w:rsid w:val="00715C68"/>
    <w:rsid w:val="007171D8"/>
    <w:rsid w:val="007174E5"/>
    <w:rsid w:val="00720CA1"/>
    <w:rsid w:val="00722B32"/>
    <w:rsid w:val="00722B45"/>
    <w:rsid w:val="00724695"/>
    <w:rsid w:val="00724D72"/>
    <w:rsid w:val="00725210"/>
    <w:rsid w:val="00727643"/>
    <w:rsid w:val="007276D0"/>
    <w:rsid w:val="007302C2"/>
    <w:rsid w:val="00733512"/>
    <w:rsid w:val="007356BD"/>
    <w:rsid w:val="00736879"/>
    <w:rsid w:val="0073797E"/>
    <w:rsid w:val="00737F2A"/>
    <w:rsid w:val="00741682"/>
    <w:rsid w:val="00741B26"/>
    <w:rsid w:val="00741C87"/>
    <w:rsid w:val="00743AD7"/>
    <w:rsid w:val="00744CF5"/>
    <w:rsid w:val="0075619C"/>
    <w:rsid w:val="0075637F"/>
    <w:rsid w:val="00760B7C"/>
    <w:rsid w:val="0076125C"/>
    <w:rsid w:val="007613C5"/>
    <w:rsid w:val="00762CD7"/>
    <w:rsid w:val="00767141"/>
    <w:rsid w:val="007704BB"/>
    <w:rsid w:val="00771F08"/>
    <w:rsid w:val="0077231E"/>
    <w:rsid w:val="00772400"/>
    <w:rsid w:val="007726C0"/>
    <w:rsid w:val="00774424"/>
    <w:rsid w:val="00774D03"/>
    <w:rsid w:val="007750E1"/>
    <w:rsid w:val="0077519A"/>
    <w:rsid w:val="0077639F"/>
    <w:rsid w:val="00776619"/>
    <w:rsid w:val="00776AB3"/>
    <w:rsid w:val="00777518"/>
    <w:rsid w:val="00777986"/>
    <w:rsid w:val="00780FB3"/>
    <w:rsid w:val="0078134B"/>
    <w:rsid w:val="00783EDC"/>
    <w:rsid w:val="00785235"/>
    <w:rsid w:val="00785740"/>
    <w:rsid w:val="007859F4"/>
    <w:rsid w:val="00791555"/>
    <w:rsid w:val="00793D27"/>
    <w:rsid w:val="007947D2"/>
    <w:rsid w:val="00794E08"/>
    <w:rsid w:val="00797037"/>
    <w:rsid w:val="00797DF1"/>
    <w:rsid w:val="007A09C0"/>
    <w:rsid w:val="007A14DE"/>
    <w:rsid w:val="007A7EB5"/>
    <w:rsid w:val="007A7EEE"/>
    <w:rsid w:val="007B0FA6"/>
    <w:rsid w:val="007B16ED"/>
    <w:rsid w:val="007B297C"/>
    <w:rsid w:val="007B2A62"/>
    <w:rsid w:val="007B346D"/>
    <w:rsid w:val="007B4C50"/>
    <w:rsid w:val="007B4E64"/>
    <w:rsid w:val="007B667D"/>
    <w:rsid w:val="007B6A8C"/>
    <w:rsid w:val="007C1314"/>
    <w:rsid w:val="007C17E3"/>
    <w:rsid w:val="007C29F7"/>
    <w:rsid w:val="007C2D86"/>
    <w:rsid w:val="007C3B2F"/>
    <w:rsid w:val="007C4742"/>
    <w:rsid w:val="007C4DCD"/>
    <w:rsid w:val="007C614F"/>
    <w:rsid w:val="007C63C1"/>
    <w:rsid w:val="007D3732"/>
    <w:rsid w:val="007D5C5D"/>
    <w:rsid w:val="007D67B4"/>
    <w:rsid w:val="007E03BC"/>
    <w:rsid w:val="007E1042"/>
    <w:rsid w:val="007E1821"/>
    <w:rsid w:val="007E2C7D"/>
    <w:rsid w:val="007E3817"/>
    <w:rsid w:val="007E5755"/>
    <w:rsid w:val="007E6766"/>
    <w:rsid w:val="007F177B"/>
    <w:rsid w:val="007F1BF3"/>
    <w:rsid w:val="007F24F3"/>
    <w:rsid w:val="007F2711"/>
    <w:rsid w:val="007F2795"/>
    <w:rsid w:val="007F3669"/>
    <w:rsid w:val="007F3B1D"/>
    <w:rsid w:val="007F3E61"/>
    <w:rsid w:val="007F5875"/>
    <w:rsid w:val="007F64DF"/>
    <w:rsid w:val="007F7EA3"/>
    <w:rsid w:val="00800656"/>
    <w:rsid w:val="00800764"/>
    <w:rsid w:val="00800BE2"/>
    <w:rsid w:val="00801C5D"/>
    <w:rsid w:val="00803ECE"/>
    <w:rsid w:val="00807633"/>
    <w:rsid w:val="00810BC2"/>
    <w:rsid w:val="00812846"/>
    <w:rsid w:val="00812C3B"/>
    <w:rsid w:val="00815AF5"/>
    <w:rsid w:val="00816145"/>
    <w:rsid w:val="008166AE"/>
    <w:rsid w:val="00820B65"/>
    <w:rsid w:val="008215EE"/>
    <w:rsid w:val="008228A7"/>
    <w:rsid w:val="00822FD0"/>
    <w:rsid w:val="00825ACD"/>
    <w:rsid w:val="0082679C"/>
    <w:rsid w:val="00831141"/>
    <w:rsid w:val="008319B0"/>
    <w:rsid w:val="00831D5F"/>
    <w:rsid w:val="00835DE7"/>
    <w:rsid w:val="00836441"/>
    <w:rsid w:val="0084024D"/>
    <w:rsid w:val="0084071A"/>
    <w:rsid w:val="0084115D"/>
    <w:rsid w:val="0084120F"/>
    <w:rsid w:val="00841CB5"/>
    <w:rsid w:val="00844315"/>
    <w:rsid w:val="008455AF"/>
    <w:rsid w:val="0084674F"/>
    <w:rsid w:val="00850B3D"/>
    <w:rsid w:val="00852CFC"/>
    <w:rsid w:val="00852F1B"/>
    <w:rsid w:val="00854A26"/>
    <w:rsid w:val="0085716A"/>
    <w:rsid w:val="008605A1"/>
    <w:rsid w:val="00860C60"/>
    <w:rsid w:val="008616D1"/>
    <w:rsid w:val="00861B1D"/>
    <w:rsid w:val="008631CE"/>
    <w:rsid w:val="00864373"/>
    <w:rsid w:val="00865807"/>
    <w:rsid w:val="0086615A"/>
    <w:rsid w:val="00866A92"/>
    <w:rsid w:val="008702A4"/>
    <w:rsid w:val="008704DF"/>
    <w:rsid w:val="00870957"/>
    <w:rsid w:val="008720CB"/>
    <w:rsid w:val="0087455D"/>
    <w:rsid w:val="00874C07"/>
    <w:rsid w:val="00875FFC"/>
    <w:rsid w:val="00877070"/>
    <w:rsid w:val="00880FB9"/>
    <w:rsid w:val="008811B3"/>
    <w:rsid w:val="00885BB2"/>
    <w:rsid w:val="00885C3A"/>
    <w:rsid w:val="008877C2"/>
    <w:rsid w:val="008912F8"/>
    <w:rsid w:val="00891337"/>
    <w:rsid w:val="00891CBC"/>
    <w:rsid w:val="00895848"/>
    <w:rsid w:val="00895B70"/>
    <w:rsid w:val="00896BC5"/>
    <w:rsid w:val="008A18B1"/>
    <w:rsid w:val="008A1D6C"/>
    <w:rsid w:val="008A23C8"/>
    <w:rsid w:val="008A3915"/>
    <w:rsid w:val="008A3A16"/>
    <w:rsid w:val="008A70F8"/>
    <w:rsid w:val="008B1D36"/>
    <w:rsid w:val="008B1EDD"/>
    <w:rsid w:val="008B3E19"/>
    <w:rsid w:val="008B459E"/>
    <w:rsid w:val="008B49C4"/>
    <w:rsid w:val="008B4E68"/>
    <w:rsid w:val="008C04A0"/>
    <w:rsid w:val="008C18FC"/>
    <w:rsid w:val="008C3582"/>
    <w:rsid w:val="008C54A1"/>
    <w:rsid w:val="008C6324"/>
    <w:rsid w:val="008D27B2"/>
    <w:rsid w:val="008D476F"/>
    <w:rsid w:val="008D4784"/>
    <w:rsid w:val="008E0741"/>
    <w:rsid w:val="008E1037"/>
    <w:rsid w:val="008E2052"/>
    <w:rsid w:val="008E29A7"/>
    <w:rsid w:val="008E37B4"/>
    <w:rsid w:val="008F08FD"/>
    <w:rsid w:val="008F1504"/>
    <w:rsid w:val="008F2B4E"/>
    <w:rsid w:val="008F3851"/>
    <w:rsid w:val="008F3A90"/>
    <w:rsid w:val="008F4822"/>
    <w:rsid w:val="008F5712"/>
    <w:rsid w:val="0090370A"/>
    <w:rsid w:val="00905E4B"/>
    <w:rsid w:val="0090607E"/>
    <w:rsid w:val="009061F7"/>
    <w:rsid w:val="00913760"/>
    <w:rsid w:val="0091402D"/>
    <w:rsid w:val="00914D07"/>
    <w:rsid w:val="00917E4A"/>
    <w:rsid w:val="00920E7F"/>
    <w:rsid w:val="00921900"/>
    <w:rsid w:val="00923A16"/>
    <w:rsid w:val="00923AAF"/>
    <w:rsid w:val="00924AE7"/>
    <w:rsid w:val="00924CF1"/>
    <w:rsid w:val="009261D2"/>
    <w:rsid w:val="0092712B"/>
    <w:rsid w:val="0093037D"/>
    <w:rsid w:val="00930479"/>
    <w:rsid w:val="00931471"/>
    <w:rsid w:val="009361A3"/>
    <w:rsid w:val="00936E66"/>
    <w:rsid w:val="00937274"/>
    <w:rsid w:val="00937A3D"/>
    <w:rsid w:val="00941097"/>
    <w:rsid w:val="009425CB"/>
    <w:rsid w:val="00943373"/>
    <w:rsid w:val="009437B6"/>
    <w:rsid w:val="00943F9B"/>
    <w:rsid w:val="00952FDD"/>
    <w:rsid w:val="00954A2B"/>
    <w:rsid w:val="009565C6"/>
    <w:rsid w:val="009620A4"/>
    <w:rsid w:val="00964F75"/>
    <w:rsid w:val="0096588B"/>
    <w:rsid w:val="00965FB1"/>
    <w:rsid w:val="0096625E"/>
    <w:rsid w:val="009662DD"/>
    <w:rsid w:val="00967429"/>
    <w:rsid w:val="00970B92"/>
    <w:rsid w:val="009722E5"/>
    <w:rsid w:val="00972CC1"/>
    <w:rsid w:val="00974782"/>
    <w:rsid w:val="00974EC8"/>
    <w:rsid w:val="00975048"/>
    <w:rsid w:val="009770EA"/>
    <w:rsid w:val="00983487"/>
    <w:rsid w:val="00987F9E"/>
    <w:rsid w:val="00992A05"/>
    <w:rsid w:val="00993BAC"/>
    <w:rsid w:val="009945AD"/>
    <w:rsid w:val="009960E6"/>
    <w:rsid w:val="009A077C"/>
    <w:rsid w:val="009A0E09"/>
    <w:rsid w:val="009A1DCA"/>
    <w:rsid w:val="009A60D4"/>
    <w:rsid w:val="009B0003"/>
    <w:rsid w:val="009B039B"/>
    <w:rsid w:val="009B09F2"/>
    <w:rsid w:val="009B15F2"/>
    <w:rsid w:val="009B3546"/>
    <w:rsid w:val="009B5B6F"/>
    <w:rsid w:val="009C1389"/>
    <w:rsid w:val="009C192B"/>
    <w:rsid w:val="009C1F7C"/>
    <w:rsid w:val="009C2559"/>
    <w:rsid w:val="009C3A7F"/>
    <w:rsid w:val="009C404C"/>
    <w:rsid w:val="009C4798"/>
    <w:rsid w:val="009C5331"/>
    <w:rsid w:val="009C6AC1"/>
    <w:rsid w:val="009C71F6"/>
    <w:rsid w:val="009D09C8"/>
    <w:rsid w:val="009D1973"/>
    <w:rsid w:val="009D1F6F"/>
    <w:rsid w:val="009D5CAE"/>
    <w:rsid w:val="009D7F5C"/>
    <w:rsid w:val="009E12CA"/>
    <w:rsid w:val="009E1B3F"/>
    <w:rsid w:val="009F123D"/>
    <w:rsid w:val="009F13F9"/>
    <w:rsid w:val="009F1A3E"/>
    <w:rsid w:val="009F2B75"/>
    <w:rsid w:val="009F64D3"/>
    <w:rsid w:val="009F7412"/>
    <w:rsid w:val="009F7559"/>
    <w:rsid w:val="00A02BF5"/>
    <w:rsid w:val="00A02EA1"/>
    <w:rsid w:val="00A04005"/>
    <w:rsid w:val="00A05B25"/>
    <w:rsid w:val="00A06453"/>
    <w:rsid w:val="00A13011"/>
    <w:rsid w:val="00A146E3"/>
    <w:rsid w:val="00A15EDC"/>
    <w:rsid w:val="00A20428"/>
    <w:rsid w:val="00A20E00"/>
    <w:rsid w:val="00A22F4B"/>
    <w:rsid w:val="00A234BE"/>
    <w:rsid w:val="00A31789"/>
    <w:rsid w:val="00A3218A"/>
    <w:rsid w:val="00A33F63"/>
    <w:rsid w:val="00A3723F"/>
    <w:rsid w:val="00A37C9A"/>
    <w:rsid w:val="00A426E4"/>
    <w:rsid w:val="00A457F6"/>
    <w:rsid w:val="00A5133A"/>
    <w:rsid w:val="00A51616"/>
    <w:rsid w:val="00A52873"/>
    <w:rsid w:val="00A53291"/>
    <w:rsid w:val="00A537EC"/>
    <w:rsid w:val="00A53952"/>
    <w:rsid w:val="00A55977"/>
    <w:rsid w:val="00A610B2"/>
    <w:rsid w:val="00A63CCD"/>
    <w:rsid w:val="00A664C9"/>
    <w:rsid w:val="00A6753C"/>
    <w:rsid w:val="00A70283"/>
    <w:rsid w:val="00A75836"/>
    <w:rsid w:val="00A7765B"/>
    <w:rsid w:val="00A834DB"/>
    <w:rsid w:val="00A85711"/>
    <w:rsid w:val="00A9261F"/>
    <w:rsid w:val="00AA4482"/>
    <w:rsid w:val="00AA5E02"/>
    <w:rsid w:val="00AB1966"/>
    <w:rsid w:val="00AB4D17"/>
    <w:rsid w:val="00AB5364"/>
    <w:rsid w:val="00AB5E6F"/>
    <w:rsid w:val="00AB6765"/>
    <w:rsid w:val="00AB6BD2"/>
    <w:rsid w:val="00AC1998"/>
    <w:rsid w:val="00AC20E3"/>
    <w:rsid w:val="00AC5C2E"/>
    <w:rsid w:val="00AC63C7"/>
    <w:rsid w:val="00AD0AB1"/>
    <w:rsid w:val="00AD1FF8"/>
    <w:rsid w:val="00AD26BF"/>
    <w:rsid w:val="00AD2ADF"/>
    <w:rsid w:val="00AD34F0"/>
    <w:rsid w:val="00AD591A"/>
    <w:rsid w:val="00AD5D7B"/>
    <w:rsid w:val="00AD7832"/>
    <w:rsid w:val="00AE00B2"/>
    <w:rsid w:val="00AE23DE"/>
    <w:rsid w:val="00AE2458"/>
    <w:rsid w:val="00AE2646"/>
    <w:rsid w:val="00AE4BCB"/>
    <w:rsid w:val="00AE588C"/>
    <w:rsid w:val="00AE5A84"/>
    <w:rsid w:val="00AE66EE"/>
    <w:rsid w:val="00AE7778"/>
    <w:rsid w:val="00AF20D8"/>
    <w:rsid w:val="00AF30E2"/>
    <w:rsid w:val="00AF606E"/>
    <w:rsid w:val="00AF670B"/>
    <w:rsid w:val="00B01BDA"/>
    <w:rsid w:val="00B0342A"/>
    <w:rsid w:val="00B0453F"/>
    <w:rsid w:val="00B04CD4"/>
    <w:rsid w:val="00B04CDD"/>
    <w:rsid w:val="00B05A89"/>
    <w:rsid w:val="00B06339"/>
    <w:rsid w:val="00B07E40"/>
    <w:rsid w:val="00B127A9"/>
    <w:rsid w:val="00B14334"/>
    <w:rsid w:val="00B14FC9"/>
    <w:rsid w:val="00B155EB"/>
    <w:rsid w:val="00B15D40"/>
    <w:rsid w:val="00B15EE7"/>
    <w:rsid w:val="00B206FD"/>
    <w:rsid w:val="00B207F4"/>
    <w:rsid w:val="00B2222D"/>
    <w:rsid w:val="00B23E18"/>
    <w:rsid w:val="00B264E9"/>
    <w:rsid w:val="00B3009E"/>
    <w:rsid w:val="00B31559"/>
    <w:rsid w:val="00B373C1"/>
    <w:rsid w:val="00B43605"/>
    <w:rsid w:val="00B439BF"/>
    <w:rsid w:val="00B44A0D"/>
    <w:rsid w:val="00B509AF"/>
    <w:rsid w:val="00B5159E"/>
    <w:rsid w:val="00B51DB5"/>
    <w:rsid w:val="00B52B57"/>
    <w:rsid w:val="00B5541C"/>
    <w:rsid w:val="00B60FA3"/>
    <w:rsid w:val="00B6123F"/>
    <w:rsid w:val="00B62632"/>
    <w:rsid w:val="00B64331"/>
    <w:rsid w:val="00B6530B"/>
    <w:rsid w:val="00B664EE"/>
    <w:rsid w:val="00B67428"/>
    <w:rsid w:val="00B67EDB"/>
    <w:rsid w:val="00B73C8A"/>
    <w:rsid w:val="00B761DD"/>
    <w:rsid w:val="00B81E5D"/>
    <w:rsid w:val="00B835D5"/>
    <w:rsid w:val="00B851E9"/>
    <w:rsid w:val="00B878B5"/>
    <w:rsid w:val="00B93049"/>
    <w:rsid w:val="00B9435C"/>
    <w:rsid w:val="00BA0165"/>
    <w:rsid w:val="00BA11CB"/>
    <w:rsid w:val="00BA3909"/>
    <w:rsid w:val="00BA4CA2"/>
    <w:rsid w:val="00BA4DB8"/>
    <w:rsid w:val="00BB3371"/>
    <w:rsid w:val="00BB5E27"/>
    <w:rsid w:val="00BB5F17"/>
    <w:rsid w:val="00BB6050"/>
    <w:rsid w:val="00BB6949"/>
    <w:rsid w:val="00BC18F5"/>
    <w:rsid w:val="00BC39BC"/>
    <w:rsid w:val="00BD2413"/>
    <w:rsid w:val="00BD2A5E"/>
    <w:rsid w:val="00BD5B4C"/>
    <w:rsid w:val="00BD70F4"/>
    <w:rsid w:val="00BE0451"/>
    <w:rsid w:val="00BE1446"/>
    <w:rsid w:val="00BE21F4"/>
    <w:rsid w:val="00BE2F6F"/>
    <w:rsid w:val="00BE3095"/>
    <w:rsid w:val="00BE452D"/>
    <w:rsid w:val="00BE697D"/>
    <w:rsid w:val="00BE69BF"/>
    <w:rsid w:val="00BE6E5D"/>
    <w:rsid w:val="00BF1AA1"/>
    <w:rsid w:val="00BF2F95"/>
    <w:rsid w:val="00BF38D4"/>
    <w:rsid w:val="00BF4606"/>
    <w:rsid w:val="00BF57C3"/>
    <w:rsid w:val="00BF70B3"/>
    <w:rsid w:val="00C00A51"/>
    <w:rsid w:val="00C01DC8"/>
    <w:rsid w:val="00C049A0"/>
    <w:rsid w:val="00C11714"/>
    <w:rsid w:val="00C11836"/>
    <w:rsid w:val="00C13E4F"/>
    <w:rsid w:val="00C13F49"/>
    <w:rsid w:val="00C147F4"/>
    <w:rsid w:val="00C20DDB"/>
    <w:rsid w:val="00C214C1"/>
    <w:rsid w:val="00C217FC"/>
    <w:rsid w:val="00C22430"/>
    <w:rsid w:val="00C25F70"/>
    <w:rsid w:val="00C3064D"/>
    <w:rsid w:val="00C31806"/>
    <w:rsid w:val="00C31842"/>
    <w:rsid w:val="00C3243D"/>
    <w:rsid w:val="00C328A1"/>
    <w:rsid w:val="00C342C0"/>
    <w:rsid w:val="00C348C5"/>
    <w:rsid w:val="00C36793"/>
    <w:rsid w:val="00C4028C"/>
    <w:rsid w:val="00C40801"/>
    <w:rsid w:val="00C420D0"/>
    <w:rsid w:val="00C43A3B"/>
    <w:rsid w:val="00C473A4"/>
    <w:rsid w:val="00C50B52"/>
    <w:rsid w:val="00C51685"/>
    <w:rsid w:val="00C51925"/>
    <w:rsid w:val="00C52DB8"/>
    <w:rsid w:val="00C53D63"/>
    <w:rsid w:val="00C55264"/>
    <w:rsid w:val="00C566F1"/>
    <w:rsid w:val="00C62D3A"/>
    <w:rsid w:val="00C6470D"/>
    <w:rsid w:val="00C66CBB"/>
    <w:rsid w:val="00C70015"/>
    <w:rsid w:val="00C725CE"/>
    <w:rsid w:val="00C7383F"/>
    <w:rsid w:val="00C75A6C"/>
    <w:rsid w:val="00C802AF"/>
    <w:rsid w:val="00C815C9"/>
    <w:rsid w:val="00C82866"/>
    <w:rsid w:val="00C849D7"/>
    <w:rsid w:val="00C85894"/>
    <w:rsid w:val="00C860F9"/>
    <w:rsid w:val="00C91723"/>
    <w:rsid w:val="00C91F86"/>
    <w:rsid w:val="00C9477F"/>
    <w:rsid w:val="00C9633F"/>
    <w:rsid w:val="00C96413"/>
    <w:rsid w:val="00C974F4"/>
    <w:rsid w:val="00CA06BE"/>
    <w:rsid w:val="00CA0753"/>
    <w:rsid w:val="00CA16B4"/>
    <w:rsid w:val="00CA2630"/>
    <w:rsid w:val="00CA38B0"/>
    <w:rsid w:val="00CA38BD"/>
    <w:rsid w:val="00CA5D36"/>
    <w:rsid w:val="00CA600C"/>
    <w:rsid w:val="00CA768F"/>
    <w:rsid w:val="00CB09C7"/>
    <w:rsid w:val="00CB0D8B"/>
    <w:rsid w:val="00CB11B5"/>
    <w:rsid w:val="00CB2677"/>
    <w:rsid w:val="00CB28D6"/>
    <w:rsid w:val="00CB2DBB"/>
    <w:rsid w:val="00CB489E"/>
    <w:rsid w:val="00CB4A00"/>
    <w:rsid w:val="00CB5892"/>
    <w:rsid w:val="00CB718D"/>
    <w:rsid w:val="00CC2021"/>
    <w:rsid w:val="00CC2D96"/>
    <w:rsid w:val="00CC3307"/>
    <w:rsid w:val="00CC34B4"/>
    <w:rsid w:val="00CC51F1"/>
    <w:rsid w:val="00CC5DE9"/>
    <w:rsid w:val="00CD63CD"/>
    <w:rsid w:val="00CD6832"/>
    <w:rsid w:val="00CE24B5"/>
    <w:rsid w:val="00CE30FB"/>
    <w:rsid w:val="00CE3FD8"/>
    <w:rsid w:val="00CE44D3"/>
    <w:rsid w:val="00CE629F"/>
    <w:rsid w:val="00CE6C53"/>
    <w:rsid w:val="00CF40A7"/>
    <w:rsid w:val="00CF43BF"/>
    <w:rsid w:val="00CF5F1D"/>
    <w:rsid w:val="00CF6893"/>
    <w:rsid w:val="00D011CD"/>
    <w:rsid w:val="00D017E2"/>
    <w:rsid w:val="00D020E5"/>
    <w:rsid w:val="00D03ADD"/>
    <w:rsid w:val="00D10B44"/>
    <w:rsid w:val="00D1144B"/>
    <w:rsid w:val="00D14BBE"/>
    <w:rsid w:val="00D15057"/>
    <w:rsid w:val="00D15C44"/>
    <w:rsid w:val="00D20BD5"/>
    <w:rsid w:val="00D20C8E"/>
    <w:rsid w:val="00D22BC4"/>
    <w:rsid w:val="00D25E3A"/>
    <w:rsid w:val="00D304D2"/>
    <w:rsid w:val="00D335D6"/>
    <w:rsid w:val="00D33888"/>
    <w:rsid w:val="00D33ADF"/>
    <w:rsid w:val="00D33C88"/>
    <w:rsid w:val="00D36976"/>
    <w:rsid w:val="00D378A1"/>
    <w:rsid w:val="00D37D07"/>
    <w:rsid w:val="00D427E7"/>
    <w:rsid w:val="00D42BDD"/>
    <w:rsid w:val="00D46F9D"/>
    <w:rsid w:val="00D50409"/>
    <w:rsid w:val="00D5153A"/>
    <w:rsid w:val="00D521C7"/>
    <w:rsid w:val="00D546D5"/>
    <w:rsid w:val="00D63367"/>
    <w:rsid w:val="00D63587"/>
    <w:rsid w:val="00D65B58"/>
    <w:rsid w:val="00D65F65"/>
    <w:rsid w:val="00D677D9"/>
    <w:rsid w:val="00D72FEB"/>
    <w:rsid w:val="00D76E72"/>
    <w:rsid w:val="00D775A4"/>
    <w:rsid w:val="00D825F9"/>
    <w:rsid w:val="00D847D6"/>
    <w:rsid w:val="00D85403"/>
    <w:rsid w:val="00D8598A"/>
    <w:rsid w:val="00D86665"/>
    <w:rsid w:val="00D92F09"/>
    <w:rsid w:val="00D94165"/>
    <w:rsid w:val="00D963CE"/>
    <w:rsid w:val="00DA0724"/>
    <w:rsid w:val="00DA1519"/>
    <w:rsid w:val="00DA4142"/>
    <w:rsid w:val="00DA62B8"/>
    <w:rsid w:val="00DA78AD"/>
    <w:rsid w:val="00DB0203"/>
    <w:rsid w:val="00DB211A"/>
    <w:rsid w:val="00DB2AFC"/>
    <w:rsid w:val="00DB5D14"/>
    <w:rsid w:val="00DC1690"/>
    <w:rsid w:val="00DC1B9E"/>
    <w:rsid w:val="00DC21CC"/>
    <w:rsid w:val="00DC2A63"/>
    <w:rsid w:val="00DC2D14"/>
    <w:rsid w:val="00DC47BE"/>
    <w:rsid w:val="00DC6BEA"/>
    <w:rsid w:val="00DC710C"/>
    <w:rsid w:val="00DC754C"/>
    <w:rsid w:val="00DC7F9E"/>
    <w:rsid w:val="00DD080C"/>
    <w:rsid w:val="00DD4A06"/>
    <w:rsid w:val="00DD7BED"/>
    <w:rsid w:val="00DD7D9C"/>
    <w:rsid w:val="00DE1FB0"/>
    <w:rsid w:val="00DE50E0"/>
    <w:rsid w:val="00DF03F7"/>
    <w:rsid w:val="00DF0C36"/>
    <w:rsid w:val="00DF3044"/>
    <w:rsid w:val="00DF3653"/>
    <w:rsid w:val="00DF4903"/>
    <w:rsid w:val="00E036FA"/>
    <w:rsid w:val="00E03B04"/>
    <w:rsid w:val="00E041CF"/>
    <w:rsid w:val="00E042E4"/>
    <w:rsid w:val="00E10F71"/>
    <w:rsid w:val="00E12011"/>
    <w:rsid w:val="00E12098"/>
    <w:rsid w:val="00E12354"/>
    <w:rsid w:val="00E12E4A"/>
    <w:rsid w:val="00E13731"/>
    <w:rsid w:val="00E13BBB"/>
    <w:rsid w:val="00E14D27"/>
    <w:rsid w:val="00E15A17"/>
    <w:rsid w:val="00E20C35"/>
    <w:rsid w:val="00E24F10"/>
    <w:rsid w:val="00E2534F"/>
    <w:rsid w:val="00E262C9"/>
    <w:rsid w:val="00E2650C"/>
    <w:rsid w:val="00E30656"/>
    <w:rsid w:val="00E30955"/>
    <w:rsid w:val="00E311B0"/>
    <w:rsid w:val="00E32B06"/>
    <w:rsid w:val="00E32F80"/>
    <w:rsid w:val="00E36D8F"/>
    <w:rsid w:val="00E36FFE"/>
    <w:rsid w:val="00E3787E"/>
    <w:rsid w:val="00E4110F"/>
    <w:rsid w:val="00E501C2"/>
    <w:rsid w:val="00E53E4F"/>
    <w:rsid w:val="00E56332"/>
    <w:rsid w:val="00E572D5"/>
    <w:rsid w:val="00E608A4"/>
    <w:rsid w:val="00E60F7C"/>
    <w:rsid w:val="00E61C47"/>
    <w:rsid w:val="00E627D0"/>
    <w:rsid w:val="00E6283F"/>
    <w:rsid w:val="00E65D1B"/>
    <w:rsid w:val="00E71F44"/>
    <w:rsid w:val="00E733E3"/>
    <w:rsid w:val="00E7357B"/>
    <w:rsid w:val="00E74D96"/>
    <w:rsid w:val="00E754FD"/>
    <w:rsid w:val="00E77191"/>
    <w:rsid w:val="00E778FA"/>
    <w:rsid w:val="00E821FE"/>
    <w:rsid w:val="00E82B7F"/>
    <w:rsid w:val="00E83A35"/>
    <w:rsid w:val="00E855DE"/>
    <w:rsid w:val="00E86B3D"/>
    <w:rsid w:val="00E951D6"/>
    <w:rsid w:val="00E9581E"/>
    <w:rsid w:val="00E95A55"/>
    <w:rsid w:val="00E96D2D"/>
    <w:rsid w:val="00EA0D1F"/>
    <w:rsid w:val="00EA10EB"/>
    <w:rsid w:val="00EA16CB"/>
    <w:rsid w:val="00EA2D88"/>
    <w:rsid w:val="00EA2F52"/>
    <w:rsid w:val="00EA4897"/>
    <w:rsid w:val="00EA7B39"/>
    <w:rsid w:val="00EB0803"/>
    <w:rsid w:val="00EB2756"/>
    <w:rsid w:val="00EB36F2"/>
    <w:rsid w:val="00EB5F14"/>
    <w:rsid w:val="00EC04F2"/>
    <w:rsid w:val="00EC0E42"/>
    <w:rsid w:val="00EC1B6F"/>
    <w:rsid w:val="00EC54BF"/>
    <w:rsid w:val="00EC5EBB"/>
    <w:rsid w:val="00EC627A"/>
    <w:rsid w:val="00EC731B"/>
    <w:rsid w:val="00ED02FC"/>
    <w:rsid w:val="00ED12EB"/>
    <w:rsid w:val="00ED6072"/>
    <w:rsid w:val="00ED75DC"/>
    <w:rsid w:val="00ED7A8A"/>
    <w:rsid w:val="00EE056E"/>
    <w:rsid w:val="00EE23E6"/>
    <w:rsid w:val="00EE7D02"/>
    <w:rsid w:val="00EF1EF4"/>
    <w:rsid w:val="00EF4E6E"/>
    <w:rsid w:val="00EF5376"/>
    <w:rsid w:val="00EF74CB"/>
    <w:rsid w:val="00F0309B"/>
    <w:rsid w:val="00F0311C"/>
    <w:rsid w:val="00F04253"/>
    <w:rsid w:val="00F04993"/>
    <w:rsid w:val="00F076DA"/>
    <w:rsid w:val="00F07824"/>
    <w:rsid w:val="00F10B80"/>
    <w:rsid w:val="00F134DF"/>
    <w:rsid w:val="00F135A8"/>
    <w:rsid w:val="00F14B38"/>
    <w:rsid w:val="00F151D1"/>
    <w:rsid w:val="00F153C8"/>
    <w:rsid w:val="00F16A3C"/>
    <w:rsid w:val="00F17669"/>
    <w:rsid w:val="00F20D8A"/>
    <w:rsid w:val="00F23331"/>
    <w:rsid w:val="00F242F8"/>
    <w:rsid w:val="00F25E08"/>
    <w:rsid w:val="00F27589"/>
    <w:rsid w:val="00F27708"/>
    <w:rsid w:val="00F31D19"/>
    <w:rsid w:val="00F31ED8"/>
    <w:rsid w:val="00F3451E"/>
    <w:rsid w:val="00F34A0A"/>
    <w:rsid w:val="00F3574C"/>
    <w:rsid w:val="00F359BA"/>
    <w:rsid w:val="00F35CD2"/>
    <w:rsid w:val="00F36EB6"/>
    <w:rsid w:val="00F4317D"/>
    <w:rsid w:val="00F44D1C"/>
    <w:rsid w:val="00F461E7"/>
    <w:rsid w:val="00F466CA"/>
    <w:rsid w:val="00F46E00"/>
    <w:rsid w:val="00F47780"/>
    <w:rsid w:val="00F54E4A"/>
    <w:rsid w:val="00F5500E"/>
    <w:rsid w:val="00F5523F"/>
    <w:rsid w:val="00F55C41"/>
    <w:rsid w:val="00F60727"/>
    <w:rsid w:val="00F61AD5"/>
    <w:rsid w:val="00F61CEE"/>
    <w:rsid w:val="00F63315"/>
    <w:rsid w:val="00F64413"/>
    <w:rsid w:val="00F70137"/>
    <w:rsid w:val="00F7182D"/>
    <w:rsid w:val="00F747CC"/>
    <w:rsid w:val="00F75731"/>
    <w:rsid w:val="00F805E8"/>
    <w:rsid w:val="00F80CA6"/>
    <w:rsid w:val="00F82AD6"/>
    <w:rsid w:val="00F85424"/>
    <w:rsid w:val="00F875F2"/>
    <w:rsid w:val="00F878F5"/>
    <w:rsid w:val="00F90B07"/>
    <w:rsid w:val="00F91287"/>
    <w:rsid w:val="00F913BF"/>
    <w:rsid w:val="00F92D59"/>
    <w:rsid w:val="00F9424A"/>
    <w:rsid w:val="00F942AC"/>
    <w:rsid w:val="00F9445A"/>
    <w:rsid w:val="00F960B9"/>
    <w:rsid w:val="00F9657A"/>
    <w:rsid w:val="00F9730E"/>
    <w:rsid w:val="00F97746"/>
    <w:rsid w:val="00FA3B09"/>
    <w:rsid w:val="00FB3566"/>
    <w:rsid w:val="00FB37E9"/>
    <w:rsid w:val="00FB4915"/>
    <w:rsid w:val="00FB597F"/>
    <w:rsid w:val="00FC0994"/>
    <w:rsid w:val="00FC22A7"/>
    <w:rsid w:val="00FC2BB1"/>
    <w:rsid w:val="00FC3422"/>
    <w:rsid w:val="00FC3FAC"/>
    <w:rsid w:val="00FC58C9"/>
    <w:rsid w:val="00FD04B8"/>
    <w:rsid w:val="00FD1355"/>
    <w:rsid w:val="00FD5B7E"/>
    <w:rsid w:val="00FD72F2"/>
    <w:rsid w:val="00FE06F9"/>
    <w:rsid w:val="00FE24EF"/>
    <w:rsid w:val="00FE27AC"/>
    <w:rsid w:val="00FE429E"/>
    <w:rsid w:val="00FE58EB"/>
    <w:rsid w:val="00FE67B8"/>
    <w:rsid w:val="00FF12B1"/>
    <w:rsid w:val="00FF45EC"/>
    <w:rsid w:val="00FF49C6"/>
    <w:rsid w:val="00FF5E27"/>
    <w:rsid w:val="00FF6770"/>
    <w:rsid w:val="00FF6A3A"/>
    <w:rsid w:val="00FF6E8C"/>
    <w:rsid w:val="00FF7B1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1E5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es-AR" w:eastAsia="es-U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widowControl w:val="0"/>
      <w:outlineLvl w:val="0"/>
    </w:pPr>
    <w:rPr>
      <w:rFonts w:ascii="Corsiva" w:eastAsia="Corsiva" w:hAnsi="Corsiva" w:cs="Corsiva"/>
      <w:b/>
      <w:sz w:val="28"/>
      <w:szCs w:val="28"/>
    </w:rPr>
  </w:style>
  <w:style w:type="paragraph" w:styleId="Ttulo2">
    <w:name w:val="heading 2"/>
    <w:basedOn w:val="Normal"/>
    <w:next w:val="Normal"/>
    <w:uiPriority w:val="9"/>
    <w:semiHidden/>
    <w:unhideWhenUsed/>
    <w:qFormat/>
    <w:pPr>
      <w:keepNext/>
      <w:ind w:firstLine="567"/>
      <w:outlineLvl w:val="1"/>
    </w:pPr>
    <w:rPr>
      <w:b/>
    </w:rPr>
  </w:style>
  <w:style w:type="paragraph" w:styleId="Ttulo3">
    <w:name w:val="heading 3"/>
    <w:basedOn w:val="Normal"/>
    <w:next w:val="Normal"/>
    <w:uiPriority w:val="9"/>
    <w:semiHidden/>
    <w:unhideWhenUsed/>
    <w:qFormat/>
    <w:pPr>
      <w:keepNext/>
      <w:ind w:left="567" w:right="567"/>
      <w:jc w:val="center"/>
      <w:outlineLvl w:val="2"/>
    </w:pPr>
    <w:rPr>
      <w:b/>
    </w:rPr>
  </w:style>
  <w:style w:type="paragraph" w:styleId="Ttulo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spacing w:before="240" w:after="60"/>
      <w:jc w:val="center"/>
    </w:pPr>
    <w:rPr>
      <w:rFonts w:ascii="Cambria" w:eastAsia="Cambria" w:hAnsi="Cambria" w:cs="Cambria"/>
      <w:b/>
      <w:sz w:val="32"/>
      <w:szCs w:val="32"/>
    </w:rPr>
  </w:style>
  <w:style w:type="paragraph" w:styleId="Subttulo">
    <w:name w:val="Subtitle"/>
    <w:basedOn w:val="Normal"/>
    <w:next w:val="Normal"/>
    <w:uiPriority w:val="11"/>
    <w:qFormat/>
    <w:rPr>
      <w:color w:val="595959"/>
      <w:sz w:val="28"/>
      <w:szCs w:val="28"/>
    </w:rPr>
  </w:style>
  <w:style w:type="table" w:customStyle="1" w:styleId="2">
    <w:name w:val="2"/>
    <w:basedOn w:val="TableNormal1"/>
    <w:tblPr>
      <w:tblStyleRowBandSize w:val="1"/>
      <w:tblStyleColBandSize w:val="1"/>
      <w:tblCellMar>
        <w:top w:w="0" w:type="dxa"/>
        <w:left w:w="70" w:type="dxa"/>
        <w:bottom w:w="0" w:type="dxa"/>
        <w:right w:w="70" w:type="dxa"/>
      </w:tblCellMar>
    </w:tblPr>
  </w:style>
  <w:style w:type="table" w:customStyle="1" w:styleId="1">
    <w:name w:val="1"/>
    <w:basedOn w:val="TableNormal1"/>
    <w:tblPr>
      <w:tblStyleRowBandSize w:val="1"/>
      <w:tblStyleColBandSize w:val="1"/>
      <w:tblCellMar>
        <w:top w:w="0" w:type="dxa"/>
        <w:left w:w="70" w:type="dxa"/>
        <w:bottom w:w="0" w:type="dxa"/>
        <w:right w:w="70" w:type="dxa"/>
      </w:tblCellMar>
    </w:tbl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DH1"/>
    <w:basedOn w:val="Normal"/>
    <w:link w:val="PrrafodelistaCar"/>
    <w:uiPriority w:val="34"/>
    <w:qFormat/>
    <w:rsid w:val="00F9730E"/>
    <w:pPr>
      <w:ind w:left="720"/>
      <w:contextualSpacing/>
    </w:pPr>
  </w:style>
  <w:style w:type="paragraph" w:styleId="Piedepgina">
    <w:name w:val="footer"/>
    <w:basedOn w:val="Normal"/>
    <w:link w:val="PiedepginaCar"/>
    <w:uiPriority w:val="99"/>
    <w:unhideWhenUsed/>
    <w:rsid w:val="00622225"/>
    <w:pPr>
      <w:tabs>
        <w:tab w:val="center" w:pos="4252"/>
        <w:tab w:val="right" w:pos="8504"/>
      </w:tabs>
    </w:pPr>
  </w:style>
  <w:style w:type="character" w:customStyle="1" w:styleId="PiedepginaCar">
    <w:name w:val="Pie de página Car"/>
    <w:basedOn w:val="Fuentedeprrafopredeter"/>
    <w:link w:val="Piedepgina"/>
    <w:uiPriority w:val="99"/>
    <w:rsid w:val="00622225"/>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nhideWhenUsed/>
    <w:qFormat/>
    <w:rsid w:val="00622225"/>
    <w:pPr>
      <w:tabs>
        <w:tab w:val="center" w:pos="4252"/>
        <w:tab w:val="right" w:pos="8504"/>
      </w:tabs>
    </w:pPr>
    <w:rPr>
      <w:rFonts w:ascii="Cambria" w:eastAsia="Cambria" w:hAnsi="Cambria" w:cs="Cambria"/>
      <w:lang w:val="es-ES" w:eastAsia="en-US"/>
    </w:r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qFormat/>
    <w:rsid w:val="00622225"/>
    <w:rPr>
      <w:rFonts w:ascii="Cambria" w:eastAsia="Cambria" w:hAnsi="Cambria" w:cs="Cambria"/>
      <w:lang w:val="es-ES" w:eastAsia="en-US"/>
    </w:rPr>
  </w:style>
  <w:style w:type="paragraph" w:styleId="Textoindependiente">
    <w:name w:val="Body Text"/>
    <w:basedOn w:val="Normal"/>
    <w:link w:val="TextoindependienteCar"/>
    <w:uiPriority w:val="99"/>
    <w:unhideWhenUsed/>
    <w:rsid w:val="00B07E40"/>
    <w:pPr>
      <w:spacing w:after="120"/>
    </w:pPr>
  </w:style>
  <w:style w:type="character" w:customStyle="1" w:styleId="TextoindependienteCar">
    <w:name w:val="Texto independiente Car"/>
    <w:basedOn w:val="Fuentedeprrafopredeter"/>
    <w:link w:val="Textoindependiente"/>
    <w:uiPriority w:val="99"/>
    <w:rsid w:val="00B07E40"/>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C96413"/>
  </w:style>
  <w:style w:type="paragraph" w:customStyle="1" w:styleId="xmsonormal">
    <w:name w:val="x_msonormal"/>
    <w:basedOn w:val="Normal"/>
    <w:rsid w:val="00C96413"/>
    <w:pPr>
      <w:spacing w:before="100" w:beforeAutospacing="1" w:after="100" w:afterAutospacing="1"/>
    </w:pPr>
    <w:rPr>
      <w:rFonts w:ascii="Times New Roman" w:eastAsia="Times New Roman" w:hAnsi="Times New Roman" w:cs="Times New Roman"/>
      <w:lang w:val="es-UY"/>
    </w:rPr>
  </w:style>
  <w:style w:type="paragraph" w:styleId="Sangradetextonormal">
    <w:name w:val="Body Text Indent"/>
    <w:basedOn w:val="Normal"/>
    <w:link w:val="SangradetextonormalCar"/>
    <w:uiPriority w:val="99"/>
    <w:semiHidden/>
    <w:unhideWhenUsed/>
    <w:rsid w:val="00B878B5"/>
    <w:pPr>
      <w:spacing w:after="120"/>
      <w:ind w:left="283"/>
    </w:pPr>
  </w:style>
  <w:style w:type="character" w:customStyle="1" w:styleId="SangradetextonormalCar">
    <w:name w:val="Sangría de texto normal Car"/>
    <w:basedOn w:val="Fuentedeprrafopredeter"/>
    <w:link w:val="Sangradetextonormal"/>
    <w:uiPriority w:val="99"/>
    <w:semiHidden/>
    <w:rsid w:val="00B878B5"/>
  </w:style>
  <w:style w:type="paragraph" w:styleId="Textodeglobo">
    <w:name w:val="Balloon Text"/>
    <w:basedOn w:val="Normal"/>
    <w:link w:val="TextodegloboCar"/>
    <w:uiPriority w:val="99"/>
    <w:semiHidden/>
    <w:unhideWhenUsed/>
    <w:rsid w:val="00836441"/>
    <w:rPr>
      <w:rFonts w:ascii="Tahoma" w:hAnsi="Tahoma" w:cs="Tahoma"/>
      <w:sz w:val="16"/>
      <w:szCs w:val="16"/>
    </w:rPr>
  </w:style>
  <w:style w:type="character" w:customStyle="1" w:styleId="TextodegloboCar">
    <w:name w:val="Texto de globo Car"/>
    <w:basedOn w:val="Fuentedeprrafopredeter"/>
    <w:link w:val="Textodeglobo"/>
    <w:uiPriority w:val="99"/>
    <w:semiHidden/>
    <w:rsid w:val="00836441"/>
    <w:rPr>
      <w:rFonts w:ascii="Tahoma" w:hAnsi="Tahoma" w:cs="Tahoma"/>
      <w:sz w:val="16"/>
      <w:szCs w:val="16"/>
    </w:rPr>
  </w:style>
  <w:style w:type="paragraph" w:customStyle="1" w:styleId="Default">
    <w:name w:val="Default"/>
    <w:rsid w:val="007E3817"/>
    <w:pPr>
      <w:autoSpaceDE w:val="0"/>
      <w:autoSpaceDN w:val="0"/>
      <w:adjustRightInd w:val="0"/>
    </w:pPr>
    <w:rPr>
      <w:rFonts w:eastAsiaTheme="minorHAnsi"/>
      <w:color w:val="000000"/>
      <w:lang w:val="es-UY" w:eastAsia="en-US"/>
    </w:rPr>
  </w:style>
  <w:style w:type="paragraph" w:customStyle="1" w:styleId="Corpo">
    <w:name w:val="Corpo"/>
    <w:rsid w:val="004D7E2C"/>
    <w:rPr>
      <w:rFonts w:eastAsia="Arial Unicode MS" w:cs="Arial Unicode MS"/>
      <w:color w:val="000000"/>
      <w:u w:color="000000"/>
      <w:lang w:val="pt-BR" w:eastAsia="pt-BR"/>
    </w:rPr>
  </w:style>
  <w:style w:type="character" w:customStyle="1" w:styleId="s2">
    <w:name w:val="s2"/>
    <w:basedOn w:val="Fuentedeprrafopredeter"/>
    <w:rsid w:val="0053156F"/>
  </w:style>
  <w:style w:type="paragraph" w:styleId="Revisin">
    <w:name w:val="Revision"/>
    <w:hidden/>
    <w:uiPriority w:val="99"/>
    <w:semiHidden/>
    <w:rsid w:val="00AD59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es-AR" w:eastAsia="es-U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widowControl w:val="0"/>
      <w:outlineLvl w:val="0"/>
    </w:pPr>
    <w:rPr>
      <w:rFonts w:ascii="Corsiva" w:eastAsia="Corsiva" w:hAnsi="Corsiva" w:cs="Corsiva"/>
      <w:b/>
      <w:sz w:val="28"/>
      <w:szCs w:val="28"/>
    </w:rPr>
  </w:style>
  <w:style w:type="paragraph" w:styleId="Ttulo2">
    <w:name w:val="heading 2"/>
    <w:basedOn w:val="Normal"/>
    <w:next w:val="Normal"/>
    <w:uiPriority w:val="9"/>
    <w:semiHidden/>
    <w:unhideWhenUsed/>
    <w:qFormat/>
    <w:pPr>
      <w:keepNext/>
      <w:ind w:firstLine="567"/>
      <w:outlineLvl w:val="1"/>
    </w:pPr>
    <w:rPr>
      <w:b/>
    </w:rPr>
  </w:style>
  <w:style w:type="paragraph" w:styleId="Ttulo3">
    <w:name w:val="heading 3"/>
    <w:basedOn w:val="Normal"/>
    <w:next w:val="Normal"/>
    <w:uiPriority w:val="9"/>
    <w:semiHidden/>
    <w:unhideWhenUsed/>
    <w:qFormat/>
    <w:pPr>
      <w:keepNext/>
      <w:ind w:left="567" w:right="567"/>
      <w:jc w:val="center"/>
      <w:outlineLvl w:val="2"/>
    </w:pPr>
    <w:rPr>
      <w:b/>
    </w:rPr>
  </w:style>
  <w:style w:type="paragraph" w:styleId="Ttulo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spacing w:before="240" w:after="60"/>
      <w:jc w:val="center"/>
    </w:pPr>
    <w:rPr>
      <w:rFonts w:ascii="Cambria" w:eastAsia="Cambria" w:hAnsi="Cambria" w:cs="Cambria"/>
      <w:b/>
      <w:sz w:val="32"/>
      <w:szCs w:val="32"/>
    </w:rPr>
  </w:style>
  <w:style w:type="paragraph" w:styleId="Subttulo">
    <w:name w:val="Subtitle"/>
    <w:basedOn w:val="Normal"/>
    <w:next w:val="Normal"/>
    <w:uiPriority w:val="11"/>
    <w:qFormat/>
    <w:rPr>
      <w:color w:val="595959"/>
      <w:sz w:val="28"/>
      <w:szCs w:val="28"/>
    </w:rPr>
  </w:style>
  <w:style w:type="table" w:customStyle="1" w:styleId="2">
    <w:name w:val="2"/>
    <w:basedOn w:val="TableNormal1"/>
    <w:tblPr>
      <w:tblStyleRowBandSize w:val="1"/>
      <w:tblStyleColBandSize w:val="1"/>
      <w:tblCellMar>
        <w:top w:w="0" w:type="dxa"/>
        <w:left w:w="70" w:type="dxa"/>
        <w:bottom w:w="0" w:type="dxa"/>
        <w:right w:w="70" w:type="dxa"/>
      </w:tblCellMar>
    </w:tblPr>
  </w:style>
  <w:style w:type="table" w:customStyle="1" w:styleId="1">
    <w:name w:val="1"/>
    <w:basedOn w:val="TableNormal1"/>
    <w:tblPr>
      <w:tblStyleRowBandSize w:val="1"/>
      <w:tblStyleColBandSize w:val="1"/>
      <w:tblCellMar>
        <w:top w:w="0" w:type="dxa"/>
        <w:left w:w="70" w:type="dxa"/>
        <w:bottom w:w="0" w:type="dxa"/>
        <w:right w:w="70" w:type="dxa"/>
      </w:tblCellMar>
    </w:tbl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DH1"/>
    <w:basedOn w:val="Normal"/>
    <w:link w:val="PrrafodelistaCar"/>
    <w:uiPriority w:val="34"/>
    <w:qFormat/>
    <w:rsid w:val="00F9730E"/>
    <w:pPr>
      <w:ind w:left="720"/>
      <w:contextualSpacing/>
    </w:pPr>
  </w:style>
  <w:style w:type="paragraph" w:styleId="Piedepgina">
    <w:name w:val="footer"/>
    <w:basedOn w:val="Normal"/>
    <w:link w:val="PiedepginaCar"/>
    <w:uiPriority w:val="99"/>
    <w:unhideWhenUsed/>
    <w:rsid w:val="00622225"/>
    <w:pPr>
      <w:tabs>
        <w:tab w:val="center" w:pos="4252"/>
        <w:tab w:val="right" w:pos="8504"/>
      </w:tabs>
    </w:pPr>
  </w:style>
  <w:style w:type="character" w:customStyle="1" w:styleId="PiedepginaCar">
    <w:name w:val="Pie de página Car"/>
    <w:basedOn w:val="Fuentedeprrafopredeter"/>
    <w:link w:val="Piedepgina"/>
    <w:uiPriority w:val="99"/>
    <w:rsid w:val="00622225"/>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nhideWhenUsed/>
    <w:qFormat/>
    <w:rsid w:val="00622225"/>
    <w:pPr>
      <w:tabs>
        <w:tab w:val="center" w:pos="4252"/>
        <w:tab w:val="right" w:pos="8504"/>
      </w:tabs>
    </w:pPr>
    <w:rPr>
      <w:rFonts w:ascii="Cambria" w:eastAsia="Cambria" w:hAnsi="Cambria" w:cs="Cambria"/>
      <w:lang w:val="es-ES" w:eastAsia="en-US"/>
    </w:r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qFormat/>
    <w:rsid w:val="00622225"/>
    <w:rPr>
      <w:rFonts w:ascii="Cambria" w:eastAsia="Cambria" w:hAnsi="Cambria" w:cs="Cambria"/>
      <w:lang w:val="es-ES" w:eastAsia="en-US"/>
    </w:rPr>
  </w:style>
  <w:style w:type="paragraph" w:styleId="Textoindependiente">
    <w:name w:val="Body Text"/>
    <w:basedOn w:val="Normal"/>
    <w:link w:val="TextoindependienteCar"/>
    <w:uiPriority w:val="99"/>
    <w:unhideWhenUsed/>
    <w:rsid w:val="00B07E40"/>
    <w:pPr>
      <w:spacing w:after="120"/>
    </w:pPr>
  </w:style>
  <w:style w:type="character" w:customStyle="1" w:styleId="TextoindependienteCar">
    <w:name w:val="Texto independiente Car"/>
    <w:basedOn w:val="Fuentedeprrafopredeter"/>
    <w:link w:val="Textoindependiente"/>
    <w:uiPriority w:val="99"/>
    <w:rsid w:val="00B07E40"/>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C96413"/>
  </w:style>
  <w:style w:type="paragraph" w:customStyle="1" w:styleId="xmsonormal">
    <w:name w:val="x_msonormal"/>
    <w:basedOn w:val="Normal"/>
    <w:rsid w:val="00C96413"/>
    <w:pPr>
      <w:spacing w:before="100" w:beforeAutospacing="1" w:after="100" w:afterAutospacing="1"/>
    </w:pPr>
    <w:rPr>
      <w:rFonts w:ascii="Times New Roman" w:eastAsia="Times New Roman" w:hAnsi="Times New Roman" w:cs="Times New Roman"/>
      <w:lang w:val="es-UY"/>
    </w:rPr>
  </w:style>
  <w:style w:type="paragraph" w:styleId="Sangradetextonormal">
    <w:name w:val="Body Text Indent"/>
    <w:basedOn w:val="Normal"/>
    <w:link w:val="SangradetextonormalCar"/>
    <w:uiPriority w:val="99"/>
    <w:semiHidden/>
    <w:unhideWhenUsed/>
    <w:rsid w:val="00B878B5"/>
    <w:pPr>
      <w:spacing w:after="120"/>
      <w:ind w:left="283"/>
    </w:pPr>
  </w:style>
  <w:style w:type="character" w:customStyle="1" w:styleId="SangradetextonormalCar">
    <w:name w:val="Sangría de texto normal Car"/>
    <w:basedOn w:val="Fuentedeprrafopredeter"/>
    <w:link w:val="Sangradetextonormal"/>
    <w:uiPriority w:val="99"/>
    <w:semiHidden/>
    <w:rsid w:val="00B878B5"/>
  </w:style>
  <w:style w:type="paragraph" w:styleId="Textodeglobo">
    <w:name w:val="Balloon Text"/>
    <w:basedOn w:val="Normal"/>
    <w:link w:val="TextodegloboCar"/>
    <w:uiPriority w:val="99"/>
    <w:semiHidden/>
    <w:unhideWhenUsed/>
    <w:rsid w:val="00836441"/>
    <w:rPr>
      <w:rFonts w:ascii="Tahoma" w:hAnsi="Tahoma" w:cs="Tahoma"/>
      <w:sz w:val="16"/>
      <w:szCs w:val="16"/>
    </w:rPr>
  </w:style>
  <w:style w:type="character" w:customStyle="1" w:styleId="TextodegloboCar">
    <w:name w:val="Texto de globo Car"/>
    <w:basedOn w:val="Fuentedeprrafopredeter"/>
    <w:link w:val="Textodeglobo"/>
    <w:uiPriority w:val="99"/>
    <w:semiHidden/>
    <w:rsid w:val="00836441"/>
    <w:rPr>
      <w:rFonts w:ascii="Tahoma" w:hAnsi="Tahoma" w:cs="Tahoma"/>
      <w:sz w:val="16"/>
      <w:szCs w:val="16"/>
    </w:rPr>
  </w:style>
  <w:style w:type="paragraph" w:customStyle="1" w:styleId="Default">
    <w:name w:val="Default"/>
    <w:rsid w:val="007E3817"/>
    <w:pPr>
      <w:autoSpaceDE w:val="0"/>
      <w:autoSpaceDN w:val="0"/>
      <w:adjustRightInd w:val="0"/>
    </w:pPr>
    <w:rPr>
      <w:rFonts w:eastAsiaTheme="minorHAnsi"/>
      <w:color w:val="000000"/>
      <w:lang w:val="es-UY" w:eastAsia="en-US"/>
    </w:rPr>
  </w:style>
  <w:style w:type="paragraph" w:customStyle="1" w:styleId="Corpo">
    <w:name w:val="Corpo"/>
    <w:rsid w:val="004D7E2C"/>
    <w:rPr>
      <w:rFonts w:eastAsia="Arial Unicode MS" w:cs="Arial Unicode MS"/>
      <w:color w:val="000000"/>
      <w:u w:color="000000"/>
      <w:lang w:val="pt-BR" w:eastAsia="pt-BR"/>
    </w:rPr>
  </w:style>
  <w:style w:type="character" w:customStyle="1" w:styleId="s2">
    <w:name w:val="s2"/>
    <w:basedOn w:val="Fuentedeprrafopredeter"/>
    <w:rsid w:val="0053156F"/>
  </w:style>
  <w:style w:type="paragraph" w:styleId="Revisin">
    <w:name w:val="Revision"/>
    <w:hidden/>
    <w:uiPriority w:val="99"/>
    <w:semiHidden/>
    <w:rsid w:val="00AD5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330">
      <w:bodyDiv w:val="1"/>
      <w:marLeft w:val="0"/>
      <w:marRight w:val="0"/>
      <w:marTop w:val="0"/>
      <w:marBottom w:val="0"/>
      <w:divBdr>
        <w:top w:val="none" w:sz="0" w:space="0" w:color="auto"/>
        <w:left w:val="none" w:sz="0" w:space="0" w:color="auto"/>
        <w:bottom w:val="none" w:sz="0" w:space="0" w:color="auto"/>
        <w:right w:val="none" w:sz="0" w:space="0" w:color="auto"/>
      </w:divBdr>
    </w:div>
    <w:div w:id="32654687">
      <w:bodyDiv w:val="1"/>
      <w:marLeft w:val="0"/>
      <w:marRight w:val="0"/>
      <w:marTop w:val="0"/>
      <w:marBottom w:val="0"/>
      <w:divBdr>
        <w:top w:val="none" w:sz="0" w:space="0" w:color="auto"/>
        <w:left w:val="none" w:sz="0" w:space="0" w:color="auto"/>
        <w:bottom w:val="none" w:sz="0" w:space="0" w:color="auto"/>
        <w:right w:val="none" w:sz="0" w:space="0" w:color="auto"/>
      </w:divBdr>
    </w:div>
    <w:div w:id="40329667">
      <w:bodyDiv w:val="1"/>
      <w:marLeft w:val="0"/>
      <w:marRight w:val="0"/>
      <w:marTop w:val="0"/>
      <w:marBottom w:val="0"/>
      <w:divBdr>
        <w:top w:val="none" w:sz="0" w:space="0" w:color="auto"/>
        <w:left w:val="none" w:sz="0" w:space="0" w:color="auto"/>
        <w:bottom w:val="none" w:sz="0" w:space="0" w:color="auto"/>
        <w:right w:val="none" w:sz="0" w:space="0" w:color="auto"/>
      </w:divBdr>
      <w:divsChild>
        <w:div w:id="386493211">
          <w:marLeft w:val="0"/>
          <w:marRight w:val="0"/>
          <w:marTop w:val="0"/>
          <w:marBottom w:val="0"/>
          <w:divBdr>
            <w:top w:val="none" w:sz="0" w:space="0" w:color="auto"/>
            <w:left w:val="none" w:sz="0" w:space="0" w:color="auto"/>
            <w:bottom w:val="none" w:sz="0" w:space="0" w:color="auto"/>
            <w:right w:val="none" w:sz="0" w:space="0" w:color="auto"/>
          </w:divBdr>
          <w:divsChild>
            <w:div w:id="10054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3630">
      <w:bodyDiv w:val="1"/>
      <w:marLeft w:val="0"/>
      <w:marRight w:val="0"/>
      <w:marTop w:val="0"/>
      <w:marBottom w:val="0"/>
      <w:divBdr>
        <w:top w:val="none" w:sz="0" w:space="0" w:color="auto"/>
        <w:left w:val="none" w:sz="0" w:space="0" w:color="auto"/>
        <w:bottom w:val="none" w:sz="0" w:space="0" w:color="auto"/>
        <w:right w:val="none" w:sz="0" w:space="0" w:color="auto"/>
      </w:divBdr>
    </w:div>
    <w:div w:id="58402812">
      <w:bodyDiv w:val="1"/>
      <w:marLeft w:val="0"/>
      <w:marRight w:val="0"/>
      <w:marTop w:val="0"/>
      <w:marBottom w:val="0"/>
      <w:divBdr>
        <w:top w:val="none" w:sz="0" w:space="0" w:color="auto"/>
        <w:left w:val="none" w:sz="0" w:space="0" w:color="auto"/>
        <w:bottom w:val="none" w:sz="0" w:space="0" w:color="auto"/>
        <w:right w:val="none" w:sz="0" w:space="0" w:color="auto"/>
      </w:divBdr>
    </w:div>
    <w:div w:id="68769375">
      <w:bodyDiv w:val="1"/>
      <w:marLeft w:val="0"/>
      <w:marRight w:val="0"/>
      <w:marTop w:val="0"/>
      <w:marBottom w:val="0"/>
      <w:divBdr>
        <w:top w:val="none" w:sz="0" w:space="0" w:color="auto"/>
        <w:left w:val="none" w:sz="0" w:space="0" w:color="auto"/>
        <w:bottom w:val="none" w:sz="0" w:space="0" w:color="auto"/>
        <w:right w:val="none" w:sz="0" w:space="0" w:color="auto"/>
      </w:divBdr>
    </w:div>
    <w:div w:id="69080346">
      <w:bodyDiv w:val="1"/>
      <w:marLeft w:val="0"/>
      <w:marRight w:val="0"/>
      <w:marTop w:val="0"/>
      <w:marBottom w:val="0"/>
      <w:divBdr>
        <w:top w:val="none" w:sz="0" w:space="0" w:color="auto"/>
        <w:left w:val="none" w:sz="0" w:space="0" w:color="auto"/>
        <w:bottom w:val="none" w:sz="0" w:space="0" w:color="auto"/>
        <w:right w:val="none" w:sz="0" w:space="0" w:color="auto"/>
      </w:divBdr>
    </w:div>
    <w:div w:id="73473736">
      <w:bodyDiv w:val="1"/>
      <w:marLeft w:val="0"/>
      <w:marRight w:val="0"/>
      <w:marTop w:val="0"/>
      <w:marBottom w:val="0"/>
      <w:divBdr>
        <w:top w:val="none" w:sz="0" w:space="0" w:color="auto"/>
        <w:left w:val="none" w:sz="0" w:space="0" w:color="auto"/>
        <w:bottom w:val="none" w:sz="0" w:space="0" w:color="auto"/>
        <w:right w:val="none" w:sz="0" w:space="0" w:color="auto"/>
      </w:divBdr>
    </w:div>
    <w:div w:id="103961744">
      <w:bodyDiv w:val="1"/>
      <w:marLeft w:val="0"/>
      <w:marRight w:val="0"/>
      <w:marTop w:val="0"/>
      <w:marBottom w:val="0"/>
      <w:divBdr>
        <w:top w:val="none" w:sz="0" w:space="0" w:color="auto"/>
        <w:left w:val="none" w:sz="0" w:space="0" w:color="auto"/>
        <w:bottom w:val="none" w:sz="0" w:space="0" w:color="auto"/>
        <w:right w:val="none" w:sz="0" w:space="0" w:color="auto"/>
      </w:divBdr>
    </w:div>
    <w:div w:id="118644554">
      <w:bodyDiv w:val="1"/>
      <w:marLeft w:val="0"/>
      <w:marRight w:val="0"/>
      <w:marTop w:val="0"/>
      <w:marBottom w:val="0"/>
      <w:divBdr>
        <w:top w:val="none" w:sz="0" w:space="0" w:color="auto"/>
        <w:left w:val="none" w:sz="0" w:space="0" w:color="auto"/>
        <w:bottom w:val="none" w:sz="0" w:space="0" w:color="auto"/>
        <w:right w:val="none" w:sz="0" w:space="0" w:color="auto"/>
      </w:divBdr>
    </w:div>
    <w:div w:id="121655066">
      <w:bodyDiv w:val="1"/>
      <w:marLeft w:val="0"/>
      <w:marRight w:val="0"/>
      <w:marTop w:val="0"/>
      <w:marBottom w:val="0"/>
      <w:divBdr>
        <w:top w:val="none" w:sz="0" w:space="0" w:color="auto"/>
        <w:left w:val="none" w:sz="0" w:space="0" w:color="auto"/>
        <w:bottom w:val="none" w:sz="0" w:space="0" w:color="auto"/>
        <w:right w:val="none" w:sz="0" w:space="0" w:color="auto"/>
      </w:divBdr>
    </w:div>
    <w:div w:id="133107626">
      <w:bodyDiv w:val="1"/>
      <w:marLeft w:val="0"/>
      <w:marRight w:val="0"/>
      <w:marTop w:val="0"/>
      <w:marBottom w:val="0"/>
      <w:divBdr>
        <w:top w:val="none" w:sz="0" w:space="0" w:color="auto"/>
        <w:left w:val="none" w:sz="0" w:space="0" w:color="auto"/>
        <w:bottom w:val="none" w:sz="0" w:space="0" w:color="auto"/>
        <w:right w:val="none" w:sz="0" w:space="0" w:color="auto"/>
      </w:divBdr>
    </w:div>
    <w:div w:id="135684558">
      <w:bodyDiv w:val="1"/>
      <w:marLeft w:val="0"/>
      <w:marRight w:val="0"/>
      <w:marTop w:val="0"/>
      <w:marBottom w:val="0"/>
      <w:divBdr>
        <w:top w:val="none" w:sz="0" w:space="0" w:color="auto"/>
        <w:left w:val="none" w:sz="0" w:space="0" w:color="auto"/>
        <w:bottom w:val="none" w:sz="0" w:space="0" w:color="auto"/>
        <w:right w:val="none" w:sz="0" w:space="0" w:color="auto"/>
      </w:divBdr>
    </w:div>
    <w:div w:id="141626961">
      <w:bodyDiv w:val="1"/>
      <w:marLeft w:val="0"/>
      <w:marRight w:val="0"/>
      <w:marTop w:val="0"/>
      <w:marBottom w:val="0"/>
      <w:divBdr>
        <w:top w:val="none" w:sz="0" w:space="0" w:color="auto"/>
        <w:left w:val="none" w:sz="0" w:space="0" w:color="auto"/>
        <w:bottom w:val="none" w:sz="0" w:space="0" w:color="auto"/>
        <w:right w:val="none" w:sz="0" w:space="0" w:color="auto"/>
      </w:divBdr>
    </w:div>
    <w:div w:id="144663813">
      <w:bodyDiv w:val="1"/>
      <w:marLeft w:val="0"/>
      <w:marRight w:val="0"/>
      <w:marTop w:val="0"/>
      <w:marBottom w:val="0"/>
      <w:divBdr>
        <w:top w:val="none" w:sz="0" w:space="0" w:color="auto"/>
        <w:left w:val="none" w:sz="0" w:space="0" w:color="auto"/>
        <w:bottom w:val="none" w:sz="0" w:space="0" w:color="auto"/>
        <w:right w:val="none" w:sz="0" w:space="0" w:color="auto"/>
      </w:divBdr>
    </w:div>
    <w:div w:id="185094336">
      <w:bodyDiv w:val="1"/>
      <w:marLeft w:val="0"/>
      <w:marRight w:val="0"/>
      <w:marTop w:val="0"/>
      <w:marBottom w:val="0"/>
      <w:divBdr>
        <w:top w:val="none" w:sz="0" w:space="0" w:color="auto"/>
        <w:left w:val="none" w:sz="0" w:space="0" w:color="auto"/>
        <w:bottom w:val="none" w:sz="0" w:space="0" w:color="auto"/>
        <w:right w:val="none" w:sz="0" w:space="0" w:color="auto"/>
      </w:divBdr>
    </w:div>
    <w:div w:id="189152739">
      <w:bodyDiv w:val="1"/>
      <w:marLeft w:val="0"/>
      <w:marRight w:val="0"/>
      <w:marTop w:val="0"/>
      <w:marBottom w:val="0"/>
      <w:divBdr>
        <w:top w:val="none" w:sz="0" w:space="0" w:color="auto"/>
        <w:left w:val="none" w:sz="0" w:space="0" w:color="auto"/>
        <w:bottom w:val="none" w:sz="0" w:space="0" w:color="auto"/>
        <w:right w:val="none" w:sz="0" w:space="0" w:color="auto"/>
      </w:divBdr>
    </w:div>
    <w:div w:id="189950197">
      <w:bodyDiv w:val="1"/>
      <w:marLeft w:val="0"/>
      <w:marRight w:val="0"/>
      <w:marTop w:val="0"/>
      <w:marBottom w:val="0"/>
      <w:divBdr>
        <w:top w:val="none" w:sz="0" w:space="0" w:color="auto"/>
        <w:left w:val="none" w:sz="0" w:space="0" w:color="auto"/>
        <w:bottom w:val="none" w:sz="0" w:space="0" w:color="auto"/>
        <w:right w:val="none" w:sz="0" w:space="0" w:color="auto"/>
      </w:divBdr>
      <w:divsChild>
        <w:div w:id="101147448">
          <w:marLeft w:val="0"/>
          <w:marRight w:val="0"/>
          <w:marTop w:val="0"/>
          <w:marBottom w:val="0"/>
          <w:divBdr>
            <w:top w:val="none" w:sz="0" w:space="0" w:color="auto"/>
            <w:left w:val="none" w:sz="0" w:space="0" w:color="auto"/>
            <w:bottom w:val="none" w:sz="0" w:space="0" w:color="auto"/>
            <w:right w:val="none" w:sz="0" w:space="0" w:color="auto"/>
          </w:divBdr>
        </w:div>
      </w:divsChild>
    </w:div>
    <w:div w:id="212694172">
      <w:bodyDiv w:val="1"/>
      <w:marLeft w:val="0"/>
      <w:marRight w:val="0"/>
      <w:marTop w:val="0"/>
      <w:marBottom w:val="0"/>
      <w:divBdr>
        <w:top w:val="none" w:sz="0" w:space="0" w:color="auto"/>
        <w:left w:val="none" w:sz="0" w:space="0" w:color="auto"/>
        <w:bottom w:val="none" w:sz="0" w:space="0" w:color="auto"/>
        <w:right w:val="none" w:sz="0" w:space="0" w:color="auto"/>
      </w:divBdr>
    </w:div>
    <w:div w:id="215777065">
      <w:bodyDiv w:val="1"/>
      <w:marLeft w:val="0"/>
      <w:marRight w:val="0"/>
      <w:marTop w:val="0"/>
      <w:marBottom w:val="0"/>
      <w:divBdr>
        <w:top w:val="none" w:sz="0" w:space="0" w:color="auto"/>
        <w:left w:val="none" w:sz="0" w:space="0" w:color="auto"/>
        <w:bottom w:val="none" w:sz="0" w:space="0" w:color="auto"/>
        <w:right w:val="none" w:sz="0" w:space="0" w:color="auto"/>
      </w:divBdr>
    </w:div>
    <w:div w:id="221871230">
      <w:bodyDiv w:val="1"/>
      <w:marLeft w:val="0"/>
      <w:marRight w:val="0"/>
      <w:marTop w:val="0"/>
      <w:marBottom w:val="0"/>
      <w:divBdr>
        <w:top w:val="none" w:sz="0" w:space="0" w:color="auto"/>
        <w:left w:val="none" w:sz="0" w:space="0" w:color="auto"/>
        <w:bottom w:val="none" w:sz="0" w:space="0" w:color="auto"/>
        <w:right w:val="none" w:sz="0" w:space="0" w:color="auto"/>
      </w:divBdr>
    </w:div>
    <w:div w:id="235944027">
      <w:bodyDiv w:val="1"/>
      <w:marLeft w:val="0"/>
      <w:marRight w:val="0"/>
      <w:marTop w:val="0"/>
      <w:marBottom w:val="0"/>
      <w:divBdr>
        <w:top w:val="none" w:sz="0" w:space="0" w:color="auto"/>
        <w:left w:val="none" w:sz="0" w:space="0" w:color="auto"/>
        <w:bottom w:val="none" w:sz="0" w:space="0" w:color="auto"/>
        <w:right w:val="none" w:sz="0" w:space="0" w:color="auto"/>
      </w:divBdr>
    </w:div>
    <w:div w:id="255870698">
      <w:bodyDiv w:val="1"/>
      <w:marLeft w:val="0"/>
      <w:marRight w:val="0"/>
      <w:marTop w:val="0"/>
      <w:marBottom w:val="0"/>
      <w:divBdr>
        <w:top w:val="none" w:sz="0" w:space="0" w:color="auto"/>
        <w:left w:val="none" w:sz="0" w:space="0" w:color="auto"/>
        <w:bottom w:val="none" w:sz="0" w:space="0" w:color="auto"/>
        <w:right w:val="none" w:sz="0" w:space="0" w:color="auto"/>
      </w:divBdr>
    </w:div>
    <w:div w:id="255986343">
      <w:bodyDiv w:val="1"/>
      <w:marLeft w:val="0"/>
      <w:marRight w:val="0"/>
      <w:marTop w:val="0"/>
      <w:marBottom w:val="0"/>
      <w:divBdr>
        <w:top w:val="none" w:sz="0" w:space="0" w:color="auto"/>
        <w:left w:val="none" w:sz="0" w:space="0" w:color="auto"/>
        <w:bottom w:val="none" w:sz="0" w:space="0" w:color="auto"/>
        <w:right w:val="none" w:sz="0" w:space="0" w:color="auto"/>
      </w:divBdr>
    </w:div>
    <w:div w:id="289168382">
      <w:bodyDiv w:val="1"/>
      <w:marLeft w:val="0"/>
      <w:marRight w:val="0"/>
      <w:marTop w:val="0"/>
      <w:marBottom w:val="0"/>
      <w:divBdr>
        <w:top w:val="none" w:sz="0" w:space="0" w:color="auto"/>
        <w:left w:val="none" w:sz="0" w:space="0" w:color="auto"/>
        <w:bottom w:val="none" w:sz="0" w:space="0" w:color="auto"/>
        <w:right w:val="none" w:sz="0" w:space="0" w:color="auto"/>
      </w:divBdr>
    </w:div>
    <w:div w:id="302198230">
      <w:bodyDiv w:val="1"/>
      <w:marLeft w:val="0"/>
      <w:marRight w:val="0"/>
      <w:marTop w:val="0"/>
      <w:marBottom w:val="0"/>
      <w:divBdr>
        <w:top w:val="none" w:sz="0" w:space="0" w:color="auto"/>
        <w:left w:val="none" w:sz="0" w:space="0" w:color="auto"/>
        <w:bottom w:val="none" w:sz="0" w:space="0" w:color="auto"/>
        <w:right w:val="none" w:sz="0" w:space="0" w:color="auto"/>
      </w:divBdr>
    </w:div>
    <w:div w:id="307366804">
      <w:bodyDiv w:val="1"/>
      <w:marLeft w:val="0"/>
      <w:marRight w:val="0"/>
      <w:marTop w:val="0"/>
      <w:marBottom w:val="0"/>
      <w:divBdr>
        <w:top w:val="none" w:sz="0" w:space="0" w:color="auto"/>
        <w:left w:val="none" w:sz="0" w:space="0" w:color="auto"/>
        <w:bottom w:val="none" w:sz="0" w:space="0" w:color="auto"/>
        <w:right w:val="none" w:sz="0" w:space="0" w:color="auto"/>
      </w:divBdr>
    </w:div>
    <w:div w:id="310720769">
      <w:bodyDiv w:val="1"/>
      <w:marLeft w:val="0"/>
      <w:marRight w:val="0"/>
      <w:marTop w:val="0"/>
      <w:marBottom w:val="0"/>
      <w:divBdr>
        <w:top w:val="none" w:sz="0" w:space="0" w:color="auto"/>
        <w:left w:val="none" w:sz="0" w:space="0" w:color="auto"/>
        <w:bottom w:val="none" w:sz="0" w:space="0" w:color="auto"/>
        <w:right w:val="none" w:sz="0" w:space="0" w:color="auto"/>
      </w:divBdr>
    </w:div>
    <w:div w:id="312219270">
      <w:bodyDiv w:val="1"/>
      <w:marLeft w:val="0"/>
      <w:marRight w:val="0"/>
      <w:marTop w:val="0"/>
      <w:marBottom w:val="0"/>
      <w:divBdr>
        <w:top w:val="none" w:sz="0" w:space="0" w:color="auto"/>
        <w:left w:val="none" w:sz="0" w:space="0" w:color="auto"/>
        <w:bottom w:val="none" w:sz="0" w:space="0" w:color="auto"/>
        <w:right w:val="none" w:sz="0" w:space="0" w:color="auto"/>
      </w:divBdr>
    </w:div>
    <w:div w:id="313727139">
      <w:bodyDiv w:val="1"/>
      <w:marLeft w:val="0"/>
      <w:marRight w:val="0"/>
      <w:marTop w:val="0"/>
      <w:marBottom w:val="0"/>
      <w:divBdr>
        <w:top w:val="none" w:sz="0" w:space="0" w:color="auto"/>
        <w:left w:val="none" w:sz="0" w:space="0" w:color="auto"/>
        <w:bottom w:val="none" w:sz="0" w:space="0" w:color="auto"/>
        <w:right w:val="none" w:sz="0" w:space="0" w:color="auto"/>
      </w:divBdr>
    </w:div>
    <w:div w:id="332151947">
      <w:bodyDiv w:val="1"/>
      <w:marLeft w:val="0"/>
      <w:marRight w:val="0"/>
      <w:marTop w:val="0"/>
      <w:marBottom w:val="0"/>
      <w:divBdr>
        <w:top w:val="none" w:sz="0" w:space="0" w:color="auto"/>
        <w:left w:val="none" w:sz="0" w:space="0" w:color="auto"/>
        <w:bottom w:val="none" w:sz="0" w:space="0" w:color="auto"/>
        <w:right w:val="none" w:sz="0" w:space="0" w:color="auto"/>
      </w:divBdr>
    </w:div>
    <w:div w:id="340280215">
      <w:bodyDiv w:val="1"/>
      <w:marLeft w:val="0"/>
      <w:marRight w:val="0"/>
      <w:marTop w:val="0"/>
      <w:marBottom w:val="0"/>
      <w:divBdr>
        <w:top w:val="none" w:sz="0" w:space="0" w:color="auto"/>
        <w:left w:val="none" w:sz="0" w:space="0" w:color="auto"/>
        <w:bottom w:val="none" w:sz="0" w:space="0" w:color="auto"/>
        <w:right w:val="none" w:sz="0" w:space="0" w:color="auto"/>
      </w:divBdr>
    </w:div>
    <w:div w:id="362294647">
      <w:bodyDiv w:val="1"/>
      <w:marLeft w:val="0"/>
      <w:marRight w:val="0"/>
      <w:marTop w:val="0"/>
      <w:marBottom w:val="0"/>
      <w:divBdr>
        <w:top w:val="none" w:sz="0" w:space="0" w:color="auto"/>
        <w:left w:val="none" w:sz="0" w:space="0" w:color="auto"/>
        <w:bottom w:val="none" w:sz="0" w:space="0" w:color="auto"/>
        <w:right w:val="none" w:sz="0" w:space="0" w:color="auto"/>
      </w:divBdr>
    </w:div>
    <w:div w:id="368343009">
      <w:bodyDiv w:val="1"/>
      <w:marLeft w:val="0"/>
      <w:marRight w:val="0"/>
      <w:marTop w:val="0"/>
      <w:marBottom w:val="0"/>
      <w:divBdr>
        <w:top w:val="none" w:sz="0" w:space="0" w:color="auto"/>
        <w:left w:val="none" w:sz="0" w:space="0" w:color="auto"/>
        <w:bottom w:val="none" w:sz="0" w:space="0" w:color="auto"/>
        <w:right w:val="none" w:sz="0" w:space="0" w:color="auto"/>
      </w:divBdr>
    </w:div>
    <w:div w:id="426342238">
      <w:bodyDiv w:val="1"/>
      <w:marLeft w:val="0"/>
      <w:marRight w:val="0"/>
      <w:marTop w:val="0"/>
      <w:marBottom w:val="0"/>
      <w:divBdr>
        <w:top w:val="none" w:sz="0" w:space="0" w:color="auto"/>
        <w:left w:val="none" w:sz="0" w:space="0" w:color="auto"/>
        <w:bottom w:val="none" w:sz="0" w:space="0" w:color="auto"/>
        <w:right w:val="none" w:sz="0" w:space="0" w:color="auto"/>
      </w:divBdr>
    </w:div>
    <w:div w:id="444886007">
      <w:bodyDiv w:val="1"/>
      <w:marLeft w:val="0"/>
      <w:marRight w:val="0"/>
      <w:marTop w:val="0"/>
      <w:marBottom w:val="0"/>
      <w:divBdr>
        <w:top w:val="none" w:sz="0" w:space="0" w:color="auto"/>
        <w:left w:val="none" w:sz="0" w:space="0" w:color="auto"/>
        <w:bottom w:val="none" w:sz="0" w:space="0" w:color="auto"/>
        <w:right w:val="none" w:sz="0" w:space="0" w:color="auto"/>
      </w:divBdr>
    </w:div>
    <w:div w:id="519315679">
      <w:bodyDiv w:val="1"/>
      <w:marLeft w:val="0"/>
      <w:marRight w:val="0"/>
      <w:marTop w:val="0"/>
      <w:marBottom w:val="0"/>
      <w:divBdr>
        <w:top w:val="none" w:sz="0" w:space="0" w:color="auto"/>
        <w:left w:val="none" w:sz="0" w:space="0" w:color="auto"/>
        <w:bottom w:val="none" w:sz="0" w:space="0" w:color="auto"/>
        <w:right w:val="none" w:sz="0" w:space="0" w:color="auto"/>
      </w:divBdr>
    </w:div>
    <w:div w:id="519898261">
      <w:bodyDiv w:val="1"/>
      <w:marLeft w:val="0"/>
      <w:marRight w:val="0"/>
      <w:marTop w:val="0"/>
      <w:marBottom w:val="0"/>
      <w:divBdr>
        <w:top w:val="none" w:sz="0" w:space="0" w:color="auto"/>
        <w:left w:val="none" w:sz="0" w:space="0" w:color="auto"/>
        <w:bottom w:val="none" w:sz="0" w:space="0" w:color="auto"/>
        <w:right w:val="none" w:sz="0" w:space="0" w:color="auto"/>
      </w:divBdr>
    </w:div>
    <w:div w:id="531115885">
      <w:bodyDiv w:val="1"/>
      <w:marLeft w:val="0"/>
      <w:marRight w:val="0"/>
      <w:marTop w:val="0"/>
      <w:marBottom w:val="0"/>
      <w:divBdr>
        <w:top w:val="none" w:sz="0" w:space="0" w:color="auto"/>
        <w:left w:val="none" w:sz="0" w:space="0" w:color="auto"/>
        <w:bottom w:val="none" w:sz="0" w:space="0" w:color="auto"/>
        <w:right w:val="none" w:sz="0" w:space="0" w:color="auto"/>
      </w:divBdr>
    </w:div>
    <w:div w:id="608662898">
      <w:bodyDiv w:val="1"/>
      <w:marLeft w:val="0"/>
      <w:marRight w:val="0"/>
      <w:marTop w:val="0"/>
      <w:marBottom w:val="0"/>
      <w:divBdr>
        <w:top w:val="none" w:sz="0" w:space="0" w:color="auto"/>
        <w:left w:val="none" w:sz="0" w:space="0" w:color="auto"/>
        <w:bottom w:val="none" w:sz="0" w:space="0" w:color="auto"/>
        <w:right w:val="none" w:sz="0" w:space="0" w:color="auto"/>
      </w:divBdr>
    </w:div>
    <w:div w:id="613639031">
      <w:bodyDiv w:val="1"/>
      <w:marLeft w:val="0"/>
      <w:marRight w:val="0"/>
      <w:marTop w:val="0"/>
      <w:marBottom w:val="0"/>
      <w:divBdr>
        <w:top w:val="none" w:sz="0" w:space="0" w:color="auto"/>
        <w:left w:val="none" w:sz="0" w:space="0" w:color="auto"/>
        <w:bottom w:val="none" w:sz="0" w:space="0" w:color="auto"/>
        <w:right w:val="none" w:sz="0" w:space="0" w:color="auto"/>
      </w:divBdr>
    </w:div>
    <w:div w:id="669408715">
      <w:bodyDiv w:val="1"/>
      <w:marLeft w:val="0"/>
      <w:marRight w:val="0"/>
      <w:marTop w:val="0"/>
      <w:marBottom w:val="0"/>
      <w:divBdr>
        <w:top w:val="none" w:sz="0" w:space="0" w:color="auto"/>
        <w:left w:val="none" w:sz="0" w:space="0" w:color="auto"/>
        <w:bottom w:val="none" w:sz="0" w:space="0" w:color="auto"/>
        <w:right w:val="none" w:sz="0" w:space="0" w:color="auto"/>
      </w:divBdr>
    </w:div>
    <w:div w:id="673799145">
      <w:bodyDiv w:val="1"/>
      <w:marLeft w:val="0"/>
      <w:marRight w:val="0"/>
      <w:marTop w:val="0"/>
      <w:marBottom w:val="0"/>
      <w:divBdr>
        <w:top w:val="none" w:sz="0" w:space="0" w:color="auto"/>
        <w:left w:val="none" w:sz="0" w:space="0" w:color="auto"/>
        <w:bottom w:val="none" w:sz="0" w:space="0" w:color="auto"/>
        <w:right w:val="none" w:sz="0" w:space="0" w:color="auto"/>
      </w:divBdr>
    </w:div>
    <w:div w:id="682362948">
      <w:bodyDiv w:val="1"/>
      <w:marLeft w:val="0"/>
      <w:marRight w:val="0"/>
      <w:marTop w:val="0"/>
      <w:marBottom w:val="0"/>
      <w:divBdr>
        <w:top w:val="none" w:sz="0" w:space="0" w:color="auto"/>
        <w:left w:val="none" w:sz="0" w:space="0" w:color="auto"/>
        <w:bottom w:val="none" w:sz="0" w:space="0" w:color="auto"/>
        <w:right w:val="none" w:sz="0" w:space="0" w:color="auto"/>
      </w:divBdr>
    </w:div>
    <w:div w:id="689449793">
      <w:bodyDiv w:val="1"/>
      <w:marLeft w:val="0"/>
      <w:marRight w:val="0"/>
      <w:marTop w:val="0"/>
      <w:marBottom w:val="0"/>
      <w:divBdr>
        <w:top w:val="none" w:sz="0" w:space="0" w:color="auto"/>
        <w:left w:val="none" w:sz="0" w:space="0" w:color="auto"/>
        <w:bottom w:val="none" w:sz="0" w:space="0" w:color="auto"/>
        <w:right w:val="none" w:sz="0" w:space="0" w:color="auto"/>
      </w:divBdr>
    </w:div>
    <w:div w:id="733355133">
      <w:bodyDiv w:val="1"/>
      <w:marLeft w:val="0"/>
      <w:marRight w:val="0"/>
      <w:marTop w:val="0"/>
      <w:marBottom w:val="0"/>
      <w:divBdr>
        <w:top w:val="none" w:sz="0" w:space="0" w:color="auto"/>
        <w:left w:val="none" w:sz="0" w:space="0" w:color="auto"/>
        <w:bottom w:val="none" w:sz="0" w:space="0" w:color="auto"/>
        <w:right w:val="none" w:sz="0" w:space="0" w:color="auto"/>
      </w:divBdr>
    </w:div>
    <w:div w:id="756445792">
      <w:bodyDiv w:val="1"/>
      <w:marLeft w:val="0"/>
      <w:marRight w:val="0"/>
      <w:marTop w:val="0"/>
      <w:marBottom w:val="0"/>
      <w:divBdr>
        <w:top w:val="none" w:sz="0" w:space="0" w:color="auto"/>
        <w:left w:val="none" w:sz="0" w:space="0" w:color="auto"/>
        <w:bottom w:val="none" w:sz="0" w:space="0" w:color="auto"/>
        <w:right w:val="none" w:sz="0" w:space="0" w:color="auto"/>
      </w:divBdr>
    </w:div>
    <w:div w:id="768697791">
      <w:bodyDiv w:val="1"/>
      <w:marLeft w:val="0"/>
      <w:marRight w:val="0"/>
      <w:marTop w:val="0"/>
      <w:marBottom w:val="0"/>
      <w:divBdr>
        <w:top w:val="none" w:sz="0" w:space="0" w:color="auto"/>
        <w:left w:val="none" w:sz="0" w:space="0" w:color="auto"/>
        <w:bottom w:val="none" w:sz="0" w:space="0" w:color="auto"/>
        <w:right w:val="none" w:sz="0" w:space="0" w:color="auto"/>
      </w:divBdr>
    </w:div>
    <w:div w:id="774326708">
      <w:bodyDiv w:val="1"/>
      <w:marLeft w:val="0"/>
      <w:marRight w:val="0"/>
      <w:marTop w:val="0"/>
      <w:marBottom w:val="0"/>
      <w:divBdr>
        <w:top w:val="none" w:sz="0" w:space="0" w:color="auto"/>
        <w:left w:val="none" w:sz="0" w:space="0" w:color="auto"/>
        <w:bottom w:val="none" w:sz="0" w:space="0" w:color="auto"/>
        <w:right w:val="none" w:sz="0" w:space="0" w:color="auto"/>
      </w:divBdr>
    </w:div>
    <w:div w:id="816459559">
      <w:bodyDiv w:val="1"/>
      <w:marLeft w:val="0"/>
      <w:marRight w:val="0"/>
      <w:marTop w:val="0"/>
      <w:marBottom w:val="0"/>
      <w:divBdr>
        <w:top w:val="none" w:sz="0" w:space="0" w:color="auto"/>
        <w:left w:val="none" w:sz="0" w:space="0" w:color="auto"/>
        <w:bottom w:val="none" w:sz="0" w:space="0" w:color="auto"/>
        <w:right w:val="none" w:sz="0" w:space="0" w:color="auto"/>
      </w:divBdr>
    </w:div>
    <w:div w:id="826438434">
      <w:bodyDiv w:val="1"/>
      <w:marLeft w:val="0"/>
      <w:marRight w:val="0"/>
      <w:marTop w:val="0"/>
      <w:marBottom w:val="0"/>
      <w:divBdr>
        <w:top w:val="none" w:sz="0" w:space="0" w:color="auto"/>
        <w:left w:val="none" w:sz="0" w:space="0" w:color="auto"/>
        <w:bottom w:val="none" w:sz="0" w:space="0" w:color="auto"/>
        <w:right w:val="none" w:sz="0" w:space="0" w:color="auto"/>
      </w:divBdr>
    </w:div>
    <w:div w:id="833297379">
      <w:bodyDiv w:val="1"/>
      <w:marLeft w:val="0"/>
      <w:marRight w:val="0"/>
      <w:marTop w:val="0"/>
      <w:marBottom w:val="0"/>
      <w:divBdr>
        <w:top w:val="none" w:sz="0" w:space="0" w:color="auto"/>
        <w:left w:val="none" w:sz="0" w:space="0" w:color="auto"/>
        <w:bottom w:val="none" w:sz="0" w:space="0" w:color="auto"/>
        <w:right w:val="none" w:sz="0" w:space="0" w:color="auto"/>
      </w:divBdr>
    </w:div>
    <w:div w:id="842279515">
      <w:bodyDiv w:val="1"/>
      <w:marLeft w:val="0"/>
      <w:marRight w:val="0"/>
      <w:marTop w:val="0"/>
      <w:marBottom w:val="0"/>
      <w:divBdr>
        <w:top w:val="none" w:sz="0" w:space="0" w:color="auto"/>
        <w:left w:val="none" w:sz="0" w:space="0" w:color="auto"/>
        <w:bottom w:val="none" w:sz="0" w:space="0" w:color="auto"/>
        <w:right w:val="none" w:sz="0" w:space="0" w:color="auto"/>
      </w:divBdr>
    </w:div>
    <w:div w:id="879633119">
      <w:bodyDiv w:val="1"/>
      <w:marLeft w:val="0"/>
      <w:marRight w:val="0"/>
      <w:marTop w:val="0"/>
      <w:marBottom w:val="0"/>
      <w:divBdr>
        <w:top w:val="none" w:sz="0" w:space="0" w:color="auto"/>
        <w:left w:val="none" w:sz="0" w:space="0" w:color="auto"/>
        <w:bottom w:val="none" w:sz="0" w:space="0" w:color="auto"/>
        <w:right w:val="none" w:sz="0" w:space="0" w:color="auto"/>
      </w:divBdr>
    </w:div>
    <w:div w:id="898248723">
      <w:bodyDiv w:val="1"/>
      <w:marLeft w:val="0"/>
      <w:marRight w:val="0"/>
      <w:marTop w:val="0"/>
      <w:marBottom w:val="0"/>
      <w:divBdr>
        <w:top w:val="none" w:sz="0" w:space="0" w:color="auto"/>
        <w:left w:val="none" w:sz="0" w:space="0" w:color="auto"/>
        <w:bottom w:val="none" w:sz="0" w:space="0" w:color="auto"/>
        <w:right w:val="none" w:sz="0" w:space="0" w:color="auto"/>
      </w:divBdr>
    </w:div>
    <w:div w:id="908925657">
      <w:bodyDiv w:val="1"/>
      <w:marLeft w:val="0"/>
      <w:marRight w:val="0"/>
      <w:marTop w:val="0"/>
      <w:marBottom w:val="0"/>
      <w:divBdr>
        <w:top w:val="none" w:sz="0" w:space="0" w:color="auto"/>
        <w:left w:val="none" w:sz="0" w:space="0" w:color="auto"/>
        <w:bottom w:val="none" w:sz="0" w:space="0" w:color="auto"/>
        <w:right w:val="none" w:sz="0" w:space="0" w:color="auto"/>
      </w:divBdr>
    </w:div>
    <w:div w:id="961498408">
      <w:bodyDiv w:val="1"/>
      <w:marLeft w:val="0"/>
      <w:marRight w:val="0"/>
      <w:marTop w:val="0"/>
      <w:marBottom w:val="0"/>
      <w:divBdr>
        <w:top w:val="none" w:sz="0" w:space="0" w:color="auto"/>
        <w:left w:val="none" w:sz="0" w:space="0" w:color="auto"/>
        <w:bottom w:val="none" w:sz="0" w:space="0" w:color="auto"/>
        <w:right w:val="none" w:sz="0" w:space="0" w:color="auto"/>
      </w:divBdr>
    </w:div>
    <w:div w:id="974339143">
      <w:bodyDiv w:val="1"/>
      <w:marLeft w:val="0"/>
      <w:marRight w:val="0"/>
      <w:marTop w:val="0"/>
      <w:marBottom w:val="0"/>
      <w:divBdr>
        <w:top w:val="none" w:sz="0" w:space="0" w:color="auto"/>
        <w:left w:val="none" w:sz="0" w:space="0" w:color="auto"/>
        <w:bottom w:val="none" w:sz="0" w:space="0" w:color="auto"/>
        <w:right w:val="none" w:sz="0" w:space="0" w:color="auto"/>
      </w:divBdr>
    </w:div>
    <w:div w:id="1014309525">
      <w:bodyDiv w:val="1"/>
      <w:marLeft w:val="0"/>
      <w:marRight w:val="0"/>
      <w:marTop w:val="0"/>
      <w:marBottom w:val="0"/>
      <w:divBdr>
        <w:top w:val="none" w:sz="0" w:space="0" w:color="auto"/>
        <w:left w:val="none" w:sz="0" w:space="0" w:color="auto"/>
        <w:bottom w:val="none" w:sz="0" w:space="0" w:color="auto"/>
        <w:right w:val="none" w:sz="0" w:space="0" w:color="auto"/>
      </w:divBdr>
    </w:div>
    <w:div w:id="1014574931">
      <w:bodyDiv w:val="1"/>
      <w:marLeft w:val="0"/>
      <w:marRight w:val="0"/>
      <w:marTop w:val="0"/>
      <w:marBottom w:val="0"/>
      <w:divBdr>
        <w:top w:val="none" w:sz="0" w:space="0" w:color="auto"/>
        <w:left w:val="none" w:sz="0" w:space="0" w:color="auto"/>
        <w:bottom w:val="none" w:sz="0" w:space="0" w:color="auto"/>
        <w:right w:val="none" w:sz="0" w:space="0" w:color="auto"/>
      </w:divBdr>
    </w:div>
    <w:div w:id="1022586840">
      <w:bodyDiv w:val="1"/>
      <w:marLeft w:val="0"/>
      <w:marRight w:val="0"/>
      <w:marTop w:val="0"/>
      <w:marBottom w:val="0"/>
      <w:divBdr>
        <w:top w:val="none" w:sz="0" w:space="0" w:color="auto"/>
        <w:left w:val="none" w:sz="0" w:space="0" w:color="auto"/>
        <w:bottom w:val="none" w:sz="0" w:space="0" w:color="auto"/>
        <w:right w:val="none" w:sz="0" w:space="0" w:color="auto"/>
      </w:divBdr>
    </w:div>
    <w:div w:id="1025442347">
      <w:bodyDiv w:val="1"/>
      <w:marLeft w:val="0"/>
      <w:marRight w:val="0"/>
      <w:marTop w:val="0"/>
      <w:marBottom w:val="0"/>
      <w:divBdr>
        <w:top w:val="none" w:sz="0" w:space="0" w:color="auto"/>
        <w:left w:val="none" w:sz="0" w:space="0" w:color="auto"/>
        <w:bottom w:val="none" w:sz="0" w:space="0" w:color="auto"/>
        <w:right w:val="none" w:sz="0" w:space="0" w:color="auto"/>
      </w:divBdr>
    </w:div>
    <w:div w:id="1038162531">
      <w:bodyDiv w:val="1"/>
      <w:marLeft w:val="0"/>
      <w:marRight w:val="0"/>
      <w:marTop w:val="0"/>
      <w:marBottom w:val="0"/>
      <w:divBdr>
        <w:top w:val="none" w:sz="0" w:space="0" w:color="auto"/>
        <w:left w:val="none" w:sz="0" w:space="0" w:color="auto"/>
        <w:bottom w:val="none" w:sz="0" w:space="0" w:color="auto"/>
        <w:right w:val="none" w:sz="0" w:space="0" w:color="auto"/>
      </w:divBdr>
    </w:div>
    <w:div w:id="1044982296">
      <w:bodyDiv w:val="1"/>
      <w:marLeft w:val="0"/>
      <w:marRight w:val="0"/>
      <w:marTop w:val="0"/>
      <w:marBottom w:val="0"/>
      <w:divBdr>
        <w:top w:val="none" w:sz="0" w:space="0" w:color="auto"/>
        <w:left w:val="none" w:sz="0" w:space="0" w:color="auto"/>
        <w:bottom w:val="none" w:sz="0" w:space="0" w:color="auto"/>
        <w:right w:val="none" w:sz="0" w:space="0" w:color="auto"/>
      </w:divBdr>
    </w:div>
    <w:div w:id="1047339921">
      <w:bodyDiv w:val="1"/>
      <w:marLeft w:val="0"/>
      <w:marRight w:val="0"/>
      <w:marTop w:val="0"/>
      <w:marBottom w:val="0"/>
      <w:divBdr>
        <w:top w:val="none" w:sz="0" w:space="0" w:color="auto"/>
        <w:left w:val="none" w:sz="0" w:space="0" w:color="auto"/>
        <w:bottom w:val="none" w:sz="0" w:space="0" w:color="auto"/>
        <w:right w:val="none" w:sz="0" w:space="0" w:color="auto"/>
      </w:divBdr>
    </w:div>
    <w:div w:id="1051729647">
      <w:bodyDiv w:val="1"/>
      <w:marLeft w:val="0"/>
      <w:marRight w:val="0"/>
      <w:marTop w:val="0"/>
      <w:marBottom w:val="0"/>
      <w:divBdr>
        <w:top w:val="none" w:sz="0" w:space="0" w:color="auto"/>
        <w:left w:val="none" w:sz="0" w:space="0" w:color="auto"/>
        <w:bottom w:val="none" w:sz="0" w:space="0" w:color="auto"/>
        <w:right w:val="none" w:sz="0" w:space="0" w:color="auto"/>
      </w:divBdr>
    </w:div>
    <w:div w:id="1064066560">
      <w:bodyDiv w:val="1"/>
      <w:marLeft w:val="0"/>
      <w:marRight w:val="0"/>
      <w:marTop w:val="0"/>
      <w:marBottom w:val="0"/>
      <w:divBdr>
        <w:top w:val="none" w:sz="0" w:space="0" w:color="auto"/>
        <w:left w:val="none" w:sz="0" w:space="0" w:color="auto"/>
        <w:bottom w:val="none" w:sz="0" w:space="0" w:color="auto"/>
        <w:right w:val="none" w:sz="0" w:space="0" w:color="auto"/>
      </w:divBdr>
    </w:div>
    <w:div w:id="1097753285">
      <w:bodyDiv w:val="1"/>
      <w:marLeft w:val="0"/>
      <w:marRight w:val="0"/>
      <w:marTop w:val="0"/>
      <w:marBottom w:val="0"/>
      <w:divBdr>
        <w:top w:val="none" w:sz="0" w:space="0" w:color="auto"/>
        <w:left w:val="none" w:sz="0" w:space="0" w:color="auto"/>
        <w:bottom w:val="none" w:sz="0" w:space="0" w:color="auto"/>
        <w:right w:val="none" w:sz="0" w:space="0" w:color="auto"/>
      </w:divBdr>
    </w:div>
    <w:div w:id="1165827492">
      <w:bodyDiv w:val="1"/>
      <w:marLeft w:val="0"/>
      <w:marRight w:val="0"/>
      <w:marTop w:val="0"/>
      <w:marBottom w:val="0"/>
      <w:divBdr>
        <w:top w:val="none" w:sz="0" w:space="0" w:color="auto"/>
        <w:left w:val="none" w:sz="0" w:space="0" w:color="auto"/>
        <w:bottom w:val="none" w:sz="0" w:space="0" w:color="auto"/>
        <w:right w:val="none" w:sz="0" w:space="0" w:color="auto"/>
      </w:divBdr>
    </w:div>
    <w:div w:id="1178809489">
      <w:bodyDiv w:val="1"/>
      <w:marLeft w:val="0"/>
      <w:marRight w:val="0"/>
      <w:marTop w:val="0"/>
      <w:marBottom w:val="0"/>
      <w:divBdr>
        <w:top w:val="none" w:sz="0" w:space="0" w:color="auto"/>
        <w:left w:val="none" w:sz="0" w:space="0" w:color="auto"/>
        <w:bottom w:val="none" w:sz="0" w:space="0" w:color="auto"/>
        <w:right w:val="none" w:sz="0" w:space="0" w:color="auto"/>
      </w:divBdr>
    </w:div>
    <w:div w:id="1197306255">
      <w:bodyDiv w:val="1"/>
      <w:marLeft w:val="0"/>
      <w:marRight w:val="0"/>
      <w:marTop w:val="0"/>
      <w:marBottom w:val="0"/>
      <w:divBdr>
        <w:top w:val="none" w:sz="0" w:space="0" w:color="auto"/>
        <w:left w:val="none" w:sz="0" w:space="0" w:color="auto"/>
        <w:bottom w:val="none" w:sz="0" w:space="0" w:color="auto"/>
        <w:right w:val="none" w:sz="0" w:space="0" w:color="auto"/>
      </w:divBdr>
    </w:div>
    <w:div w:id="1210800764">
      <w:bodyDiv w:val="1"/>
      <w:marLeft w:val="0"/>
      <w:marRight w:val="0"/>
      <w:marTop w:val="0"/>
      <w:marBottom w:val="0"/>
      <w:divBdr>
        <w:top w:val="none" w:sz="0" w:space="0" w:color="auto"/>
        <w:left w:val="none" w:sz="0" w:space="0" w:color="auto"/>
        <w:bottom w:val="none" w:sz="0" w:space="0" w:color="auto"/>
        <w:right w:val="none" w:sz="0" w:space="0" w:color="auto"/>
      </w:divBdr>
    </w:div>
    <w:div w:id="1227373391">
      <w:bodyDiv w:val="1"/>
      <w:marLeft w:val="0"/>
      <w:marRight w:val="0"/>
      <w:marTop w:val="0"/>
      <w:marBottom w:val="0"/>
      <w:divBdr>
        <w:top w:val="none" w:sz="0" w:space="0" w:color="auto"/>
        <w:left w:val="none" w:sz="0" w:space="0" w:color="auto"/>
        <w:bottom w:val="none" w:sz="0" w:space="0" w:color="auto"/>
        <w:right w:val="none" w:sz="0" w:space="0" w:color="auto"/>
      </w:divBdr>
    </w:div>
    <w:div w:id="1257324678">
      <w:bodyDiv w:val="1"/>
      <w:marLeft w:val="0"/>
      <w:marRight w:val="0"/>
      <w:marTop w:val="0"/>
      <w:marBottom w:val="0"/>
      <w:divBdr>
        <w:top w:val="none" w:sz="0" w:space="0" w:color="auto"/>
        <w:left w:val="none" w:sz="0" w:space="0" w:color="auto"/>
        <w:bottom w:val="none" w:sz="0" w:space="0" w:color="auto"/>
        <w:right w:val="none" w:sz="0" w:space="0" w:color="auto"/>
      </w:divBdr>
    </w:div>
    <w:div w:id="1278100683">
      <w:bodyDiv w:val="1"/>
      <w:marLeft w:val="0"/>
      <w:marRight w:val="0"/>
      <w:marTop w:val="0"/>
      <w:marBottom w:val="0"/>
      <w:divBdr>
        <w:top w:val="none" w:sz="0" w:space="0" w:color="auto"/>
        <w:left w:val="none" w:sz="0" w:space="0" w:color="auto"/>
        <w:bottom w:val="none" w:sz="0" w:space="0" w:color="auto"/>
        <w:right w:val="none" w:sz="0" w:space="0" w:color="auto"/>
      </w:divBdr>
    </w:div>
    <w:div w:id="1294870673">
      <w:bodyDiv w:val="1"/>
      <w:marLeft w:val="0"/>
      <w:marRight w:val="0"/>
      <w:marTop w:val="0"/>
      <w:marBottom w:val="0"/>
      <w:divBdr>
        <w:top w:val="none" w:sz="0" w:space="0" w:color="auto"/>
        <w:left w:val="none" w:sz="0" w:space="0" w:color="auto"/>
        <w:bottom w:val="none" w:sz="0" w:space="0" w:color="auto"/>
        <w:right w:val="none" w:sz="0" w:space="0" w:color="auto"/>
      </w:divBdr>
    </w:div>
    <w:div w:id="1318530656">
      <w:bodyDiv w:val="1"/>
      <w:marLeft w:val="0"/>
      <w:marRight w:val="0"/>
      <w:marTop w:val="0"/>
      <w:marBottom w:val="0"/>
      <w:divBdr>
        <w:top w:val="none" w:sz="0" w:space="0" w:color="auto"/>
        <w:left w:val="none" w:sz="0" w:space="0" w:color="auto"/>
        <w:bottom w:val="none" w:sz="0" w:space="0" w:color="auto"/>
        <w:right w:val="none" w:sz="0" w:space="0" w:color="auto"/>
      </w:divBdr>
    </w:div>
    <w:div w:id="1328821468">
      <w:bodyDiv w:val="1"/>
      <w:marLeft w:val="0"/>
      <w:marRight w:val="0"/>
      <w:marTop w:val="0"/>
      <w:marBottom w:val="0"/>
      <w:divBdr>
        <w:top w:val="none" w:sz="0" w:space="0" w:color="auto"/>
        <w:left w:val="none" w:sz="0" w:space="0" w:color="auto"/>
        <w:bottom w:val="none" w:sz="0" w:space="0" w:color="auto"/>
        <w:right w:val="none" w:sz="0" w:space="0" w:color="auto"/>
      </w:divBdr>
    </w:div>
    <w:div w:id="1338194580">
      <w:bodyDiv w:val="1"/>
      <w:marLeft w:val="0"/>
      <w:marRight w:val="0"/>
      <w:marTop w:val="0"/>
      <w:marBottom w:val="0"/>
      <w:divBdr>
        <w:top w:val="none" w:sz="0" w:space="0" w:color="auto"/>
        <w:left w:val="none" w:sz="0" w:space="0" w:color="auto"/>
        <w:bottom w:val="none" w:sz="0" w:space="0" w:color="auto"/>
        <w:right w:val="none" w:sz="0" w:space="0" w:color="auto"/>
      </w:divBdr>
    </w:div>
    <w:div w:id="1338385264">
      <w:bodyDiv w:val="1"/>
      <w:marLeft w:val="0"/>
      <w:marRight w:val="0"/>
      <w:marTop w:val="0"/>
      <w:marBottom w:val="0"/>
      <w:divBdr>
        <w:top w:val="none" w:sz="0" w:space="0" w:color="auto"/>
        <w:left w:val="none" w:sz="0" w:space="0" w:color="auto"/>
        <w:bottom w:val="none" w:sz="0" w:space="0" w:color="auto"/>
        <w:right w:val="none" w:sz="0" w:space="0" w:color="auto"/>
      </w:divBdr>
    </w:div>
    <w:div w:id="1351687660">
      <w:bodyDiv w:val="1"/>
      <w:marLeft w:val="0"/>
      <w:marRight w:val="0"/>
      <w:marTop w:val="0"/>
      <w:marBottom w:val="0"/>
      <w:divBdr>
        <w:top w:val="none" w:sz="0" w:space="0" w:color="auto"/>
        <w:left w:val="none" w:sz="0" w:space="0" w:color="auto"/>
        <w:bottom w:val="none" w:sz="0" w:space="0" w:color="auto"/>
        <w:right w:val="none" w:sz="0" w:space="0" w:color="auto"/>
      </w:divBdr>
    </w:div>
    <w:div w:id="1411852011">
      <w:bodyDiv w:val="1"/>
      <w:marLeft w:val="0"/>
      <w:marRight w:val="0"/>
      <w:marTop w:val="0"/>
      <w:marBottom w:val="0"/>
      <w:divBdr>
        <w:top w:val="none" w:sz="0" w:space="0" w:color="auto"/>
        <w:left w:val="none" w:sz="0" w:space="0" w:color="auto"/>
        <w:bottom w:val="none" w:sz="0" w:space="0" w:color="auto"/>
        <w:right w:val="none" w:sz="0" w:space="0" w:color="auto"/>
      </w:divBdr>
    </w:div>
    <w:div w:id="1463618563">
      <w:bodyDiv w:val="1"/>
      <w:marLeft w:val="0"/>
      <w:marRight w:val="0"/>
      <w:marTop w:val="0"/>
      <w:marBottom w:val="0"/>
      <w:divBdr>
        <w:top w:val="none" w:sz="0" w:space="0" w:color="auto"/>
        <w:left w:val="none" w:sz="0" w:space="0" w:color="auto"/>
        <w:bottom w:val="none" w:sz="0" w:space="0" w:color="auto"/>
        <w:right w:val="none" w:sz="0" w:space="0" w:color="auto"/>
      </w:divBdr>
    </w:div>
    <w:div w:id="1488475837">
      <w:bodyDiv w:val="1"/>
      <w:marLeft w:val="0"/>
      <w:marRight w:val="0"/>
      <w:marTop w:val="0"/>
      <w:marBottom w:val="0"/>
      <w:divBdr>
        <w:top w:val="none" w:sz="0" w:space="0" w:color="auto"/>
        <w:left w:val="none" w:sz="0" w:space="0" w:color="auto"/>
        <w:bottom w:val="none" w:sz="0" w:space="0" w:color="auto"/>
        <w:right w:val="none" w:sz="0" w:space="0" w:color="auto"/>
      </w:divBdr>
    </w:div>
    <w:div w:id="1518616688">
      <w:bodyDiv w:val="1"/>
      <w:marLeft w:val="0"/>
      <w:marRight w:val="0"/>
      <w:marTop w:val="0"/>
      <w:marBottom w:val="0"/>
      <w:divBdr>
        <w:top w:val="none" w:sz="0" w:space="0" w:color="auto"/>
        <w:left w:val="none" w:sz="0" w:space="0" w:color="auto"/>
        <w:bottom w:val="none" w:sz="0" w:space="0" w:color="auto"/>
        <w:right w:val="none" w:sz="0" w:space="0" w:color="auto"/>
      </w:divBdr>
    </w:div>
    <w:div w:id="1539514392">
      <w:bodyDiv w:val="1"/>
      <w:marLeft w:val="0"/>
      <w:marRight w:val="0"/>
      <w:marTop w:val="0"/>
      <w:marBottom w:val="0"/>
      <w:divBdr>
        <w:top w:val="none" w:sz="0" w:space="0" w:color="auto"/>
        <w:left w:val="none" w:sz="0" w:space="0" w:color="auto"/>
        <w:bottom w:val="none" w:sz="0" w:space="0" w:color="auto"/>
        <w:right w:val="none" w:sz="0" w:space="0" w:color="auto"/>
      </w:divBdr>
    </w:div>
    <w:div w:id="1562407246">
      <w:bodyDiv w:val="1"/>
      <w:marLeft w:val="0"/>
      <w:marRight w:val="0"/>
      <w:marTop w:val="0"/>
      <w:marBottom w:val="0"/>
      <w:divBdr>
        <w:top w:val="none" w:sz="0" w:space="0" w:color="auto"/>
        <w:left w:val="none" w:sz="0" w:space="0" w:color="auto"/>
        <w:bottom w:val="none" w:sz="0" w:space="0" w:color="auto"/>
        <w:right w:val="none" w:sz="0" w:space="0" w:color="auto"/>
      </w:divBdr>
    </w:div>
    <w:div w:id="1600528124">
      <w:bodyDiv w:val="1"/>
      <w:marLeft w:val="0"/>
      <w:marRight w:val="0"/>
      <w:marTop w:val="0"/>
      <w:marBottom w:val="0"/>
      <w:divBdr>
        <w:top w:val="none" w:sz="0" w:space="0" w:color="auto"/>
        <w:left w:val="none" w:sz="0" w:space="0" w:color="auto"/>
        <w:bottom w:val="none" w:sz="0" w:space="0" w:color="auto"/>
        <w:right w:val="none" w:sz="0" w:space="0" w:color="auto"/>
      </w:divBdr>
    </w:div>
    <w:div w:id="1640108045">
      <w:bodyDiv w:val="1"/>
      <w:marLeft w:val="0"/>
      <w:marRight w:val="0"/>
      <w:marTop w:val="0"/>
      <w:marBottom w:val="0"/>
      <w:divBdr>
        <w:top w:val="none" w:sz="0" w:space="0" w:color="auto"/>
        <w:left w:val="none" w:sz="0" w:space="0" w:color="auto"/>
        <w:bottom w:val="none" w:sz="0" w:space="0" w:color="auto"/>
        <w:right w:val="none" w:sz="0" w:space="0" w:color="auto"/>
      </w:divBdr>
    </w:div>
    <w:div w:id="1646815581">
      <w:bodyDiv w:val="1"/>
      <w:marLeft w:val="0"/>
      <w:marRight w:val="0"/>
      <w:marTop w:val="0"/>
      <w:marBottom w:val="0"/>
      <w:divBdr>
        <w:top w:val="none" w:sz="0" w:space="0" w:color="auto"/>
        <w:left w:val="none" w:sz="0" w:space="0" w:color="auto"/>
        <w:bottom w:val="none" w:sz="0" w:space="0" w:color="auto"/>
        <w:right w:val="none" w:sz="0" w:space="0" w:color="auto"/>
      </w:divBdr>
    </w:div>
    <w:div w:id="1647710145">
      <w:bodyDiv w:val="1"/>
      <w:marLeft w:val="0"/>
      <w:marRight w:val="0"/>
      <w:marTop w:val="0"/>
      <w:marBottom w:val="0"/>
      <w:divBdr>
        <w:top w:val="none" w:sz="0" w:space="0" w:color="auto"/>
        <w:left w:val="none" w:sz="0" w:space="0" w:color="auto"/>
        <w:bottom w:val="none" w:sz="0" w:space="0" w:color="auto"/>
        <w:right w:val="none" w:sz="0" w:space="0" w:color="auto"/>
      </w:divBdr>
    </w:div>
    <w:div w:id="1650866655">
      <w:bodyDiv w:val="1"/>
      <w:marLeft w:val="0"/>
      <w:marRight w:val="0"/>
      <w:marTop w:val="0"/>
      <w:marBottom w:val="0"/>
      <w:divBdr>
        <w:top w:val="none" w:sz="0" w:space="0" w:color="auto"/>
        <w:left w:val="none" w:sz="0" w:space="0" w:color="auto"/>
        <w:bottom w:val="none" w:sz="0" w:space="0" w:color="auto"/>
        <w:right w:val="none" w:sz="0" w:space="0" w:color="auto"/>
      </w:divBdr>
    </w:div>
    <w:div w:id="1693916818">
      <w:bodyDiv w:val="1"/>
      <w:marLeft w:val="0"/>
      <w:marRight w:val="0"/>
      <w:marTop w:val="0"/>
      <w:marBottom w:val="0"/>
      <w:divBdr>
        <w:top w:val="none" w:sz="0" w:space="0" w:color="auto"/>
        <w:left w:val="none" w:sz="0" w:space="0" w:color="auto"/>
        <w:bottom w:val="none" w:sz="0" w:space="0" w:color="auto"/>
        <w:right w:val="none" w:sz="0" w:space="0" w:color="auto"/>
      </w:divBdr>
    </w:div>
    <w:div w:id="1697806955">
      <w:bodyDiv w:val="1"/>
      <w:marLeft w:val="0"/>
      <w:marRight w:val="0"/>
      <w:marTop w:val="0"/>
      <w:marBottom w:val="0"/>
      <w:divBdr>
        <w:top w:val="none" w:sz="0" w:space="0" w:color="auto"/>
        <w:left w:val="none" w:sz="0" w:space="0" w:color="auto"/>
        <w:bottom w:val="none" w:sz="0" w:space="0" w:color="auto"/>
        <w:right w:val="none" w:sz="0" w:space="0" w:color="auto"/>
      </w:divBdr>
    </w:div>
    <w:div w:id="1709573809">
      <w:bodyDiv w:val="1"/>
      <w:marLeft w:val="0"/>
      <w:marRight w:val="0"/>
      <w:marTop w:val="0"/>
      <w:marBottom w:val="0"/>
      <w:divBdr>
        <w:top w:val="none" w:sz="0" w:space="0" w:color="auto"/>
        <w:left w:val="none" w:sz="0" w:space="0" w:color="auto"/>
        <w:bottom w:val="none" w:sz="0" w:space="0" w:color="auto"/>
        <w:right w:val="none" w:sz="0" w:space="0" w:color="auto"/>
      </w:divBdr>
    </w:div>
    <w:div w:id="1719862922">
      <w:bodyDiv w:val="1"/>
      <w:marLeft w:val="0"/>
      <w:marRight w:val="0"/>
      <w:marTop w:val="0"/>
      <w:marBottom w:val="0"/>
      <w:divBdr>
        <w:top w:val="none" w:sz="0" w:space="0" w:color="auto"/>
        <w:left w:val="none" w:sz="0" w:space="0" w:color="auto"/>
        <w:bottom w:val="none" w:sz="0" w:space="0" w:color="auto"/>
        <w:right w:val="none" w:sz="0" w:space="0" w:color="auto"/>
      </w:divBdr>
    </w:div>
    <w:div w:id="1720085772">
      <w:bodyDiv w:val="1"/>
      <w:marLeft w:val="0"/>
      <w:marRight w:val="0"/>
      <w:marTop w:val="0"/>
      <w:marBottom w:val="0"/>
      <w:divBdr>
        <w:top w:val="none" w:sz="0" w:space="0" w:color="auto"/>
        <w:left w:val="none" w:sz="0" w:space="0" w:color="auto"/>
        <w:bottom w:val="none" w:sz="0" w:space="0" w:color="auto"/>
        <w:right w:val="none" w:sz="0" w:space="0" w:color="auto"/>
      </w:divBdr>
    </w:div>
    <w:div w:id="1729843775">
      <w:bodyDiv w:val="1"/>
      <w:marLeft w:val="0"/>
      <w:marRight w:val="0"/>
      <w:marTop w:val="0"/>
      <w:marBottom w:val="0"/>
      <w:divBdr>
        <w:top w:val="none" w:sz="0" w:space="0" w:color="auto"/>
        <w:left w:val="none" w:sz="0" w:space="0" w:color="auto"/>
        <w:bottom w:val="none" w:sz="0" w:space="0" w:color="auto"/>
        <w:right w:val="none" w:sz="0" w:space="0" w:color="auto"/>
      </w:divBdr>
    </w:div>
    <w:div w:id="1758289815">
      <w:bodyDiv w:val="1"/>
      <w:marLeft w:val="0"/>
      <w:marRight w:val="0"/>
      <w:marTop w:val="0"/>
      <w:marBottom w:val="0"/>
      <w:divBdr>
        <w:top w:val="none" w:sz="0" w:space="0" w:color="auto"/>
        <w:left w:val="none" w:sz="0" w:space="0" w:color="auto"/>
        <w:bottom w:val="none" w:sz="0" w:space="0" w:color="auto"/>
        <w:right w:val="none" w:sz="0" w:space="0" w:color="auto"/>
      </w:divBdr>
    </w:div>
    <w:div w:id="1788042660">
      <w:bodyDiv w:val="1"/>
      <w:marLeft w:val="0"/>
      <w:marRight w:val="0"/>
      <w:marTop w:val="0"/>
      <w:marBottom w:val="0"/>
      <w:divBdr>
        <w:top w:val="none" w:sz="0" w:space="0" w:color="auto"/>
        <w:left w:val="none" w:sz="0" w:space="0" w:color="auto"/>
        <w:bottom w:val="none" w:sz="0" w:space="0" w:color="auto"/>
        <w:right w:val="none" w:sz="0" w:space="0" w:color="auto"/>
      </w:divBdr>
    </w:div>
    <w:div w:id="1804762588">
      <w:bodyDiv w:val="1"/>
      <w:marLeft w:val="0"/>
      <w:marRight w:val="0"/>
      <w:marTop w:val="0"/>
      <w:marBottom w:val="0"/>
      <w:divBdr>
        <w:top w:val="none" w:sz="0" w:space="0" w:color="auto"/>
        <w:left w:val="none" w:sz="0" w:space="0" w:color="auto"/>
        <w:bottom w:val="none" w:sz="0" w:space="0" w:color="auto"/>
        <w:right w:val="none" w:sz="0" w:space="0" w:color="auto"/>
      </w:divBdr>
    </w:div>
    <w:div w:id="1805155547">
      <w:bodyDiv w:val="1"/>
      <w:marLeft w:val="0"/>
      <w:marRight w:val="0"/>
      <w:marTop w:val="0"/>
      <w:marBottom w:val="0"/>
      <w:divBdr>
        <w:top w:val="none" w:sz="0" w:space="0" w:color="auto"/>
        <w:left w:val="none" w:sz="0" w:space="0" w:color="auto"/>
        <w:bottom w:val="none" w:sz="0" w:space="0" w:color="auto"/>
        <w:right w:val="none" w:sz="0" w:space="0" w:color="auto"/>
      </w:divBdr>
    </w:div>
    <w:div w:id="1808891608">
      <w:bodyDiv w:val="1"/>
      <w:marLeft w:val="0"/>
      <w:marRight w:val="0"/>
      <w:marTop w:val="0"/>
      <w:marBottom w:val="0"/>
      <w:divBdr>
        <w:top w:val="none" w:sz="0" w:space="0" w:color="auto"/>
        <w:left w:val="none" w:sz="0" w:space="0" w:color="auto"/>
        <w:bottom w:val="none" w:sz="0" w:space="0" w:color="auto"/>
        <w:right w:val="none" w:sz="0" w:space="0" w:color="auto"/>
      </w:divBdr>
    </w:div>
    <w:div w:id="1830369075">
      <w:bodyDiv w:val="1"/>
      <w:marLeft w:val="0"/>
      <w:marRight w:val="0"/>
      <w:marTop w:val="0"/>
      <w:marBottom w:val="0"/>
      <w:divBdr>
        <w:top w:val="none" w:sz="0" w:space="0" w:color="auto"/>
        <w:left w:val="none" w:sz="0" w:space="0" w:color="auto"/>
        <w:bottom w:val="none" w:sz="0" w:space="0" w:color="auto"/>
        <w:right w:val="none" w:sz="0" w:space="0" w:color="auto"/>
      </w:divBdr>
    </w:div>
    <w:div w:id="1845045680">
      <w:bodyDiv w:val="1"/>
      <w:marLeft w:val="0"/>
      <w:marRight w:val="0"/>
      <w:marTop w:val="0"/>
      <w:marBottom w:val="0"/>
      <w:divBdr>
        <w:top w:val="none" w:sz="0" w:space="0" w:color="auto"/>
        <w:left w:val="none" w:sz="0" w:space="0" w:color="auto"/>
        <w:bottom w:val="none" w:sz="0" w:space="0" w:color="auto"/>
        <w:right w:val="none" w:sz="0" w:space="0" w:color="auto"/>
      </w:divBdr>
    </w:div>
    <w:div w:id="1864249439">
      <w:bodyDiv w:val="1"/>
      <w:marLeft w:val="0"/>
      <w:marRight w:val="0"/>
      <w:marTop w:val="0"/>
      <w:marBottom w:val="0"/>
      <w:divBdr>
        <w:top w:val="none" w:sz="0" w:space="0" w:color="auto"/>
        <w:left w:val="none" w:sz="0" w:space="0" w:color="auto"/>
        <w:bottom w:val="none" w:sz="0" w:space="0" w:color="auto"/>
        <w:right w:val="none" w:sz="0" w:space="0" w:color="auto"/>
      </w:divBdr>
    </w:div>
    <w:div w:id="1877964092">
      <w:bodyDiv w:val="1"/>
      <w:marLeft w:val="0"/>
      <w:marRight w:val="0"/>
      <w:marTop w:val="0"/>
      <w:marBottom w:val="0"/>
      <w:divBdr>
        <w:top w:val="none" w:sz="0" w:space="0" w:color="auto"/>
        <w:left w:val="none" w:sz="0" w:space="0" w:color="auto"/>
        <w:bottom w:val="none" w:sz="0" w:space="0" w:color="auto"/>
        <w:right w:val="none" w:sz="0" w:space="0" w:color="auto"/>
      </w:divBdr>
    </w:div>
    <w:div w:id="1886483808">
      <w:bodyDiv w:val="1"/>
      <w:marLeft w:val="0"/>
      <w:marRight w:val="0"/>
      <w:marTop w:val="0"/>
      <w:marBottom w:val="0"/>
      <w:divBdr>
        <w:top w:val="none" w:sz="0" w:space="0" w:color="auto"/>
        <w:left w:val="none" w:sz="0" w:space="0" w:color="auto"/>
        <w:bottom w:val="none" w:sz="0" w:space="0" w:color="auto"/>
        <w:right w:val="none" w:sz="0" w:space="0" w:color="auto"/>
      </w:divBdr>
    </w:div>
    <w:div w:id="1886793289">
      <w:bodyDiv w:val="1"/>
      <w:marLeft w:val="0"/>
      <w:marRight w:val="0"/>
      <w:marTop w:val="0"/>
      <w:marBottom w:val="0"/>
      <w:divBdr>
        <w:top w:val="none" w:sz="0" w:space="0" w:color="auto"/>
        <w:left w:val="none" w:sz="0" w:space="0" w:color="auto"/>
        <w:bottom w:val="none" w:sz="0" w:space="0" w:color="auto"/>
        <w:right w:val="none" w:sz="0" w:space="0" w:color="auto"/>
      </w:divBdr>
      <w:divsChild>
        <w:div w:id="889146570">
          <w:marLeft w:val="0"/>
          <w:marRight w:val="0"/>
          <w:marTop w:val="0"/>
          <w:marBottom w:val="0"/>
          <w:divBdr>
            <w:top w:val="none" w:sz="0" w:space="0" w:color="auto"/>
            <w:left w:val="none" w:sz="0" w:space="0" w:color="auto"/>
            <w:bottom w:val="none" w:sz="0" w:space="0" w:color="auto"/>
            <w:right w:val="none" w:sz="0" w:space="0" w:color="auto"/>
          </w:divBdr>
          <w:divsChild>
            <w:div w:id="17627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6712">
      <w:bodyDiv w:val="1"/>
      <w:marLeft w:val="0"/>
      <w:marRight w:val="0"/>
      <w:marTop w:val="0"/>
      <w:marBottom w:val="0"/>
      <w:divBdr>
        <w:top w:val="none" w:sz="0" w:space="0" w:color="auto"/>
        <w:left w:val="none" w:sz="0" w:space="0" w:color="auto"/>
        <w:bottom w:val="none" w:sz="0" w:space="0" w:color="auto"/>
        <w:right w:val="none" w:sz="0" w:space="0" w:color="auto"/>
      </w:divBdr>
    </w:div>
    <w:div w:id="1900048725">
      <w:bodyDiv w:val="1"/>
      <w:marLeft w:val="0"/>
      <w:marRight w:val="0"/>
      <w:marTop w:val="0"/>
      <w:marBottom w:val="0"/>
      <w:divBdr>
        <w:top w:val="none" w:sz="0" w:space="0" w:color="auto"/>
        <w:left w:val="none" w:sz="0" w:space="0" w:color="auto"/>
        <w:bottom w:val="none" w:sz="0" w:space="0" w:color="auto"/>
        <w:right w:val="none" w:sz="0" w:space="0" w:color="auto"/>
      </w:divBdr>
    </w:div>
    <w:div w:id="1903832465">
      <w:bodyDiv w:val="1"/>
      <w:marLeft w:val="0"/>
      <w:marRight w:val="0"/>
      <w:marTop w:val="0"/>
      <w:marBottom w:val="0"/>
      <w:divBdr>
        <w:top w:val="none" w:sz="0" w:space="0" w:color="auto"/>
        <w:left w:val="none" w:sz="0" w:space="0" w:color="auto"/>
        <w:bottom w:val="none" w:sz="0" w:space="0" w:color="auto"/>
        <w:right w:val="none" w:sz="0" w:space="0" w:color="auto"/>
      </w:divBdr>
    </w:div>
    <w:div w:id="1904676940">
      <w:bodyDiv w:val="1"/>
      <w:marLeft w:val="0"/>
      <w:marRight w:val="0"/>
      <w:marTop w:val="0"/>
      <w:marBottom w:val="0"/>
      <w:divBdr>
        <w:top w:val="none" w:sz="0" w:space="0" w:color="auto"/>
        <w:left w:val="none" w:sz="0" w:space="0" w:color="auto"/>
        <w:bottom w:val="none" w:sz="0" w:space="0" w:color="auto"/>
        <w:right w:val="none" w:sz="0" w:space="0" w:color="auto"/>
      </w:divBdr>
    </w:div>
    <w:div w:id="1979340802">
      <w:bodyDiv w:val="1"/>
      <w:marLeft w:val="0"/>
      <w:marRight w:val="0"/>
      <w:marTop w:val="0"/>
      <w:marBottom w:val="0"/>
      <w:divBdr>
        <w:top w:val="none" w:sz="0" w:space="0" w:color="auto"/>
        <w:left w:val="none" w:sz="0" w:space="0" w:color="auto"/>
        <w:bottom w:val="none" w:sz="0" w:space="0" w:color="auto"/>
        <w:right w:val="none" w:sz="0" w:space="0" w:color="auto"/>
      </w:divBdr>
    </w:div>
    <w:div w:id="1983389238">
      <w:bodyDiv w:val="1"/>
      <w:marLeft w:val="0"/>
      <w:marRight w:val="0"/>
      <w:marTop w:val="0"/>
      <w:marBottom w:val="0"/>
      <w:divBdr>
        <w:top w:val="none" w:sz="0" w:space="0" w:color="auto"/>
        <w:left w:val="none" w:sz="0" w:space="0" w:color="auto"/>
        <w:bottom w:val="none" w:sz="0" w:space="0" w:color="auto"/>
        <w:right w:val="none" w:sz="0" w:space="0" w:color="auto"/>
      </w:divBdr>
    </w:div>
    <w:div w:id="2046714864">
      <w:bodyDiv w:val="1"/>
      <w:marLeft w:val="0"/>
      <w:marRight w:val="0"/>
      <w:marTop w:val="0"/>
      <w:marBottom w:val="0"/>
      <w:divBdr>
        <w:top w:val="none" w:sz="0" w:space="0" w:color="auto"/>
        <w:left w:val="none" w:sz="0" w:space="0" w:color="auto"/>
        <w:bottom w:val="none" w:sz="0" w:space="0" w:color="auto"/>
        <w:right w:val="none" w:sz="0" w:space="0" w:color="auto"/>
      </w:divBdr>
    </w:div>
    <w:div w:id="2052999746">
      <w:bodyDiv w:val="1"/>
      <w:marLeft w:val="0"/>
      <w:marRight w:val="0"/>
      <w:marTop w:val="0"/>
      <w:marBottom w:val="0"/>
      <w:divBdr>
        <w:top w:val="none" w:sz="0" w:space="0" w:color="auto"/>
        <w:left w:val="none" w:sz="0" w:space="0" w:color="auto"/>
        <w:bottom w:val="none" w:sz="0" w:space="0" w:color="auto"/>
        <w:right w:val="none" w:sz="0" w:space="0" w:color="auto"/>
      </w:divBdr>
    </w:div>
    <w:div w:id="2103260899">
      <w:bodyDiv w:val="1"/>
      <w:marLeft w:val="0"/>
      <w:marRight w:val="0"/>
      <w:marTop w:val="0"/>
      <w:marBottom w:val="0"/>
      <w:divBdr>
        <w:top w:val="none" w:sz="0" w:space="0" w:color="auto"/>
        <w:left w:val="none" w:sz="0" w:space="0" w:color="auto"/>
        <w:bottom w:val="none" w:sz="0" w:space="0" w:color="auto"/>
        <w:right w:val="none" w:sz="0" w:space="0" w:color="auto"/>
      </w:divBdr>
    </w:div>
    <w:div w:id="2109689966">
      <w:bodyDiv w:val="1"/>
      <w:marLeft w:val="0"/>
      <w:marRight w:val="0"/>
      <w:marTop w:val="0"/>
      <w:marBottom w:val="0"/>
      <w:divBdr>
        <w:top w:val="none" w:sz="0" w:space="0" w:color="auto"/>
        <w:left w:val="none" w:sz="0" w:space="0" w:color="auto"/>
        <w:bottom w:val="none" w:sz="0" w:space="0" w:color="auto"/>
        <w:right w:val="none" w:sz="0" w:space="0" w:color="auto"/>
      </w:divBdr>
    </w:div>
    <w:div w:id="2110001474">
      <w:bodyDiv w:val="1"/>
      <w:marLeft w:val="0"/>
      <w:marRight w:val="0"/>
      <w:marTop w:val="0"/>
      <w:marBottom w:val="0"/>
      <w:divBdr>
        <w:top w:val="none" w:sz="0" w:space="0" w:color="auto"/>
        <w:left w:val="none" w:sz="0" w:space="0" w:color="auto"/>
        <w:bottom w:val="none" w:sz="0" w:space="0" w:color="auto"/>
        <w:right w:val="none" w:sz="0" w:space="0" w:color="auto"/>
      </w:divBdr>
    </w:div>
    <w:div w:id="2121293001">
      <w:bodyDiv w:val="1"/>
      <w:marLeft w:val="0"/>
      <w:marRight w:val="0"/>
      <w:marTop w:val="0"/>
      <w:marBottom w:val="0"/>
      <w:divBdr>
        <w:top w:val="none" w:sz="0" w:space="0" w:color="auto"/>
        <w:left w:val="none" w:sz="0" w:space="0" w:color="auto"/>
        <w:bottom w:val="none" w:sz="0" w:space="0" w:color="auto"/>
        <w:right w:val="none" w:sz="0" w:space="0" w:color="auto"/>
      </w:divBdr>
    </w:div>
    <w:div w:id="2123378523">
      <w:bodyDiv w:val="1"/>
      <w:marLeft w:val="0"/>
      <w:marRight w:val="0"/>
      <w:marTop w:val="0"/>
      <w:marBottom w:val="0"/>
      <w:divBdr>
        <w:top w:val="none" w:sz="0" w:space="0" w:color="auto"/>
        <w:left w:val="none" w:sz="0" w:space="0" w:color="auto"/>
        <w:bottom w:val="none" w:sz="0" w:space="0" w:color="auto"/>
        <w:right w:val="none" w:sz="0" w:space="0" w:color="auto"/>
      </w:divBdr>
    </w:div>
    <w:div w:id="2130775071">
      <w:bodyDiv w:val="1"/>
      <w:marLeft w:val="0"/>
      <w:marRight w:val="0"/>
      <w:marTop w:val="0"/>
      <w:marBottom w:val="0"/>
      <w:divBdr>
        <w:top w:val="none" w:sz="0" w:space="0" w:color="auto"/>
        <w:left w:val="none" w:sz="0" w:space="0" w:color="auto"/>
        <w:bottom w:val="none" w:sz="0" w:space="0" w:color="auto"/>
        <w:right w:val="none" w:sz="0" w:space="0" w:color="auto"/>
      </w:divBdr>
    </w:div>
    <w:div w:id="2132354963">
      <w:bodyDiv w:val="1"/>
      <w:marLeft w:val="0"/>
      <w:marRight w:val="0"/>
      <w:marTop w:val="0"/>
      <w:marBottom w:val="0"/>
      <w:divBdr>
        <w:top w:val="none" w:sz="0" w:space="0" w:color="auto"/>
        <w:left w:val="none" w:sz="0" w:space="0" w:color="auto"/>
        <w:bottom w:val="none" w:sz="0" w:space="0" w:color="auto"/>
        <w:right w:val="none" w:sz="0" w:space="0" w:color="auto"/>
      </w:divBdr>
    </w:div>
    <w:div w:id="2141221410">
      <w:bodyDiv w:val="1"/>
      <w:marLeft w:val="0"/>
      <w:marRight w:val="0"/>
      <w:marTop w:val="0"/>
      <w:marBottom w:val="0"/>
      <w:divBdr>
        <w:top w:val="none" w:sz="0" w:space="0" w:color="auto"/>
        <w:left w:val="none" w:sz="0" w:space="0" w:color="auto"/>
        <w:bottom w:val="none" w:sz="0" w:space="0" w:color="auto"/>
        <w:right w:val="none" w:sz="0" w:space="0" w:color="auto"/>
      </w:divBdr>
      <w:divsChild>
        <w:div w:id="8956991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0C2C8-4492-46B8-A900-B4FDD3E6A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6380</Words>
  <Characters>35095</Characters>
  <Application>Microsoft Office Word</Application>
  <DocSecurity>0</DocSecurity>
  <Lines>292</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MREC</Company>
  <LinksUpToDate>false</LinksUpToDate>
  <CharactersWithSpaces>41393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Kutscher</dc:creator>
  <cp:lastModifiedBy>InvitadoPSM</cp:lastModifiedBy>
  <cp:revision>3</cp:revision>
  <cp:lastPrinted>2025-04-25T02:41:00Z</cp:lastPrinted>
  <dcterms:created xsi:type="dcterms:W3CDTF">2025-04-25T02:38:00Z</dcterms:created>
  <dcterms:modified xsi:type="dcterms:W3CDTF">2025-04-25T02:41:00Z</dcterms:modified>
</cp:coreProperties>
</file>