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6A3B" w14:textId="77777777" w:rsidR="00310CFF" w:rsidRPr="004B3980" w:rsidRDefault="000029B8">
      <w:pPr>
        <w:pBdr>
          <w:top w:val="nil"/>
          <w:left w:val="nil"/>
          <w:bottom w:val="nil"/>
          <w:right w:val="nil"/>
          <w:between w:val="nil"/>
        </w:pBdr>
        <w:ind w:left="0" w:hanging="2"/>
        <w:rPr>
          <w:color w:val="000000"/>
          <w:lang w:val="pt-BR"/>
        </w:rPr>
      </w:pPr>
      <w:r w:rsidRPr="004B3980">
        <w:rPr>
          <w:b/>
          <w:color w:val="000000"/>
          <w:lang w:val="pt-BR"/>
        </w:rPr>
        <w:t>MERCOSUR/SGT Nº 3/CEC/ACTA Nº 01/25</w:t>
      </w:r>
    </w:p>
    <w:p w14:paraId="3EB42017" w14:textId="77777777" w:rsidR="00310CFF" w:rsidRPr="004B3980" w:rsidRDefault="00310CFF">
      <w:pPr>
        <w:pBdr>
          <w:top w:val="nil"/>
          <w:left w:val="nil"/>
          <w:bottom w:val="nil"/>
          <w:right w:val="nil"/>
          <w:between w:val="nil"/>
        </w:pBdr>
        <w:ind w:left="0" w:hanging="2"/>
        <w:rPr>
          <w:color w:val="000000"/>
          <w:lang w:val="pt-BR"/>
        </w:rPr>
      </w:pPr>
    </w:p>
    <w:p w14:paraId="1F3FF736" w14:textId="77777777" w:rsidR="00310CFF" w:rsidRPr="00B35FD7" w:rsidRDefault="000029B8">
      <w:pPr>
        <w:pBdr>
          <w:top w:val="nil"/>
          <w:left w:val="nil"/>
          <w:bottom w:val="nil"/>
          <w:right w:val="nil"/>
          <w:between w:val="nil"/>
        </w:pBdr>
        <w:ind w:left="0" w:hanging="2"/>
        <w:jc w:val="center"/>
        <w:rPr>
          <w:color w:val="000000"/>
        </w:rPr>
      </w:pPr>
      <w:r w:rsidRPr="00B35FD7">
        <w:rPr>
          <w:b/>
          <w:color w:val="000000"/>
        </w:rPr>
        <w:t xml:space="preserve">XCI REUNIÓN ORDINARIA DEL SGT </w:t>
      </w:r>
      <w:proofErr w:type="spellStart"/>
      <w:r w:rsidRPr="00B35FD7">
        <w:rPr>
          <w:b/>
          <w:color w:val="000000"/>
        </w:rPr>
        <w:t>Nº</w:t>
      </w:r>
      <w:proofErr w:type="spellEnd"/>
      <w:r w:rsidRPr="00B35FD7">
        <w:rPr>
          <w:b/>
          <w:color w:val="000000"/>
        </w:rPr>
        <w:t xml:space="preserve"> 3 “REGLAMENTOS TÉCNICOS Y EVALUACIÓN DE LA CONFORMIDAD / COMISIÓN DE </w:t>
      </w:r>
    </w:p>
    <w:p w14:paraId="73FB98D2" w14:textId="77777777" w:rsidR="00310CFF" w:rsidRPr="00B35FD7" w:rsidRDefault="000029B8">
      <w:pPr>
        <w:pBdr>
          <w:top w:val="nil"/>
          <w:left w:val="nil"/>
          <w:bottom w:val="nil"/>
          <w:right w:val="nil"/>
          <w:between w:val="nil"/>
        </w:pBdr>
        <w:ind w:left="0" w:hanging="2"/>
        <w:jc w:val="center"/>
        <w:rPr>
          <w:color w:val="000000"/>
        </w:rPr>
      </w:pPr>
      <w:r w:rsidRPr="00B35FD7">
        <w:rPr>
          <w:b/>
          <w:color w:val="000000"/>
        </w:rPr>
        <w:t>EVALUACIÓN DE LA CONFORMIDAD”</w:t>
      </w:r>
    </w:p>
    <w:p w14:paraId="1622B810" w14:textId="77777777" w:rsidR="00310CFF" w:rsidRPr="00B35FD7" w:rsidRDefault="00310CFF">
      <w:pPr>
        <w:pBdr>
          <w:top w:val="nil"/>
          <w:left w:val="nil"/>
          <w:bottom w:val="nil"/>
          <w:right w:val="nil"/>
          <w:between w:val="nil"/>
        </w:pBdr>
        <w:ind w:left="0" w:hanging="2"/>
        <w:rPr>
          <w:color w:val="000000"/>
        </w:rPr>
      </w:pPr>
    </w:p>
    <w:p w14:paraId="4CFBF662" w14:textId="5B9F44C6" w:rsidR="00310CFF" w:rsidRPr="00B35FD7" w:rsidRDefault="000029B8">
      <w:pPr>
        <w:ind w:left="0" w:hanging="2"/>
        <w:jc w:val="both"/>
        <w:rPr>
          <w:highlight w:val="white"/>
        </w:rPr>
      </w:pPr>
      <w:r w:rsidRPr="00B35FD7">
        <w:t>Se realizó los días 26 y 27 de marzo</w:t>
      </w:r>
      <w:r w:rsidR="005066C2">
        <w:t xml:space="preserve">, </w:t>
      </w:r>
      <w:r w:rsidRPr="00B35FD7">
        <w:t xml:space="preserve">3 </w:t>
      </w:r>
      <w:r w:rsidR="00480425">
        <w:t xml:space="preserve">y 8 </w:t>
      </w:r>
      <w:r w:rsidRPr="00B35FD7">
        <w:t xml:space="preserve">de abril de 2025, en ejercicio de la Presidencia Pro Tempore de Argentina (PPTA), la Reunión de la Comisión de Evaluación de la Conformidad en el marco de la XCI Reunión Ordinaria del SGT </w:t>
      </w:r>
      <w:proofErr w:type="spellStart"/>
      <w:r w:rsidRPr="00B35FD7">
        <w:t>N°</w:t>
      </w:r>
      <w:proofErr w:type="spellEnd"/>
      <w:r w:rsidRPr="00B35FD7">
        <w:t xml:space="preserve"> 3 Reglamentos Técnicos y Evaluación de la Conformidad”, por sistema de videoconferencia de conformidad con lo dispuesto en la Resolución GMC </w:t>
      </w:r>
      <w:proofErr w:type="spellStart"/>
      <w:r w:rsidRPr="00B35FD7">
        <w:t>N°</w:t>
      </w:r>
      <w:proofErr w:type="spellEnd"/>
      <w:r w:rsidRPr="00B35FD7">
        <w:t xml:space="preserve"> 19/12, con la participación de las delegaciones de Argentina, Brasil, Paraguay y Uruguay. </w:t>
      </w:r>
      <w:r w:rsidRPr="00B35FD7">
        <w:rPr>
          <w:highlight w:val="white"/>
        </w:rPr>
        <w:t xml:space="preserve">La delegación de Bolivia participó de conformidad con lo establecido en la Decisión CMC </w:t>
      </w:r>
      <w:proofErr w:type="spellStart"/>
      <w:r w:rsidRPr="00B35FD7">
        <w:rPr>
          <w:highlight w:val="white"/>
        </w:rPr>
        <w:t>N°</w:t>
      </w:r>
      <w:proofErr w:type="spellEnd"/>
      <w:r w:rsidRPr="00B35FD7">
        <w:rPr>
          <w:highlight w:val="white"/>
        </w:rPr>
        <w:t xml:space="preserve"> 20/19.</w:t>
      </w:r>
    </w:p>
    <w:p w14:paraId="7927ECC2" w14:textId="77777777" w:rsidR="00310CFF" w:rsidRPr="00B35FD7" w:rsidRDefault="00310CFF" w:rsidP="00021772">
      <w:pPr>
        <w:ind w:leftChars="0" w:left="0" w:firstLineChars="0" w:firstLine="0"/>
        <w:jc w:val="both"/>
      </w:pPr>
    </w:p>
    <w:p w14:paraId="0BB2C28B" w14:textId="77777777" w:rsidR="00310CFF" w:rsidRPr="00B35FD7" w:rsidRDefault="000029B8">
      <w:pPr>
        <w:ind w:left="0" w:hanging="2"/>
        <w:jc w:val="both"/>
        <w:rPr>
          <w:b/>
        </w:rPr>
      </w:pPr>
      <w:r w:rsidRPr="00B35FD7">
        <w:t xml:space="preserve">La Lista de Participantes consta como </w:t>
      </w:r>
      <w:r w:rsidRPr="00B35FD7">
        <w:rPr>
          <w:b/>
        </w:rPr>
        <w:t>Agregado I</w:t>
      </w:r>
      <w:r w:rsidRPr="00B35FD7">
        <w:t>.</w:t>
      </w:r>
    </w:p>
    <w:p w14:paraId="63DE0FE8" w14:textId="77777777" w:rsidR="00310CFF" w:rsidRPr="00B35FD7" w:rsidRDefault="00310CFF">
      <w:pPr>
        <w:ind w:left="0" w:hanging="2"/>
        <w:jc w:val="both"/>
      </w:pPr>
    </w:p>
    <w:p w14:paraId="59152713" w14:textId="77777777" w:rsidR="00310CFF" w:rsidRPr="00B35FD7" w:rsidRDefault="000029B8">
      <w:pPr>
        <w:ind w:left="0" w:hanging="2"/>
        <w:jc w:val="both"/>
      </w:pPr>
      <w:r w:rsidRPr="00B35FD7">
        <w:t xml:space="preserve">La Agenda de la Reunión consta como </w:t>
      </w:r>
      <w:r w:rsidRPr="00B35FD7">
        <w:rPr>
          <w:b/>
        </w:rPr>
        <w:t>Agregado II</w:t>
      </w:r>
      <w:r w:rsidRPr="00B35FD7">
        <w:t>.</w:t>
      </w:r>
    </w:p>
    <w:p w14:paraId="1B88DE0B" w14:textId="77777777" w:rsidR="00310CFF" w:rsidRPr="00B35FD7" w:rsidRDefault="00310CFF">
      <w:pPr>
        <w:ind w:left="0" w:hanging="2"/>
        <w:jc w:val="both"/>
      </w:pPr>
    </w:p>
    <w:p w14:paraId="6CBB132D" w14:textId="77777777" w:rsidR="00310CFF" w:rsidRPr="00B35FD7" w:rsidRDefault="000029B8">
      <w:pPr>
        <w:ind w:left="0" w:hanging="2"/>
        <w:jc w:val="both"/>
      </w:pPr>
      <w:r w:rsidRPr="00B35FD7">
        <w:t>Durante la reunión fueron tratados los siguientes temas:</w:t>
      </w:r>
    </w:p>
    <w:p w14:paraId="5FDB949D" w14:textId="77777777" w:rsidR="00310CFF" w:rsidRPr="00B35FD7" w:rsidRDefault="00310CFF">
      <w:pPr>
        <w:ind w:left="0" w:hanging="2"/>
        <w:jc w:val="both"/>
        <w:rPr>
          <w:color w:val="000000"/>
        </w:rPr>
      </w:pPr>
    </w:p>
    <w:p w14:paraId="05E14133" w14:textId="77777777" w:rsidR="00310CFF" w:rsidRPr="00B35FD7" w:rsidRDefault="00310CFF">
      <w:pPr>
        <w:ind w:left="0" w:hanging="2"/>
        <w:jc w:val="both"/>
        <w:rPr>
          <w:color w:val="000000"/>
        </w:rPr>
      </w:pPr>
    </w:p>
    <w:p w14:paraId="2D8F062A" w14:textId="77777777" w:rsidR="00310CFF" w:rsidRPr="00B35FD7" w:rsidRDefault="000029B8" w:rsidP="00021772">
      <w:pPr>
        <w:numPr>
          <w:ilvl w:val="0"/>
          <w:numId w:val="1"/>
        </w:numPr>
        <w:pBdr>
          <w:top w:val="nil"/>
          <w:left w:val="nil"/>
          <w:bottom w:val="nil"/>
          <w:right w:val="nil"/>
          <w:between w:val="nil"/>
        </w:pBdr>
        <w:tabs>
          <w:tab w:val="left" w:pos="426"/>
        </w:tabs>
        <w:ind w:left="424" w:hangingChars="177" w:hanging="426"/>
        <w:jc w:val="both"/>
        <w:rPr>
          <w:b/>
          <w:color w:val="000000"/>
        </w:rPr>
      </w:pPr>
      <w:r w:rsidRPr="00B35FD7">
        <w:rPr>
          <w:b/>
          <w:color w:val="000000"/>
        </w:rPr>
        <w:t>INSTRUCCIONES DE LOS COORDINADORES NACIONALES</w:t>
      </w:r>
    </w:p>
    <w:p w14:paraId="62EC3B6B" w14:textId="77777777" w:rsidR="00310CFF" w:rsidRPr="00B35FD7" w:rsidRDefault="00310CFF">
      <w:pPr>
        <w:pBdr>
          <w:top w:val="nil"/>
          <w:left w:val="nil"/>
          <w:bottom w:val="nil"/>
          <w:right w:val="nil"/>
          <w:between w:val="nil"/>
        </w:pBdr>
        <w:ind w:left="0" w:hanging="2"/>
        <w:jc w:val="both"/>
        <w:rPr>
          <w:b/>
          <w:highlight w:val="green"/>
        </w:rPr>
      </w:pPr>
    </w:p>
    <w:p w14:paraId="1BB060A0" w14:textId="77777777" w:rsidR="00310CFF" w:rsidRPr="00B35FD7" w:rsidRDefault="000029B8">
      <w:pPr>
        <w:pBdr>
          <w:top w:val="nil"/>
          <w:left w:val="nil"/>
          <w:bottom w:val="nil"/>
          <w:right w:val="nil"/>
          <w:between w:val="nil"/>
        </w:pBdr>
        <w:ind w:left="0" w:hanging="2"/>
        <w:jc w:val="both"/>
        <w:rPr>
          <w:color w:val="000000"/>
        </w:rPr>
      </w:pPr>
      <w:r w:rsidRPr="00B35FD7">
        <w:rPr>
          <w:color w:val="000000"/>
        </w:rPr>
        <w:t>Se tomaron en consideración las instrucciones recibidas de los Coordinadores Nacionales.</w:t>
      </w:r>
    </w:p>
    <w:p w14:paraId="58778B0D" w14:textId="77777777" w:rsidR="00310CFF" w:rsidRPr="00B35FD7" w:rsidRDefault="00310CFF">
      <w:pPr>
        <w:pBdr>
          <w:top w:val="nil"/>
          <w:left w:val="nil"/>
          <w:bottom w:val="nil"/>
          <w:right w:val="nil"/>
          <w:between w:val="nil"/>
        </w:pBdr>
        <w:ind w:left="0" w:hanging="2"/>
        <w:jc w:val="both"/>
      </w:pPr>
    </w:p>
    <w:p w14:paraId="7D1E6303" w14:textId="77777777" w:rsidR="00310CFF" w:rsidRPr="00B35FD7" w:rsidRDefault="00310CFF">
      <w:pPr>
        <w:pBdr>
          <w:top w:val="nil"/>
          <w:left w:val="nil"/>
          <w:bottom w:val="nil"/>
          <w:right w:val="nil"/>
          <w:between w:val="nil"/>
        </w:pBdr>
        <w:ind w:left="0" w:hanging="2"/>
        <w:jc w:val="both"/>
      </w:pPr>
    </w:p>
    <w:p w14:paraId="11C95C82" w14:textId="77777777" w:rsidR="00310CFF" w:rsidRPr="00B35FD7" w:rsidRDefault="000029B8" w:rsidP="00021772">
      <w:pPr>
        <w:numPr>
          <w:ilvl w:val="0"/>
          <w:numId w:val="1"/>
        </w:numPr>
        <w:pBdr>
          <w:top w:val="nil"/>
          <w:left w:val="nil"/>
          <w:bottom w:val="nil"/>
          <w:right w:val="nil"/>
          <w:between w:val="nil"/>
        </w:pBdr>
        <w:tabs>
          <w:tab w:val="left" w:pos="426"/>
        </w:tabs>
        <w:ind w:left="424" w:hangingChars="177" w:hanging="426"/>
        <w:jc w:val="both"/>
        <w:rPr>
          <w:b/>
        </w:rPr>
      </w:pPr>
      <w:r w:rsidRPr="00B35FD7">
        <w:rPr>
          <w:b/>
        </w:rPr>
        <w:t>PRESENTACIÓN DE LA DELEGACIÓN DE BOLIVIA SOBRE SU ESTRUCTURA INSTITUCIONAL, INFRAESTRUCTURA DE LA CALIDAD Y EL COMPONENTE DE LA EVALUACIÓN DE LA CONFORMIDAD</w:t>
      </w:r>
    </w:p>
    <w:p w14:paraId="74EEA8C9" w14:textId="77777777" w:rsidR="00310CFF" w:rsidRPr="00B35FD7" w:rsidRDefault="00310CFF">
      <w:pPr>
        <w:pBdr>
          <w:top w:val="nil"/>
          <w:left w:val="nil"/>
          <w:bottom w:val="nil"/>
          <w:right w:val="nil"/>
          <w:between w:val="nil"/>
        </w:pBdr>
        <w:tabs>
          <w:tab w:val="left" w:pos="426"/>
        </w:tabs>
        <w:ind w:left="0" w:hanging="2"/>
        <w:jc w:val="both"/>
        <w:rPr>
          <w:b/>
        </w:rPr>
      </w:pPr>
    </w:p>
    <w:p w14:paraId="02CE24C1" w14:textId="77777777" w:rsidR="00310CFF" w:rsidRPr="00B35FD7" w:rsidRDefault="000029B8">
      <w:pPr>
        <w:tabs>
          <w:tab w:val="left" w:pos="426"/>
        </w:tabs>
        <w:ind w:left="0" w:hanging="2"/>
        <w:jc w:val="both"/>
        <w:rPr>
          <w:highlight w:val="white"/>
        </w:rPr>
      </w:pPr>
      <w:r w:rsidRPr="00B35FD7">
        <w:rPr>
          <w:highlight w:val="white"/>
        </w:rPr>
        <w:t>La delegación de Bolivia realizó una presentación detallando toda la estructura organizativa institucional acerca de la normativa legal y atribuciones, la infraestructura de la calidad (con los componentes: normalización, metrología, acreditación, certificación y reglamentación técnica), y la evaluación de conformidad.</w:t>
      </w:r>
    </w:p>
    <w:p w14:paraId="3964ABCC" w14:textId="77777777" w:rsidR="00310CFF" w:rsidRPr="00B35FD7" w:rsidRDefault="00310CFF">
      <w:pPr>
        <w:pBdr>
          <w:top w:val="nil"/>
          <w:left w:val="nil"/>
          <w:bottom w:val="nil"/>
          <w:right w:val="nil"/>
          <w:between w:val="nil"/>
        </w:pBdr>
        <w:tabs>
          <w:tab w:val="left" w:pos="426"/>
        </w:tabs>
        <w:ind w:left="0" w:hanging="2"/>
        <w:jc w:val="both"/>
        <w:rPr>
          <w:highlight w:val="white"/>
        </w:rPr>
      </w:pPr>
    </w:p>
    <w:p w14:paraId="661F86FA" w14:textId="0AEE687E" w:rsidR="00310CFF" w:rsidRPr="00B35FD7" w:rsidRDefault="000029B8">
      <w:pPr>
        <w:pBdr>
          <w:top w:val="nil"/>
          <w:left w:val="nil"/>
          <w:bottom w:val="nil"/>
          <w:right w:val="nil"/>
          <w:between w:val="nil"/>
        </w:pBdr>
        <w:tabs>
          <w:tab w:val="left" w:pos="426"/>
        </w:tabs>
        <w:ind w:left="0" w:hanging="2"/>
        <w:jc w:val="both"/>
      </w:pPr>
      <w:r w:rsidRPr="00B35FD7">
        <w:t>Continu</w:t>
      </w:r>
      <w:r w:rsidR="005066C2">
        <w:t>ó</w:t>
      </w:r>
      <w:r w:rsidRPr="00B35FD7">
        <w:t xml:space="preserve"> con la descripción y referencia de las entidades que conforman y desarrollan las distintas actividades de la infraestructura de la calidad.</w:t>
      </w:r>
    </w:p>
    <w:p w14:paraId="628A1BCE" w14:textId="77777777" w:rsidR="00310CFF" w:rsidRPr="00B35FD7" w:rsidRDefault="00310CFF">
      <w:pPr>
        <w:pBdr>
          <w:top w:val="nil"/>
          <w:left w:val="nil"/>
          <w:bottom w:val="nil"/>
          <w:right w:val="nil"/>
          <w:between w:val="nil"/>
        </w:pBdr>
        <w:tabs>
          <w:tab w:val="left" w:pos="426"/>
        </w:tabs>
        <w:ind w:left="0" w:hanging="2"/>
        <w:jc w:val="both"/>
      </w:pPr>
    </w:p>
    <w:p w14:paraId="675998C2" w14:textId="77777777" w:rsidR="00310CFF" w:rsidRPr="00B35FD7" w:rsidRDefault="000029B8">
      <w:pPr>
        <w:pBdr>
          <w:top w:val="nil"/>
          <w:left w:val="nil"/>
          <w:bottom w:val="nil"/>
          <w:right w:val="nil"/>
          <w:between w:val="nil"/>
        </w:pBdr>
        <w:tabs>
          <w:tab w:val="left" w:pos="426"/>
        </w:tabs>
        <w:ind w:left="0" w:hanging="2"/>
        <w:jc w:val="both"/>
      </w:pPr>
      <w:r w:rsidRPr="00B35FD7">
        <w:t>Las delegaciones realizaron un interesante intercambio de experiencias en cada estado parte.</w:t>
      </w:r>
    </w:p>
    <w:p w14:paraId="73462C08" w14:textId="77777777" w:rsidR="00310CFF" w:rsidRPr="00B35FD7" w:rsidRDefault="00310CFF">
      <w:pPr>
        <w:pBdr>
          <w:top w:val="nil"/>
          <w:left w:val="nil"/>
          <w:bottom w:val="nil"/>
          <w:right w:val="nil"/>
          <w:between w:val="nil"/>
        </w:pBdr>
        <w:tabs>
          <w:tab w:val="left" w:pos="426"/>
        </w:tabs>
        <w:ind w:left="0" w:hanging="2"/>
        <w:jc w:val="both"/>
      </w:pPr>
    </w:p>
    <w:p w14:paraId="66141BC6" w14:textId="1217427C" w:rsidR="00310CFF" w:rsidRPr="00B35FD7" w:rsidRDefault="000029B8">
      <w:pPr>
        <w:pBdr>
          <w:top w:val="nil"/>
          <w:left w:val="nil"/>
          <w:bottom w:val="nil"/>
          <w:right w:val="nil"/>
          <w:between w:val="nil"/>
        </w:pBdr>
        <w:tabs>
          <w:tab w:val="left" w:pos="426"/>
        </w:tabs>
        <w:ind w:left="0" w:hanging="2"/>
        <w:jc w:val="both"/>
        <w:rPr>
          <w:b/>
        </w:rPr>
      </w:pPr>
      <w:r w:rsidRPr="00B35FD7">
        <w:t xml:space="preserve">La presentación de la delegación de Bolivia consta como </w:t>
      </w:r>
      <w:r w:rsidRPr="00B35FD7">
        <w:rPr>
          <w:b/>
        </w:rPr>
        <w:t>Agregado III</w:t>
      </w:r>
      <w:r w:rsidR="00021772" w:rsidRPr="00B35FD7">
        <w:rPr>
          <w:b/>
        </w:rPr>
        <w:t>.</w:t>
      </w:r>
    </w:p>
    <w:p w14:paraId="2C7A7849" w14:textId="77777777" w:rsidR="00310CFF" w:rsidRPr="00B35FD7" w:rsidRDefault="00310CFF">
      <w:pPr>
        <w:pBdr>
          <w:top w:val="nil"/>
          <w:left w:val="nil"/>
          <w:bottom w:val="nil"/>
          <w:right w:val="nil"/>
          <w:between w:val="nil"/>
        </w:pBdr>
        <w:tabs>
          <w:tab w:val="left" w:pos="426"/>
        </w:tabs>
        <w:ind w:left="0" w:hanging="2"/>
        <w:jc w:val="both"/>
        <w:rPr>
          <w:b/>
        </w:rPr>
      </w:pPr>
    </w:p>
    <w:p w14:paraId="71655DEF" w14:textId="77777777" w:rsidR="00310CFF" w:rsidRPr="00B35FD7" w:rsidRDefault="000029B8" w:rsidP="00021772">
      <w:pPr>
        <w:numPr>
          <w:ilvl w:val="0"/>
          <w:numId w:val="1"/>
        </w:numPr>
        <w:pBdr>
          <w:top w:val="nil"/>
          <w:left w:val="nil"/>
          <w:bottom w:val="nil"/>
          <w:right w:val="nil"/>
          <w:between w:val="nil"/>
        </w:pBdr>
        <w:tabs>
          <w:tab w:val="left" w:pos="426"/>
        </w:tabs>
        <w:ind w:left="424" w:hangingChars="177" w:hanging="426"/>
        <w:jc w:val="both"/>
        <w:rPr>
          <w:b/>
          <w:sz w:val="22"/>
          <w:szCs w:val="22"/>
        </w:rPr>
      </w:pPr>
      <w:r w:rsidRPr="00B35FD7">
        <w:rPr>
          <w:b/>
        </w:rPr>
        <w:lastRenderedPageBreak/>
        <w:t>ELABORACIÓN</w:t>
      </w:r>
      <w:r w:rsidRPr="00B35FD7">
        <w:rPr>
          <w:b/>
          <w:color w:val="000000"/>
        </w:rPr>
        <w:t xml:space="preserve"> DE UNA TABLA INFORMATIVA SOBRE LA ESTRUCTURA INSTITUCIONAL DE LA </w:t>
      </w:r>
      <w:r w:rsidRPr="00B35FD7">
        <w:rPr>
          <w:b/>
        </w:rPr>
        <w:t>INFRAESTRUCTURA</w:t>
      </w:r>
      <w:r w:rsidRPr="00B35FD7">
        <w:rPr>
          <w:b/>
          <w:color w:val="000000"/>
        </w:rPr>
        <w:t xml:space="preserve"> DE LA CALIDAD Y </w:t>
      </w:r>
      <w:r w:rsidRPr="00B35FD7">
        <w:rPr>
          <w:b/>
        </w:rPr>
        <w:t>EVALUACIÓN</w:t>
      </w:r>
      <w:r w:rsidRPr="00B35FD7">
        <w:rPr>
          <w:b/>
          <w:color w:val="000000"/>
        </w:rPr>
        <w:t xml:space="preserve"> DE LA CONFORMIDAD DE CADA ESTADO PARTE</w:t>
      </w:r>
    </w:p>
    <w:p w14:paraId="58D19CB9" w14:textId="77777777" w:rsidR="00310CFF" w:rsidRPr="00B35FD7" w:rsidRDefault="00310CFF">
      <w:pPr>
        <w:pBdr>
          <w:top w:val="nil"/>
          <w:left w:val="nil"/>
          <w:bottom w:val="nil"/>
          <w:right w:val="nil"/>
          <w:between w:val="nil"/>
        </w:pBdr>
        <w:tabs>
          <w:tab w:val="left" w:pos="426"/>
        </w:tabs>
        <w:ind w:left="0" w:hanging="2"/>
        <w:jc w:val="both"/>
      </w:pPr>
    </w:p>
    <w:p w14:paraId="7C764BA1" w14:textId="77777777" w:rsidR="00310CFF" w:rsidRPr="00B35FD7" w:rsidRDefault="000029B8">
      <w:pPr>
        <w:pBdr>
          <w:top w:val="nil"/>
          <w:left w:val="nil"/>
          <w:bottom w:val="nil"/>
          <w:right w:val="nil"/>
          <w:between w:val="nil"/>
        </w:pBdr>
        <w:tabs>
          <w:tab w:val="left" w:pos="426"/>
        </w:tabs>
        <w:ind w:left="0" w:hanging="2"/>
        <w:jc w:val="both"/>
      </w:pPr>
      <w:r w:rsidRPr="00B35FD7">
        <w:t>Las delegaciones acordaron incluir en la agenda la elaboración de un cuadro/tabla informativa sobre la estructura institucional de la infraestructura de la calidad y evaluación de la conformidad de cada Estado Parte, teniendo en consideración la incorporación de la delegación de Bolivia y la importancia de contar con una herramienta de comunicación precisa que contenga una descripción simplificada de las entidades que desarrollan las actividades.</w:t>
      </w:r>
    </w:p>
    <w:p w14:paraId="61406B4E" w14:textId="77777777" w:rsidR="00310CFF" w:rsidRPr="00B35FD7" w:rsidRDefault="00310CFF">
      <w:pPr>
        <w:pBdr>
          <w:top w:val="nil"/>
          <w:left w:val="nil"/>
          <w:bottom w:val="nil"/>
          <w:right w:val="nil"/>
          <w:between w:val="nil"/>
        </w:pBdr>
        <w:tabs>
          <w:tab w:val="left" w:pos="426"/>
        </w:tabs>
        <w:ind w:left="0" w:hanging="2"/>
        <w:jc w:val="both"/>
      </w:pPr>
    </w:p>
    <w:p w14:paraId="7F616713" w14:textId="77777777" w:rsidR="00310CFF" w:rsidRPr="00B35FD7" w:rsidRDefault="000029B8">
      <w:pPr>
        <w:pBdr>
          <w:top w:val="nil"/>
          <w:left w:val="nil"/>
          <w:bottom w:val="nil"/>
          <w:right w:val="nil"/>
          <w:between w:val="nil"/>
        </w:pBdr>
        <w:tabs>
          <w:tab w:val="left" w:pos="426"/>
        </w:tabs>
        <w:ind w:left="0" w:hanging="2"/>
        <w:jc w:val="both"/>
      </w:pPr>
      <w:r w:rsidRPr="00B35FD7">
        <w:t>Las delegaciones acordaron detallar las entidades que desempeñan las tareas de normalización, metrología, acreditación, certificación y reglamentación técnica, en cada Estado Parte.</w:t>
      </w:r>
    </w:p>
    <w:p w14:paraId="56BC38A4" w14:textId="77777777" w:rsidR="00310CFF" w:rsidRPr="00B35FD7" w:rsidRDefault="00310CFF">
      <w:pPr>
        <w:pBdr>
          <w:top w:val="nil"/>
          <w:left w:val="nil"/>
          <w:bottom w:val="nil"/>
          <w:right w:val="nil"/>
          <w:between w:val="nil"/>
        </w:pBdr>
        <w:tabs>
          <w:tab w:val="left" w:pos="426"/>
        </w:tabs>
        <w:ind w:left="0" w:hanging="2"/>
        <w:jc w:val="both"/>
      </w:pPr>
    </w:p>
    <w:p w14:paraId="0DD5C56C" w14:textId="77777777" w:rsidR="00310CFF" w:rsidRPr="00B35FD7" w:rsidRDefault="000029B8">
      <w:pPr>
        <w:pBdr>
          <w:top w:val="nil"/>
          <w:left w:val="nil"/>
          <w:bottom w:val="nil"/>
          <w:right w:val="nil"/>
          <w:between w:val="nil"/>
        </w:pBdr>
        <w:tabs>
          <w:tab w:val="left" w:pos="426"/>
        </w:tabs>
        <w:ind w:left="0" w:hanging="2"/>
        <w:jc w:val="both"/>
      </w:pPr>
      <w:r w:rsidRPr="00B35FD7">
        <w:t>De la misma forma, acordaron incorporar en otras filas los puntos focales de notificación y comunicación ante OMC/OTC.</w:t>
      </w:r>
    </w:p>
    <w:p w14:paraId="5D036B8B" w14:textId="77777777" w:rsidR="00310CFF" w:rsidRPr="00B35FD7" w:rsidRDefault="00310CFF">
      <w:pPr>
        <w:pBdr>
          <w:top w:val="nil"/>
          <w:left w:val="nil"/>
          <w:bottom w:val="nil"/>
          <w:right w:val="nil"/>
          <w:between w:val="nil"/>
        </w:pBdr>
        <w:tabs>
          <w:tab w:val="left" w:pos="426"/>
        </w:tabs>
        <w:ind w:left="0" w:hanging="2"/>
        <w:jc w:val="both"/>
      </w:pPr>
    </w:p>
    <w:p w14:paraId="67418CE2" w14:textId="215E588E" w:rsidR="00310CFF" w:rsidRPr="00B35FD7" w:rsidRDefault="000029B8">
      <w:pPr>
        <w:pBdr>
          <w:top w:val="nil"/>
          <w:left w:val="nil"/>
          <w:bottom w:val="nil"/>
          <w:right w:val="nil"/>
          <w:between w:val="nil"/>
        </w:pBdr>
        <w:tabs>
          <w:tab w:val="left" w:pos="426"/>
        </w:tabs>
        <w:ind w:left="0" w:hanging="2"/>
        <w:jc w:val="both"/>
        <w:rPr>
          <w:b/>
        </w:rPr>
      </w:pPr>
      <w:r w:rsidRPr="00B35FD7">
        <w:t xml:space="preserve">La tabla informativa sobre la estructura institucional de la infraestructura de la calidad y evaluación de la conformidad consta como </w:t>
      </w:r>
      <w:r w:rsidRPr="00B35FD7">
        <w:rPr>
          <w:b/>
        </w:rPr>
        <w:t>Agregado IV</w:t>
      </w:r>
      <w:r w:rsidR="00021772" w:rsidRPr="00B35FD7">
        <w:rPr>
          <w:b/>
        </w:rPr>
        <w:t>.</w:t>
      </w:r>
    </w:p>
    <w:p w14:paraId="58C6AEB0" w14:textId="77777777" w:rsidR="00310CFF" w:rsidRPr="00B35FD7" w:rsidRDefault="00310CFF">
      <w:pPr>
        <w:pBdr>
          <w:top w:val="nil"/>
          <w:left w:val="nil"/>
          <w:bottom w:val="nil"/>
          <w:right w:val="nil"/>
          <w:between w:val="nil"/>
        </w:pBdr>
        <w:tabs>
          <w:tab w:val="left" w:pos="426"/>
        </w:tabs>
        <w:ind w:left="0" w:hanging="2"/>
        <w:jc w:val="both"/>
      </w:pPr>
    </w:p>
    <w:p w14:paraId="5928880D" w14:textId="77777777" w:rsidR="00310CFF" w:rsidRPr="00B35FD7" w:rsidRDefault="00310CFF">
      <w:pPr>
        <w:pBdr>
          <w:top w:val="nil"/>
          <w:left w:val="nil"/>
          <w:bottom w:val="nil"/>
          <w:right w:val="nil"/>
          <w:between w:val="nil"/>
        </w:pBdr>
        <w:tabs>
          <w:tab w:val="left" w:pos="426"/>
        </w:tabs>
        <w:ind w:left="0" w:hanging="2"/>
        <w:jc w:val="both"/>
        <w:rPr>
          <w:b/>
          <w:sz w:val="22"/>
          <w:szCs w:val="22"/>
        </w:rPr>
      </w:pPr>
    </w:p>
    <w:p w14:paraId="02F84D11" w14:textId="77777777" w:rsidR="00310CFF" w:rsidRPr="00B35FD7" w:rsidRDefault="000029B8" w:rsidP="00021772">
      <w:pPr>
        <w:numPr>
          <w:ilvl w:val="0"/>
          <w:numId w:val="1"/>
        </w:numPr>
        <w:pBdr>
          <w:top w:val="nil"/>
          <w:left w:val="nil"/>
          <w:bottom w:val="nil"/>
          <w:right w:val="nil"/>
          <w:between w:val="nil"/>
        </w:pBdr>
        <w:tabs>
          <w:tab w:val="left" w:pos="426"/>
        </w:tabs>
        <w:ind w:left="424" w:hangingChars="177" w:hanging="426"/>
        <w:jc w:val="both"/>
        <w:rPr>
          <w:b/>
          <w:sz w:val="22"/>
          <w:szCs w:val="22"/>
        </w:rPr>
      </w:pPr>
      <w:r w:rsidRPr="00B35FD7">
        <w:rPr>
          <w:b/>
        </w:rPr>
        <w:t>LISTADO DE RTMS INTERNALIZADOS CON SUS RESPECTIVOS OECS DESIGNADOS/HABILITADOS PARA OPERARLOS</w:t>
      </w:r>
    </w:p>
    <w:p w14:paraId="0AB13FB3" w14:textId="77777777" w:rsidR="00310CFF" w:rsidRPr="00B35FD7" w:rsidRDefault="000029B8">
      <w:pPr>
        <w:spacing w:before="240"/>
        <w:ind w:left="0" w:hanging="2"/>
        <w:jc w:val="both"/>
      </w:pPr>
      <w:r w:rsidRPr="00B35FD7">
        <w:t>Las delegaciones continuaron analizando el documento de trabajo.</w:t>
      </w:r>
    </w:p>
    <w:p w14:paraId="4CE5642F" w14:textId="77777777" w:rsidR="00310CFF" w:rsidRPr="00B35FD7" w:rsidRDefault="000029B8">
      <w:pPr>
        <w:spacing w:before="240"/>
        <w:ind w:left="0" w:hanging="2"/>
        <w:jc w:val="both"/>
      </w:pPr>
      <w:r w:rsidRPr="00B35FD7">
        <w:t xml:space="preserve">La delegación de Uruguay informó que se encuentra incorporada la Resolución GMC </w:t>
      </w:r>
      <w:proofErr w:type="spellStart"/>
      <w:r w:rsidRPr="00B35FD7">
        <w:t>N°</w:t>
      </w:r>
      <w:proofErr w:type="spellEnd"/>
      <w:r w:rsidRPr="00B35FD7">
        <w:t xml:space="preserve"> 37/17, y que la Resolución GMC </w:t>
      </w:r>
      <w:proofErr w:type="spellStart"/>
      <w:r w:rsidRPr="00B35FD7">
        <w:t>N°</w:t>
      </w:r>
      <w:proofErr w:type="spellEnd"/>
      <w:r w:rsidRPr="00B35FD7">
        <w:t xml:space="preserve"> 49/23 aún no ha sido incorporada.</w:t>
      </w:r>
    </w:p>
    <w:p w14:paraId="17414BB7" w14:textId="77777777" w:rsidR="00310CFF" w:rsidRPr="00B35FD7" w:rsidRDefault="000029B8">
      <w:pPr>
        <w:spacing w:before="240"/>
        <w:ind w:left="0" w:hanging="2"/>
        <w:jc w:val="both"/>
      </w:pPr>
      <w:r w:rsidRPr="00B35FD7">
        <w:t xml:space="preserve">La delegación de Paraguay se comprometió a verificar el estado de incorporación de las resoluciones GMC </w:t>
      </w:r>
      <w:proofErr w:type="spellStart"/>
      <w:r w:rsidRPr="00B35FD7">
        <w:t>N°</w:t>
      </w:r>
      <w:proofErr w:type="spellEnd"/>
      <w:r w:rsidRPr="00B35FD7">
        <w:t xml:space="preserve"> 03/21, 20/22, 21/22, 49/23 y la 37/17 para la siguiente reunión.</w:t>
      </w:r>
    </w:p>
    <w:p w14:paraId="3F025E35" w14:textId="09AA25EC" w:rsidR="00310CFF" w:rsidRPr="00B35FD7" w:rsidRDefault="000029B8">
      <w:pPr>
        <w:spacing w:before="240"/>
        <w:ind w:left="0" w:hanging="2"/>
        <w:jc w:val="both"/>
      </w:pPr>
      <w:r w:rsidRPr="00B35FD7">
        <w:t>La delegación de Brasil inform</w:t>
      </w:r>
      <w:r w:rsidR="00480425">
        <w:t>ó</w:t>
      </w:r>
      <w:r w:rsidRPr="00B35FD7">
        <w:t xml:space="preserve"> que las Resoluciones del listado se encuentran todas internalizadas excepto las resoluciones GMC 13/95 y 17/01.</w:t>
      </w:r>
    </w:p>
    <w:p w14:paraId="58E4EFF8" w14:textId="77777777" w:rsidR="00310CFF" w:rsidRPr="00B35FD7" w:rsidRDefault="000029B8">
      <w:pPr>
        <w:spacing w:before="240"/>
        <w:ind w:left="0" w:hanging="2"/>
        <w:jc w:val="both"/>
      </w:pPr>
      <w:r w:rsidRPr="00B35FD7">
        <w:t>Las delegaciones acordaron eliminar dichas Resoluciones del listado.</w:t>
      </w:r>
    </w:p>
    <w:p w14:paraId="61D6D954" w14:textId="77777777" w:rsidR="00310CFF" w:rsidRPr="00B35FD7" w:rsidRDefault="000029B8">
      <w:pPr>
        <w:spacing w:before="240"/>
        <w:ind w:left="0" w:hanging="2"/>
        <w:jc w:val="both"/>
      </w:pPr>
      <w:r w:rsidRPr="00B35FD7">
        <w:t xml:space="preserve">En relación con la Res. GMC </w:t>
      </w:r>
      <w:proofErr w:type="spellStart"/>
      <w:r w:rsidRPr="00B35FD7">
        <w:t>Nº</w:t>
      </w:r>
      <w:proofErr w:type="spellEnd"/>
      <w:r w:rsidRPr="00B35FD7">
        <w:t xml:space="preserve"> 62/18 (textiles), está internalizada por Argentina, Brasil y Paraguay. La delegación de Uruguay consultó el estado de incorporación de esta resolución informando que la misma aún no ha sido incorporada.</w:t>
      </w:r>
    </w:p>
    <w:p w14:paraId="0A5C5C5C" w14:textId="77777777" w:rsidR="00310CFF" w:rsidRPr="00B35FD7" w:rsidRDefault="000029B8">
      <w:pPr>
        <w:spacing w:before="240"/>
        <w:ind w:left="0" w:hanging="2"/>
        <w:jc w:val="both"/>
        <w:rPr>
          <w:highlight w:val="white"/>
        </w:rPr>
      </w:pPr>
      <w:r w:rsidRPr="00B35FD7">
        <w:t xml:space="preserve">Las delegaciones acordaron avanzar con la consulta acerca del estado de incorporación de las resoluciones de las Comisiones de Automotriz y Gas, para </w:t>
      </w:r>
      <w:r w:rsidRPr="00B35FD7">
        <w:lastRenderedPageBreak/>
        <w:t xml:space="preserve">luego analizar el grado de conveniencia de incorporar </w:t>
      </w:r>
      <w:r w:rsidRPr="00B35FD7">
        <w:rPr>
          <w:highlight w:val="white"/>
        </w:rPr>
        <w:t>al listado de reglamentos técnicos y sus respectivos organismos de control.</w:t>
      </w:r>
    </w:p>
    <w:p w14:paraId="144FFE08" w14:textId="77777777" w:rsidR="00310CFF" w:rsidRPr="00B35FD7" w:rsidRDefault="000029B8">
      <w:pPr>
        <w:spacing w:before="240"/>
        <w:ind w:left="0" w:hanging="2"/>
        <w:jc w:val="both"/>
        <w:rPr>
          <w:highlight w:val="white"/>
        </w:rPr>
      </w:pPr>
      <w:r w:rsidRPr="00B35FD7">
        <w:rPr>
          <w:highlight w:val="white"/>
        </w:rPr>
        <w:t xml:space="preserve">Las delegaciones acordaron agregar una columna denominada </w:t>
      </w:r>
      <w:r w:rsidRPr="00B35FD7">
        <w:rPr>
          <w:i/>
        </w:rPr>
        <w:t xml:space="preserve">“Mecanismo de control” en la tabla del listado de los </w:t>
      </w:r>
      <w:proofErr w:type="spellStart"/>
      <w:r w:rsidRPr="00B35FD7">
        <w:rPr>
          <w:i/>
        </w:rPr>
        <w:t>RTMs</w:t>
      </w:r>
      <w:proofErr w:type="spellEnd"/>
      <w:r w:rsidRPr="00B35FD7">
        <w:rPr>
          <w:i/>
        </w:rPr>
        <w:t xml:space="preserve">, </w:t>
      </w:r>
      <w:r w:rsidRPr="00B35FD7">
        <w:rPr>
          <w:highlight w:val="white"/>
        </w:rPr>
        <w:t>sobre el Procedimiento de Evaluación de la Conformidad utilizado por cada Estado Parte, para demostrar el cumplimiento de las resoluciones detalladas en el listado, y se comprometieron a enviar la información respectiva para su complementación, para la próxima reunión.</w:t>
      </w:r>
    </w:p>
    <w:p w14:paraId="5BD12CC1" w14:textId="77777777" w:rsidR="00310CFF" w:rsidRPr="00B35FD7" w:rsidRDefault="000029B8">
      <w:pPr>
        <w:spacing w:before="240"/>
        <w:ind w:left="0" w:hanging="2"/>
        <w:jc w:val="both"/>
        <w:rPr>
          <w:highlight w:val="white"/>
        </w:rPr>
      </w:pPr>
      <w:r w:rsidRPr="00B35FD7">
        <w:rPr>
          <w:highlight w:val="white"/>
        </w:rPr>
        <w:t xml:space="preserve">Las delegaciones solicitaron a la Coordinación consultar a la Secretaría del MERCOSUR sobre la incorporación del Listado de </w:t>
      </w:r>
      <w:proofErr w:type="spellStart"/>
      <w:r w:rsidRPr="00B35FD7">
        <w:rPr>
          <w:highlight w:val="white"/>
        </w:rPr>
        <w:t>RTMs</w:t>
      </w:r>
      <w:proofErr w:type="spellEnd"/>
      <w:r w:rsidRPr="00B35FD7">
        <w:rPr>
          <w:highlight w:val="white"/>
        </w:rPr>
        <w:t xml:space="preserve"> y sus respectivos </w:t>
      </w:r>
      <w:proofErr w:type="spellStart"/>
      <w:r w:rsidRPr="00B35FD7">
        <w:rPr>
          <w:highlight w:val="white"/>
        </w:rPr>
        <w:t>OECs</w:t>
      </w:r>
      <w:proofErr w:type="spellEnd"/>
      <w:r w:rsidRPr="00B35FD7">
        <w:rPr>
          <w:highlight w:val="white"/>
        </w:rPr>
        <w:t xml:space="preserve"> en la página web del MERCOSUR.</w:t>
      </w:r>
    </w:p>
    <w:p w14:paraId="02AEDCA1" w14:textId="77777777" w:rsidR="00310CFF" w:rsidRPr="00B35FD7" w:rsidRDefault="000029B8">
      <w:pPr>
        <w:spacing w:before="240"/>
        <w:ind w:left="0" w:hanging="2"/>
        <w:jc w:val="both"/>
        <w:rPr>
          <w:b/>
        </w:rPr>
      </w:pPr>
      <w:r w:rsidRPr="00B35FD7">
        <w:t xml:space="preserve">El listado de </w:t>
      </w:r>
      <w:proofErr w:type="spellStart"/>
      <w:r w:rsidRPr="00B35FD7">
        <w:t>RTMs</w:t>
      </w:r>
      <w:proofErr w:type="spellEnd"/>
      <w:r w:rsidRPr="00B35FD7">
        <w:t xml:space="preserve"> internalizados con sus respectivos </w:t>
      </w:r>
      <w:proofErr w:type="spellStart"/>
      <w:r w:rsidRPr="00B35FD7">
        <w:t>OECs</w:t>
      </w:r>
      <w:proofErr w:type="spellEnd"/>
      <w:r w:rsidRPr="00B35FD7">
        <w:t xml:space="preserve"> designados/habilitados para operarlos consta como </w:t>
      </w:r>
      <w:r w:rsidRPr="00B35FD7">
        <w:rPr>
          <w:b/>
        </w:rPr>
        <w:t>Agregado V.</w:t>
      </w:r>
    </w:p>
    <w:p w14:paraId="0952D147" w14:textId="77777777" w:rsidR="00310CFF" w:rsidRPr="00B35FD7" w:rsidRDefault="00310CFF">
      <w:pPr>
        <w:pBdr>
          <w:top w:val="nil"/>
          <w:left w:val="nil"/>
          <w:bottom w:val="nil"/>
          <w:right w:val="nil"/>
          <w:between w:val="nil"/>
        </w:pBdr>
        <w:tabs>
          <w:tab w:val="left" w:pos="1134"/>
        </w:tabs>
        <w:spacing w:line="240" w:lineRule="auto"/>
        <w:ind w:left="0" w:hanging="2"/>
        <w:jc w:val="both"/>
        <w:rPr>
          <w:b/>
        </w:rPr>
      </w:pPr>
    </w:p>
    <w:p w14:paraId="49333A88" w14:textId="77777777" w:rsidR="00310CFF" w:rsidRPr="00B35FD7" w:rsidRDefault="00310CFF">
      <w:pPr>
        <w:pBdr>
          <w:top w:val="nil"/>
          <w:left w:val="nil"/>
          <w:bottom w:val="nil"/>
          <w:right w:val="nil"/>
          <w:between w:val="nil"/>
        </w:pBdr>
        <w:tabs>
          <w:tab w:val="left" w:pos="1134"/>
        </w:tabs>
        <w:spacing w:line="240" w:lineRule="auto"/>
        <w:ind w:left="0" w:hanging="2"/>
        <w:jc w:val="both"/>
        <w:rPr>
          <w:b/>
        </w:rPr>
      </w:pPr>
    </w:p>
    <w:p w14:paraId="4D59448B" w14:textId="77777777" w:rsidR="00310CFF" w:rsidRPr="00B35FD7" w:rsidRDefault="000029B8" w:rsidP="00021772">
      <w:pPr>
        <w:numPr>
          <w:ilvl w:val="0"/>
          <w:numId w:val="1"/>
        </w:numPr>
        <w:pBdr>
          <w:top w:val="nil"/>
          <w:left w:val="nil"/>
          <w:bottom w:val="nil"/>
          <w:right w:val="nil"/>
          <w:between w:val="nil"/>
        </w:pBdr>
        <w:tabs>
          <w:tab w:val="left" w:pos="426"/>
        </w:tabs>
        <w:ind w:left="424" w:hangingChars="177" w:hanging="426"/>
        <w:jc w:val="both"/>
        <w:rPr>
          <w:b/>
          <w:color w:val="000000"/>
        </w:rPr>
      </w:pPr>
      <w:r w:rsidRPr="00B35FD7">
        <w:rPr>
          <w:b/>
        </w:rPr>
        <w:t xml:space="preserve">ACTUALIZACIÓN DE LAS RESOLUCIONES GMC RELATIVAS A EVALUACIÓN DE LA CONFORMIDAD </w:t>
      </w:r>
    </w:p>
    <w:p w14:paraId="74A76E8C" w14:textId="77777777" w:rsidR="00310CFF" w:rsidRPr="00B35FD7" w:rsidRDefault="000029B8">
      <w:pPr>
        <w:spacing w:before="240"/>
        <w:ind w:left="0" w:hanging="2"/>
        <w:jc w:val="both"/>
      </w:pPr>
      <w:r w:rsidRPr="00B35FD7">
        <w:t xml:space="preserve">Las delegaciones analizaron la lista de resoluciones relativas a Evaluación de la Conformidad, la cual se actualizó con las resoluciones vigentes. </w:t>
      </w:r>
    </w:p>
    <w:p w14:paraId="5648D9D5" w14:textId="77777777" w:rsidR="00310CFF" w:rsidRPr="00B35FD7" w:rsidRDefault="000029B8">
      <w:pPr>
        <w:spacing w:before="240"/>
        <w:ind w:left="0" w:hanging="2"/>
        <w:jc w:val="both"/>
      </w:pPr>
      <w:r w:rsidRPr="00B35FD7">
        <w:t>Se procedió a suprimir las siguientes resoluciones:</w:t>
      </w:r>
    </w:p>
    <w:p w14:paraId="43D9ACA6" w14:textId="77777777" w:rsidR="00310CFF" w:rsidRPr="00B35FD7" w:rsidRDefault="00310CFF">
      <w:pPr>
        <w:spacing w:before="240"/>
        <w:ind w:left="0" w:hanging="2"/>
        <w:jc w:val="both"/>
        <w:rPr>
          <w:highlight w:val="yellow"/>
        </w:rPr>
      </w:pPr>
    </w:p>
    <w:tbl>
      <w:tblPr>
        <w:tblStyle w:val="ad"/>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6"/>
        <w:gridCol w:w="3686"/>
        <w:gridCol w:w="3828"/>
      </w:tblGrid>
      <w:tr w:rsidR="00310CFF" w:rsidRPr="00B35FD7" w14:paraId="1396B331" w14:textId="77777777" w:rsidTr="00C13A48">
        <w:trPr>
          <w:trHeight w:val="240"/>
        </w:trPr>
        <w:tc>
          <w:tcPr>
            <w:tcW w:w="11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10C14834" w14:textId="1C4B6438" w:rsidR="00310CFF" w:rsidRPr="00B35FD7" w:rsidRDefault="000029B8" w:rsidP="00C13A48">
            <w:pPr>
              <w:spacing w:line="276" w:lineRule="auto"/>
              <w:ind w:left="0" w:right="100" w:hanging="2"/>
              <w:jc w:val="center"/>
              <w:rPr>
                <w:rFonts w:eastAsia="Verdana"/>
                <w:b/>
                <w:sz w:val="22"/>
                <w:szCs w:val="22"/>
              </w:rPr>
            </w:pPr>
            <w:r w:rsidRPr="00B35FD7">
              <w:rPr>
                <w:rFonts w:eastAsia="Verdana"/>
                <w:b/>
                <w:sz w:val="22"/>
                <w:szCs w:val="22"/>
              </w:rPr>
              <w:t xml:space="preserve">GMC </w:t>
            </w:r>
            <w:proofErr w:type="spellStart"/>
            <w:r w:rsidRPr="00B35FD7">
              <w:rPr>
                <w:rFonts w:eastAsia="Verdana"/>
                <w:b/>
                <w:sz w:val="22"/>
                <w:szCs w:val="22"/>
              </w:rPr>
              <w:t>N°</w:t>
            </w:r>
            <w:proofErr w:type="spellEnd"/>
          </w:p>
        </w:tc>
        <w:tc>
          <w:tcPr>
            <w:tcW w:w="3686" w:type="dxa"/>
            <w:tcBorders>
              <w:top w:val="single" w:sz="6" w:space="0" w:color="000000"/>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61FBBBF2" w14:textId="4E7CE640" w:rsidR="00310CFF" w:rsidRPr="00B35FD7" w:rsidRDefault="00C13A48" w:rsidP="00C13A48">
            <w:pPr>
              <w:spacing w:line="276" w:lineRule="auto"/>
              <w:ind w:left="0" w:right="100" w:hanging="2"/>
              <w:jc w:val="center"/>
              <w:rPr>
                <w:rFonts w:eastAsia="Verdana"/>
                <w:b/>
                <w:sz w:val="22"/>
                <w:szCs w:val="22"/>
              </w:rPr>
            </w:pPr>
            <w:r w:rsidRPr="00B35FD7">
              <w:rPr>
                <w:rFonts w:eastAsia="Verdana"/>
                <w:b/>
                <w:sz w:val="22"/>
                <w:szCs w:val="22"/>
              </w:rPr>
              <w:t>TÍTULO</w:t>
            </w:r>
          </w:p>
        </w:tc>
        <w:tc>
          <w:tcPr>
            <w:tcW w:w="3828" w:type="dxa"/>
            <w:tcBorders>
              <w:top w:val="single" w:sz="6" w:space="0" w:color="000000"/>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11661094" w14:textId="6292001E" w:rsidR="00310CFF" w:rsidRPr="00B35FD7" w:rsidRDefault="00C13A48" w:rsidP="00C13A48">
            <w:pPr>
              <w:spacing w:line="276" w:lineRule="auto"/>
              <w:ind w:left="0" w:right="100" w:hanging="2"/>
              <w:jc w:val="center"/>
              <w:rPr>
                <w:rFonts w:eastAsia="Verdana"/>
                <w:b/>
                <w:sz w:val="22"/>
                <w:szCs w:val="22"/>
              </w:rPr>
            </w:pPr>
            <w:r w:rsidRPr="00B35FD7">
              <w:rPr>
                <w:rFonts w:eastAsia="Verdana"/>
                <w:b/>
                <w:sz w:val="22"/>
                <w:szCs w:val="22"/>
              </w:rPr>
              <w:t>DEROGADA,</w:t>
            </w:r>
            <w:r>
              <w:rPr>
                <w:rFonts w:eastAsia="Verdana"/>
                <w:b/>
                <w:sz w:val="22"/>
                <w:szCs w:val="22"/>
              </w:rPr>
              <w:t xml:space="preserve"> </w:t>
            </w:r>
            <w:r w:rsidRPr="00B35FD7">
              <w:rPr>
                <w:rFonts w:eastAsia="Verdana"/>
                <w:b/>
                <w:sz w:val="22"/>
                <w:szCs w:val="22"/>
              </w:rPr>
              <w:t>COMPLEMENTADA Y/O MODIFICADA POR</w:t>
            </w:r>
          </w:p>
        </w:tc>
      </w:tr>
      <w:tr w:rsidR="00310CFF" w:rsidRPr="00B35FD7" w14:paraId="02C0D3EA" w14:textId="77777777" w:rsidTr="00C13A48">
        <w:trPr>
          <w:trHeight w:val="1536"/>
        </w:trPr>
        <w:tc>
          <w:tcPr>
            <w:tcW w:w="11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76525D6" w14:textId="77777777" w:rsidR="00310CFF" w:rsidRPr="00B35FD7" w:rsidRDefault="000029B8" w:rsidP="005066C2">
            <w:pPr>
              <w:spacing w:line="276" w:lineRule="auto"/>
              <w:ind w:left="0" w:right="100" w:hanging="2"/>
              <w:jc w:val="center"/>
              <w:rPr>
                <w:rFonts w:eastAsia="Verdana"/>
                <w:sz w:val="22"/>
                <w:szCs w:val="22"/>
              </w:rPr>
            </w:pPr>
            <w:r w:rsidRPr="00B35FD7">
              <w:rPr>
                <w:rFonts w:eastAsia="Verdana"/>
                <w:sz w:val="22"/>
                <w:szCs w:val="22"/>
              </w:rPr>
              <w:t>12/07</w:t>
            </w:r>
          </w:p>
        </w:tc>
        <w:tc>
          <w:tcPr>
            <w:tcW w:w="36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E693DB7" w14:textId="04A540B1" w:rsidR="00310CFF" w:rsidRPr="00B35FD7" w:rsidRDefault="000029B8" w:rsidP="005066C2">
            <w:pPr>
              <w:spacing w:line="276" w:lineRule="auto"/>
              <w:ind w:left="0" w:right="100" w:hanging="2"/>
              <w:jc w:val="both"/>
              <w:rPr>
                <w:rFonts w:eastAsia="Verdana"/>
                <w:sz w:val="22"/>
                <w:szCs w:val="22"/>
              </w:rPr>
            </w:pPr>
            <w:r w:rsidRPr="00B35FD7">
              <w:rPr>
                <w:rFonts w:eastAsia="Verdana"/>
                <w:sz w:val="22"/>
                <w:szCs w:val="22"/>
              </w:rPr>
              <w:t xml:space="preserve">Documento “Principios, Características y Objetivos de los Sistemas de Evaluación de la Conformidad”, presentado por el SGT </w:t>
            </w:r>
            <w:proofErr w:type="spellStart"/>
            <w:r w:rsidRPr="00B35FD7">
              <w:rPr>
                <w:rFonts w:eastAsia="Verdana"/>
                <w:sz w:val="22"/>
                <w:szCs w:val="22"/>
              </w:rPr>
              <w:t>Nº</w:t>
            </w:r>
            <w:proofErr w:type="spellEnd"/>
            <w:r w:rsidRPr="00B35FD7">
              <w:rPr>
                <w:rFonts w:eastAsia="Verdana"/>
                <w:sz w:val="22"/>
                <w:szCs w:val="22"/>
              </w:rPr>
              <w:t xml:space="preserve"> 3</w:t>
            </w:r>
            <w:r w:rsidR="00B35FD7">
              <w:rPr>
                <w:rFonts w:eastAsia="Verdana"/>
                <w:sz w:val="22"/>
                <w:szCs w:val="22"/>
              </w:rPr>
              <w:t>.</w:t>
            </w:r>
          </w:p>
        </w:tc>
        <w:tc>
          <w:tcPr>
            <w:tcW w:w="382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6714715" w14:textId="77777777" w:rsidR="00310CFF" w:rsidRPr="00B35FD7" w:rsidRDefault="000029B8" w:rsidP="005066C2">
            <w:pPr>
              <w:spacing w:line="276" w:lineRule="auto"/>
              <w:ind w:left="0" w:right="100" w:hanging="2"/>
              <w:jc w:val="both"/>
              <w:rPr>
                <w:rFonts w:eastAsia="Verdana"/>
                <w:sz w:val="22"/>
                <w:szCs w:val="22"/>
              </w:rPr>
            </w:pPr>
            <w:r w:rsidRPr="00B35FD7">
              <w:rPr>
                <w:rFonts w:eastAsia="Verdana"/>
                <w:sz w:val="22"/>
                <w:szCs w:val="22"/>
              </w:rPr>
              <w:t>Dejada sin efecto por el GMC según informado en Acta 6 CXXV Reunión del GMC del 16 y 17 de noviembre de 2022</w:t>
            </w:r>
          </w:p>
        </w:tc>
      </w:tr>
      <w:tr w:rsidR="00310CFF" w:rsidRPr="00B35FD7" w14:paraId="02CC5B77" w14:textId="77777777" w:rsidTr="00C13A48">
        <w:trPr>
          <w:trHeight w:val="960"/>
        </w:trPr>
        <w:tc>
          <w:tcPr>
            <w:tcW w:w="11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A8E5EF9" w14:textId="77777777" w:rsidR="00310CFF" w:rsidRPr="00B35FD7" w:rsidRDefault="000029B8" w:rsidP="005066C2">
            <w:pPr>
              <w:spacing w:line="276" w:lineRule="auto"/>
              <w:ind w:left="0" w:right="100" w:hanging="2"/>
              <w:jc w:val="center"/>
              <w:rPr>
                <w:rFonts w:eastAsia="Verdana"/>
                <w:sz w:val="22"/>
                <w:szCs w:val="22"/>
              </w:rPr>
            </w:pPr>
            <w:r w:rsidRPr="00B35FD7">
              <w:rPr>
                <w:rFonts w:eastAsia="Verdana"/>
                <w:sz w:val="22"/>
                <w:szCs w:val="22"/>
              </w:rPr>
              <w:t>14/05</w:t>
            </w:r>
          </w:p>
        </w:tc>
        <w:tc>
          <w:tcPr>
            <w:tcW w:w="36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2DE3B53" w14:textId="52AF7A73" w:rsidR="00310CFF" w:rsidRPr="00B35FD7" w:rsidRDefault="000029B8" w:rsidP="005066C2">
            <w:pPr>
              <w:spacing w:line="276" w:lineRule="auto"/>
              <w:ind w:left="0" w:right="100" w:hanging="2"/>
              <w:jc w:val="both"/>
              <w:rPr>
                <w:rFonts w:eastAsia="Verdana"/>
                <w:sz w:val="22"/>
                <w:szCs w:val="22"/>
              </w:rPr>
            </w:pPr>
            <w:r w:rsidRPr="00B35FD7">
              <w:rPr>
                <w:rFonts w:eastAsia="Verdana"/>
                <w:sz w:val="22"/>
                <w:szCs w:val="22"/>
              </w:rPr>
              <w:t>Guía para el Reconocimiento de los Procedimientos de Evaluación de la Conformidad</w:t>
            </w:r>
            <w:r w:rsidR="00B35FD7">
              <w:rPr>
                <w:rFonts w:eastAsia="Verdana"/>
                <w:sz w:val="22"/>
                <w:szCs w:val="22"/>
              </w:rPr>
              <w:t>.</w:t>
            </w:r>
          </w:p>
        </w:tc>
        <w:tc>
          <w:tcPr>
            <w:tcW w:w="382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296807F" w14:textId="77777777" w:rsidR="00310CFF" w:rsidRPr="00B35FD7" w:rsidRDefault="000029B8" w:rsidP="005066C2">
            <w:pPr>
              <w:spacing w:line="276" w:lineRule="auto"/>
              <w:ind w:left="0" w:right="100" w:hanging="2"/>
              <w:jc w:val="both"/>
              <w:rPr>
                <w:rFonts w:eastAsia="Verdana"/>
                <w:sz w:val="22"/>
                <w:szCs w:val="22"/>
              </w:rPr>
            </w:pPr>
            <w:r w:rsidRPr="00B35FD7">
              <w:rPr>
                <w:rFonts w:eastAsia="Verdana"/>
                <w:sz w:val="22"/>
                <w:szCs w:val="22"/>
              </w:rPr>
              <w:t xml:space="preserve"> Derogada por la Resolución GMC </w:t>
            </w:r>
            <w:proofErr w:type="spellStart"/>
            <w:r w:rsidRPr="00B35FD7">
              <w:rPr>
                <w:rFonts w:eastAsia="Verdana"/>
                <w:sz w:val="22"/>
                <w:szCs w:val="22"/>
              </w:rPr>
              <w:t>Nº</w:t>
            </w:r>
            <w:proofErr w:type="spellEnd"/>
            <w:r w:rsidRPr="00B35FD7">
              <w:rPr>
                <w:rFonts w:eastAsia="Verdana"/>
                <w:sz w:val="22"/>
                <w:szCs w:val="22"/>
              </w:rPr>
              <w:t xml:space="preserve"> 28/22</w:t>
            </w:r>
          </w:p>
        </w:tc>
      </w:tr>
      <w:tr w:rsidR="00310CFF" w:rsidRPr="00B35FD7" w14:paraId="08295752" w14:textId="77777777" w:rsidTr="00C13A48">
        <w:trPr>
          <w:trHeight w:val="1272"/>
        </w:trPr>
        <w:tc>
          <w:tcPr>
            <w:tcW w:w="11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4DD87BE" w14:textId="77777777" w:rsidR="00310CFF" w:rsidRPr="00B35FD7" w:rsidRDefault="000029B8" w:rsidP="005066C2">
            <w:pPr>
              <w:spacing w:line="276" w:lineRule="auto"/>
              <w:ind w:left="0" w:right="100" w:hanging="2"/>
              <w:jc w:val="center"/>
              <w:rPr>
                <w:rFonts w:eastAsia="Verdana"/>
                <w:sz w:val="22"/>
                <w:szCs w:val="22"/>
              </w:rPr>
            </w:pPr>
            <w:r w:rsidRPr="00B35FD7">
              <w:rPr>
                <w:rFonts w:eastAsia="Verdana"/>
                <w:sz w:val="22"/>
                <w:szCs w:val="22"/>
              </w:rPr>
              <w:t>25/03</w:t>
            </w:r>
          </w:p>
        </w:tc>
        <w:tc>
          <w:tcPr>
            <w:tcW w:w="36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1AD87F9" w14:textId="77777777" w:rsidR="00310CFF" w:rsidRPr="00B35FD7" w:rsidRDefault="000029B8" w:rsidP="005066C2">
            <w:pPr>
              <w:spacing w:line="276" w:lineRule="auto"/>
              <w:ind w:left="0" w:right="100" w:hanging="2"/>
              <w:jc w:val="both"/>
              <w:rPr>
                <w:rFonts w:eastAsia="Verdana"/>
                <w:sz w:val="22"/>
                <w:szCs w:val="22"/>
              </w:rPr>
            </w:pPr>
            <w:r w:rsidRPr="00B35FD7">
              <w:rPr>
                <w:rFonts w:eastAsia="Verdana"/>
                <w:sz w:val="22"/>
                <w:szCs w:val="22"/>
              </w:rPr>
              <w:t>Directriz para la celebración de acuerdos de reconocimiento de sistemas de Evaluación de la Conformidad.</w:t>
            </w:r>
          </w:p>
        </w:tc>
        <w:tc>
          <w:tcPr>
            <w:tcW w:w="382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9464748" w14:textId="77777777" w:rsidR="00310CFF" w:rsidRPr="00B35FD7" w:rsidRDefault="000029B8" w:rsidP="005066C2">
            <w:pPr>
              <w:spacing w:line="276" w:lineRule="auto"/>
              <w:ind w:left="0" w:right="100" w:hanging="2"/>
              <w:jc w:val="both"/>
              <w:rPr>
                <w:rFonts w:eastAsia="Verdana"/>
                <w:sz w:val="22"/>
                <w:szCs w:val="22"/>
              </w:rPr>
            </w:pPr>
            <w:r w:rsidRPr="00B35FD7">
              <w:rPr>
                <w:rFonts w:eastAsia="Verdana"/>
                <w:sz w:val="22"/>
                <w:szCs w:val="22"/>
              </w:rPr>
              <w:t xml:space="preserve">Derogada por la Resolución GMC </w:t>
            </w:r>
            <w:proofErr w:type="spellStart"/>
            <w:r w:rsidRPr="00B35FD7">
              <w:rPr>
                <w:rFonts w:eastAsia="Verdana"/>
                <w:sz w:val="22"/>
                <w:szCs w:val="22"/>
              </w:rPr>
              <w:t>Nº</w:t>
            </w:r>
            <w:proofErr w:type="spellEnd"/>
            <w:r w:rsidRPr="00B35FD7">
              <w:rPr>
                <w:rFonts w:eastAsia="Verdana"/>
                <w:sz w:val="22"/>
                <w:szCs w:val="22"/>
              </w:rPr>
              <w:t xml:space="preserve"> 28/22</w:t>
            </w:r>
          </w:p>
        </w:tc>
      </w:tr>
    </w:tbl>
    <w:p w14:paraId="4AC8A89A" w14:textId="77777777" w:rsidR="00021772" w:rsidRPr="00B35FD7" w:rsidRDefault="00021772">
      <w:pPr>
        <w:ind w:left="0" w:hanging="2"/>
      </w:pPr>
      <w:r w:rsidRPr="00B35FD7">
        <w:br w:type="page"/>
      </w:r>
    </w:p>
    <w:tbl>
      <w:tblPr>
        <w:tblStyle w:val="ad"/>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6"/>
        <w:gridCol w:w="3828"/>
        <w:gridCol w:w="3686"/>
      </w:tblGrid>
      <w:tr w:rsidR="00310CFF" w:rsidRPr="00B35FD7" w14:paraId="0EA6AD49" w14:textId="77777777" w:rsidTr="005066C2">
        <w:trPr>
          <w:trHeight w:val="573"/>
        </w:trPr>
        <w:tc>
          <w:tcPr>
            <w:tcW w:w="1126" w:type="dxa"/>
            <w:tcBorders>
              <w:top w:val="single" w:sz="4" w:space="0" w:color="auto"/>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507A72D" w14:textId="5356FA2E" w:rsidR="00310CFF" w:rsidRPr="00B35FD7" w:rsidRDefault="000029B8" w:rsidP="005066C2">
            <w:pPr>
              <w:spacing w:line="276" w:lineRule="auto"/>
              <w:ind w:left="0" w:right="100" w:hanging="2"/>
              <w:jc w:val="center"/>
              <w:rPr>
                <w:rFonts w:eastAsia="Verdana"/>
                <w:sz w:val="22"/>
                <w:szCs w:val="22"/>
              </w:rPr>
            </w:pPr>
            <w:r w:rsidRPr="00B35FD7">
              <w:rPr>
                <w:rFonts w:eastAsia="Verdana"/>
                <w:sz w:val="22"/>
                <w:szCs w:val="22"/>
              </w:rPr>
              <w:lastRenderedPageBreak/>
              <w:t>24/03</w:t>
            </w:r>
          </w:p>
        </w:tc>
        <w:tc>
          <w:tcPr>
            <w:tcW w:w="3828" w:type="dxa"/>
            <w:tcBorders>
              <w:top w:val="single" w:sz="4" w:space="0" w:color="auto"/>
              <w:left w:val="nil"/>
              <w:bottom w:val="single" w:sz="6" w:space="0" w:color="000000"/>
              <w:right w:val="single" w:sz="6" w:space="0" w:color="000000"/>
            </w:tcBorders>
            <w:shd w:val="clear" w:color="auto" w:fill="FFFFFF"/>
            <w:tcMar>
              <w:top w:w="0" w:type="dxa"/>
              <w:left w:w="100" w:type="dxa"/>
              <w:bottom w:w="0" w:type="dxa"/>
              <w:right w:w="100" w:type="dxa"/>
            </w:tcMar>
          </w:tcPr>
          <w:p w14:paraId="01A540A5" w14:textId="14B1D0D5" w:rsidR="00021772" w:rsidRPr="00B35FD7" w:rsidRDefault="000029B8" w:rsidP="005066C2">
            <w:pPr>
              <w:spacing w:line="276" w:lineRule="auto"/>
              <w:ind w:left="0" w:right="100" w:hanging="2"/>
              <w:jc w:val="both"/>
              <w:rPr>
                <w:rFonts w:eastAsia="Verdana"/>
                <w:sz w:val="22"/>
                <w:szCs w:val="22"/>
              </w:rPr>
            </w:pPr>
            <w:r w:rsidRPr="00B35FD7">
              <w:rPr>
                <w:rFonts w:eastAsia="Verdana"/>
                <w:sz w:val="22"/>
                <w:szCs w:val="22"/>
              </w:rPr>
              <w:t>Glosario de Términos Relativos a Evaluación de la Conformidad</w:t>
            </w:r>
            <w:r w:rsidR="00B35FD7">
              <w:rPr>
                <w:rFonts w:eastAsia="Verdana"/>
                <w:sz w:val="22"/>
                <w:szCs w:val="22"/>
              </w:rPr>
              <w:t>.</w:t>
            </w:r>
          </w:p>
        </w:tc>
        <w:tc>
          <w:tcPr>
            <w:tcW w:w="3686" w:type="dxa"/>
            <w:tcBorders>
              <w:top w:val="single" w:sz="4" w:space="0" w:color="auto"/>
              <w:left w:val="nil"/>
              <w:bottom w:val="single" w:sz="6" w:space="0" w:color="000000"/>
              <w:right w:val="single" w:sz="6" w:space="0" w:color="000000"/>
            </w:tcBorders>
            <w:shd w:val="clear" w:color="auto" w:fill="FFFFFF"/>
            <w:tcMar>
              <w:top w:w="0" w:type="dxa"/>
              <w:left w:w="100" w:type="dxa"/>
              <w:bottom w:w="0" w:type="dxa"/>
              <w:right w:w="100" w:type="dxa"/>
            </w:tcMar>
          </w:tcPr>
          <w:p w14:paraId="3BAD9E82" w14:textId="77777777" w:rsidR="00310CFF" w:rsidRPr="00B35FD7" w:rsidRDefault="000029B8" w:rsidP="005066C2">
            <w:pPr>
              <w:spacing w:line="276" w:lineRule="auto"/>
              <w:ind w:left="0" w:right="100" w:hanging="2"/>
              <w:jc w:val="both"/>
              <w:rPr>
                <w:rFonts w:eastAsia="Verdana"/>
                <w:sz w:val="22"/>
                <w:szCs w:val="22"/>
              </w:rPr>
            </w:pPr>
            <w:r w:rsidRPr="00B35FD7">
              <w:rPr>
                <w:rFonts w:eastAsia="Verdana"/>
                <w:sz w:val="22"/>
                <w:szCs w:val="22"/>
              </w:rPr>
              <w:t xml:space="preserve">Derogada por la Res. GMC </w:t>
            </w:r>
            <w:proofErr w:type="spellStart"/>
            <w:r w:rsidRPr="00B35FD7">
              <w:rPr>
                <w:rFonts w:eastAsia="Verdana"/>
                <w:sz w:val="22"/>
                <w:szCs w:val="22"/>
              </w:rPr>
              <w:t>N°</w:t>
            </w:r>
            <w:proofErr w:type="spellEnd"/>
            <w:r w:rsidRPr="00B35FD7">
              <w:rPr>
                <w:rFonts w:eastAsia="Verdana"/>
                <w:sz w:val="22"/>
                <w:szCs w:val="22"/>
              </w:rPr>
              <w:t xml:space="preserve"> 57/18</w:t>
            </w:r>
          </w:p>
        </w:tc>
      </w:tr>
      <w:tr w:rsidR="00310CFF" w:rsidRPr="00480425" w14:paraId="635801B4" w14:textId="77777777" w:rsidTr="00021772">
        <w:trPr>
          <w:trHeight w:val="1545"/>
        </w:trPr>
        <w:tc>
          <w:tcPr>
            <w:tcW w:w="11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B52701C" w14:textId="77777777" w:rsidR="00310CFF" w:rsidRPr="00B35FD7" w:rsidRDefault="000029B8" w:rsidP="005066C2">
            <w:pPr>
              <w:spacing w:line="276" w:lineRule="auto"/>
              <w:ind w:left="0" w:right="100" w:hanging="2"/>
              <w:jc w:val="center"/>
              <w:rPr>
                <w:rFonts w:eastAsia="Verdana"/>
                <w:sz w:val="22"/>
                <w:szCs w:val="22"/>
              </w:rPr>
            </w:pPr>
            <w:r w:rsidRPr="00B35FD7">
              <w:rPr>
                <w:rFonts w:eastAsia="Verdana"/>
                <w:sz w:val="22"/>
                <w:szCs w:val="22"/>
              </w:rPr>
              <w:t>40/92</w:t>
            </w:r>
          </w:p>
        </w:tc>
        <w:tc>
          <w:tcPr>
            <w:tcW w:w="382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4A3AA8E" w14:textId="76256C1F" w:rsidR="00310CFF" w:rsidRPr="00B35FD7" w:rsidRDefault="000029B8" w:rsidP="005066C2">
            <w:pPr>
              <w:spacing w:line="276" w:lineRule="auto"/>
              <w:ind w:left="0" w:right="100" w:hanging="2"/>
              <w:jc w:val="both"/>
              <w:rPr>
                <w:rFonts w:eastAsia="Verdana"/>
                <w:sz w:val="22"/>
                <w:szCs w:val="22"/>
              </w:rPr>
            </w:pPr>
            <w:r w:rsidRPr="00B35FD7">
              <w:rPr>
                <w:rFonts w:eastAsia="Verdana"/>
                <w:sz w:val="22"/>
                <w:szCs w:val="22"/>
              </w:rPr>
              <w:t xml:space="preserve">Requisitos a cumplir para las estructuras de certificación de productos, procesos y servicios de evaluación de sistemas de calidad en los </w:t>
            </w:r>
            <w:proofErr w:type="gramStart"/>
            <w:r w:rsidRPr="00B35FD7">
              <w:rPr>
                <w:rFonts w:eastAsia="Verdana"/>
                <w:sz w:val="22"/>
                <w:szCs w:val="22"/>
              </w:rPr>
              <w:t>Estados Partes</w:t>
            </w:r>
            <w:proofErr w:type="gramEnd"/>
            <w:r w:rsidR="00B35FD7">
              <w:rPr>
                <w:rFonts w:eastAsia="Verdana"/>
                <w:sz w:val="22"/>
                <w:szCs w:val="22"/>
              </w:rPr>
              <w:t>.</w:t>
            </w:r>
          </w:p>
        </w:tc>
        <w:tc>
          <w:tcPr>
            <w:tcW w:w="36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5D2CEE5" w14:textId="77777777" w:rsidR="00310CFF" w:rsidRPr="004B3980" w:rsidRDefault="000029B8" w:rsidP="005066C2">
            <w:pPr>
              <w:spacing w:line="276" w:lineRule="auto"/>
              <w:ind w:left="0" w:right="100" w:hanging="2"/>
              <w:jc w:val="both"/>
              <w:rPr>
                <w:rFonts w:eastAsia="Verdana"/>
                <w:sz w:val="22"/>
                <w:szCs w:val="22"/>
                <w:lang w:val="pt-BR"/>
              </w:rPr>
            </w:pPr>
            <w:proofErr w:type="spellStart"/>
            <w:r w:rsidRPr="004B3980">
              <w:rPr>
                <w:rFonts w:eastAsia="Verdana"/>
                <w:sz w:val="22"/>
                <w:szCs w:val="22"/>
                <w:lang w:val="pt-BR"/>
              </w:rPr>
              <w:t>Derogada</w:t>
            </w:r>
            <w:proofErr w:type="spellEnd"/>
            <w:r w:rsidRPr="004B3980">
              <w:rPr>
                <w:rFonts w:eastAsia="Verdana"/>
                <w:sz w:val="22"/>
                <w:szCs w:val="22"/>
                <w:lang w:val="pt-BR"/>
              </w:rPr>
              <w:t xml:space="preserve"> por Res. GMC N° 31/21</w:t>
            </w:r>
          </w:p>
        </w:tc>
      </w:tr>
      <w:tr w:rsidR="00310CFF" w:rsidRPr="00B35FD7" w14:paraId="1D24636B" w14:textId="77777777" w:rsidTr="005066C2">
        <w:trPr>
          <w:trHeight w:val="541"/>
        </w:trPr>
        <w:tc>
          <w:tcPr>
            <w:tcW w:w="11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246406A" w14:textId="77777777" w:rsidR="00310CFF" w:rsidRPr="00B35FD7" w:rsidRDefault="000029B8" w:rsidP="005066C2">
            <w:pPr>
              <w:spacing w:line="276" w:lineRule="auto"/>
              <w:ind w:left="0" w:right="100" w:hanging="2"/>
              <w:jc w:val="center"/>
              <w:rPr>
                <w:rFonts w:eastAsia="Verdana"/>
                <w:sz w:val="22"/>
                <w:szCs w:val="22"/>
              </w:rPr>
            </w:pPr>
            <w:r w:rsidRPr="00B35FD7">
              <w:rPr>
                <w:rFonts w:eastAsia="Verdana"/>
                <w:sz w:val="22"/>
                <w:szCs w:val="22"/>
              </w:rPr>
              <w:t>19/92</w:t>
            </w:r>
          </w:p>
          <w:p w14:paraId="5EFA5294" w14:textId="0BAC5221" w:rsidR="00310CFF" w:rsidRPr="00B35FD7" w:rsidRDefault="000029B8" w:rsidP="005066C2">
            <w:pPr>
              <w:spacing w:line="276" w:lineRule="auto"/>
              <w:ind w:left="0" w:right="100" w:hanging="2"/>
              <w:jc w:val="center"/>
              <w:rPr>
                <w:rFonts w:eastAsia="Verdana"/>
                <w:sz w:val="22"/>
                <w:szCs w:val="22"/>
              </w:rPr>
            </w:pPr>
            <w:r w:rsidRPr="00B35FD7">
              <w:rPr>
                <w:rFonts w:eastAsia="Verdana"/>
                <w:sz w:val="22"/>
                <w:szCs w:val="22"/>
              </w:rPr>
              <w:t xml:space="preserve"> </w:t>
            </w:r>
          </w:p>
        </w:tc>
        <w:tc>
          <w:tcPr>
            <w:tcW w:w="382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43EF08D" w14:textId="77777777" w:rsidR="00310CFF" w:rsidRPr="00B35FD7" w:rsidRDefault="000029B8" w:rsidP="005066C2">
            <w:pPr>
              <w:spacing w:line="276" w:lineRule="auto"/>
              <w:ind w:left="0" w:right="100" w:hanging="2"/>
              <w:jc w:val="both"/>
              <w:rPr>
                <w:rFonts w:eastAsia="Verdana"/>
                <w:sz w:val="22"/>
                <w:szCs w:val="22"/>
              </w:rPr>
            </w:pPr>
            <w:r w:rsidRPr="00B35FD7">
              <w:rPr>
                <w:rFonts w:eastAsia="Verdana"/>
                <w:sz w:val="22"/>
                <w:szCs w:val="22"/>
              </w:rPr>
              <w:t>Adopción de sistemas de Certificación de ISO.</w:t>
            </w:r>
          </w:p>
        </w:tc>
        <w:tc>
          <w:tcPr>
            <w:tcW w:w="36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D9F2392" w14:textId="77777777" w:rsidR="00310CFF" w:rsidRPr="00B35FD7" w:rsidRDefault="000029B8" w:rsidP="005066C2">
            <w:pPr>
              <w:spacing w:line="276" w:lineRule="auto"/>
              <w:ind w:left="0" w:right="100" w:hanging="2"/>
              <w:jc w:val="both"/>
              <w:rPr>
                <w:rFonts w:eastAsia="Verdana"/>
                <w:sz w:val="22"/>
                <w:szCs w:val="22"/>
              </w:rPr>
            </w:pPr>
            <w:r w:rsidRPr="00B35FD7">
              <w:rPr>
                <w:rFonts w:eastAsia="Verdana"/>
                <w:sz w:val="22"/>
                <w:szCs w:val="22"/>
              </w:rPr>
              <w:t xml:space="preserve"> Derogada por RES GMC 30/2021</w:t>
            </w:r>
          </w:p>
        </w:tc>
      </w:tr>
    </w:tbl>
    <w:p w14:paraId="4CC5C5DC" w14:textId="77777777" w:rsidR="00310CFF" w:rsidRPr="00B35FD7" w:rsidRDefault="000029B8">
      <w:pPr>
        <w:spacing w:before="240"/>
        <w:ind w:left="0" w:hanging="2"/>
        <w:jc w:val="both"/>
        <w:rPr>
          <w:b/>
        </w:rPr>
      </w:pPr>
      <w:r w:rsidRPr="00B35FD7">
        <w:t xml:space="preserve">El documento consta como </w:t>
      </w:r>
      <w:r w:rsidRPr="00B35FD7">
        <w:rPr>
          <w:b/>
        </w:rPr>
        <w:t>Agregado VI.</w:t>
      </w:r>
    </w:p>
    <w:p w14:paraId="5A44702C" w14:textId="77777777" w:rsidR="00310CFF" w:rsidRPr="00B35FD7" w:rsidRDefault="00310CFF">
      <w:pPr>
        <w:pBdr>
          <w:top w:val="nil"/>
          <w:left w:val="nil"/>
          <w:bottom w:val="nil"/>
          <w:right w:val="nil"/>
          <w:between w:val="nil"/>
        </w:pBdr>
        <w:ind w:left="0" w:hanging="2"/>
        <w:jc w:val="both"/>
      </w:pPr>
    </w:p>
    <w:p w14:paraId="0E902D5E" w14:textId="77777777" w:rsidR="00310CFF" w:rsidRPr="00B35FD7" w:rsidRDefault="00310CFF">
      <w:pPr>
        <w:pBdr>
          <w:top w:val="nil"/>
          <w:left w:val="nil"/>
          <w:bottom w:val="nil"/>
          <w:right w:val="nil"/>
          <w:between w:val="nil"/>
        </w:pBdr>
        <w:ind w:left="0" w:hanging="2"/>
        <w:jc w:val="both"/>
      </w:pPr>
    </w:p>
    <w:p w14:paraId="4C291968" w14:textId="77777777" w:rsidR="00310CFF" w:rsidRPr="00B35FD7" w:rsidRDefault="000029B8">
      <w:pPr>
        <w:numPr>
          <w:ilvl w:val="0"/>
          <w:numId w:val="1"/>
        </w:numPr>
        <w:pBdr>
          <w:top w:val="nil"/>
          <w:left w:val="nil"/>
          <w:bottom w:val="nil"/>
          <w:right w:val="nil"/>
          <w:between w:val="nil"/>
        </w:pBdr>
        <w:tabs>
          <w:tab w:val="left" w:pos="426"/>
        </w:tabs>
        <w:ind w:left="0" w:hanging="2"/>
        <w:jc w:val="both"/>
        <w:rPr>
          <w:b/>
        </w:rPr>
      </w:pPr>
      <w:r w:rsidRPr="00B35FD7">
        <w:rPr>
          <w:b/>
        </w:rPr>
        <w:t xml:space="preserve">COMENTARIOS AL P. RES. </w:t>
      </w:r>
      <w:proofErr w:type="spellStart"/>
      <w:r w:rsidRPr="00B35FD7">
        <w:rPr>
          <w:b/>
        </w:rPr>
        <w:t>Nº</w:t>
      </w:r>
      <w:proofErr w:type="spellEnd"/>
      <w:r w:rsidRPr="00B35FD7">
        <w:rPr>
          <w:b/>
        </w:rPr>
        <w:t xml:space="preserve"> 15/23 REFERENCIA A NORMAS EN </w:t>
      </w:r>
      <w:proofErr w:type="spellStart"/>
      <w:r w:rsidRPr="00B35FD7">
        <w:rPr>
          <w:b/>
        </w:rPr>
        <w:t>RTMs</w:t>
      </w:r>
      <w:proofErr w:type="spellEnd"/>
    </w:p>
    <w:p w14:paraId="5FC095B4" w14:textId="77777777" w:rsidR="00310CFF" w:rsidRPr="00B35FD7" w:rsidRDefault="00310CFF">
      <w:pPr>
        <w:keepNext/>
        <w:pBdr>
          <w:top w:val="nil"/>
          <w:left w:val="nil"/>
          <w:bottom w:val="nil"/>
          <w:right w:val="nil"/>
          <w:between w:val="nil"/>
        </w:pBdr>
        <w:ind w:left="0" w:hanging="2"/>
        <w:jc w:val="both"/>
        <w:rPr>
          <w:b/>
        </w:rPr>
      </w:pPr>
    </w:p>
    <w:p w14:paraId="7A3BFBF2" w14:textId="77777777" w:rsidR="00310CFF" w:rsidRPr="00B35FD7" w:rsidRDefault="000029B8">
      <w:pPr>
        <w:ind w:left="0" w:hanging="2"/>
        <w:jc w:val="both"/>
        <w:rPr>
          <w:highlight w:val="white"/>
        </w:rPr>
      </w:pPr>
      <w:r w:rsidRPr="00B35FD7">
        <w:rPr>
          <w:highlight w:val="white"/>
        </w:rPr>
        <w:t xml:space="preserve">El proyecto no ha sufrido modificaciones en esta reunión. La Comisión queda a la espera de comentarios de las comisiones del SGT </w:t>
      </w:r>
      <w:proofErr w:type="spellStart"/>
      <w:r w:rsidRPr="00B35FD7">
        <w:rPr>
          <w:highlight w:val="white"/>
        </w:rPr>
        <w:t>Nº</w:t>
      </w:r>
      <w:proofErr w:type="spellEnd"/>
      <w:r w:rsidRPr="00B35FD7">
        <w:rPr>
          <w:highlight w:val="white"/>
        </w:rPr>
        <w:t xml:space="preserve"> 3 (Alimentos, Bicicletas para uso Infantil, Juguetes, Seguridad en Productos Eléctricos) que aún no se han expedido al respecto. </w:t>
      </w:r>
    </w:p>
    <w:p w14:paraId="6A3D5FC8" w14:textId="77777777" w:rsidR="00310CFF" w:rsidRPr="00B35FD7" w:rsidRDefault="00310CFF">
      <w:pPr>
        <w:ind w:left="0" w:hanging="2"/>
        <w:jc w:val="both"/>
        <w:rPr>
          <w:highlight w:val="white"/>
        </w:rPr>
      </w:pPr>
    </w:p>
    <w:p w14:paraId="4F907903" w14:textId="77777777" w:rsidR="00310CFF" w:rsidRPr="00B35FD7" w:rsidRDefault="000029B8">
      <w:pPr>
        <w:ind w:left="0" w:hanging="2"/>
        <w:jc w:val="both"/>
      </w:pPr>
      <w:r w:rsidRPr="00B35FD7">
        <w:t xml:space="preserve">El documento consta en el </w:t>
      </w:r>
      <w:r w:rsidRPr="00B35FD7">
        <w:rPr>
          <w:b/>
        </w:rPr>
        <w:t>Agregado VII.</w:t>
      </w:r>
    </w:p>
    <w:p w14:paraId="747F3D81" w14:textId="77777777" w:rsidR="00310CFF" w:rsidRPr="00B35FD7" w:rsidRDefault="00310CFF">
      <w:pPr>
        <w:keepNext/>
        <w:pBdr>
          <w:top w:val="nil"/>
          <w:left w:val="nil"/>
          <w:bottom w:val="nil"/>
          <w:right w:val="nil"/>
          <w:between w:val="nil"/>
        </w:pBdr>
        <w:ind w:left="0" w:hanging="2"/>
        <w:jc w:val="both"/>
        <w:rPr>
          <w:b/>
        </w:rPr>
      </w:pPr>
    </w:p>
    <w:p w14:paraId="2DC39F45" w14:textId="77777777" w:rsidR="00310CFF" w:rsidRPr="00B35FD7" w:rsidRDefault="00310CFF" w:rsidP="00480425">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b/>
          <w:color w:val="000000"/>
        </w:rPr>
      </w:pPr>
      <w:bookmarkStart w:id="0" w:name="_heading=h.j7d7jduxr8ap" w:colFirst="0" w:colLast="0"/>
      <w:bookmarkEnd w:id="0"/>
    </w:p>
    <w:p w14:paraId="44C1D928" w14:textId="77777777" w:rsidR="00310CFF" w:rsidRPr="00B35FD7" w:rsidRDefault="000029B8" w:rsidP="00021772">
      <w:pPr>
        <w:numPr>
          <w:ilvl w:val="0"/>
          <w:numId w:val="1"/>
        </w:numPr>
        <w:pBdr>
          <w:top w:val="nil"/>
          <w:left w:val="nil"/>
          <w:bottom w:val="nil"/>
          <w:right w:val="nil"/>
          <w:between w:val="nil"/>
        </w:pBdr>
        <w:tabs>
          <w:tab w:val="left" w:pos="426"/>
        </w:tabs>
        <w:ind w:left="424" w:hangingChars="177" w:hanging="426"/>
        <w:jc w:val="both"/>
        <w:rPr>
          <w:b/>
        </w:rPr>
      </w:pPr>
      <w:r w:rsidRPr="00B35FD7">
        <w:rPr>
          <w:b/>
        </w:rPr>
        <w:t>PRÓXIMA REUNIÓN DE LA COMISIÓN DE EVALUACIÓN DE LA CONFORMIDAD</w:t>
      </w:r>
    </w:p>
    <w:p w14:paraId="5BB4AB1F" w14:textId="77777777" w:rsidR="00310CFF" w:rsidRPr="00B35FD7" w:rsidRDefault="00310CFF">
      <w:pPr>
        <w:pBdr>
          <w:top w:val="nil"/>
          <w:left w:val="nil"/>
          <w:bottom w:val="nil"/>
          <w:right w:val="nil"/>
          <w:between w:val="nil"/>
        </w:pBdr>
        <w:ind w:left="0" w:hanging="2"/>
        <w:jc w:val="both"/>
        <w:rPr>
          <w:b/>
          <w:color w:val="000000"/>
        </w:rPr>
      </w:pPr>
    </w:p>
    <w:p w14:paraId="3D15AB10" w14:textId="77777777" w:rsidR="00310CFF" w:rsidRPr="00B35FD7" w:rsidRDefault="000029B8">
      <w:pPr>
        <w:pBdr>
          <w:top w:val="nil"/>
          <w:left w:val="nil"/>
          <w:bottom w:val="nil"/>
          <w:right w:val="nil"/>
          <w:between w:val="nil"/>
        </w:pBdr>
        <w:ind w:left="0" w:hanging="2"/>
        <w:jc w:val="both"/>
        <w:rPr>
          <w:color w:val="000000"/>
        </w:rPr>
      </w:pPr>
      <w:r w:rsidRPr="00B35FD7">
        <w:rPr>
          <w:color w:val="000000"/>
        </w:rPr>
        <w:t xml:space="preserve">Las delegaciones manifestaron la importancia y conveniencia de que la próxima reunión se realice en </w:t>
      </w:r>
      <w:r w:rsidRPr="00B35FD7">
        <w:rPr>
          <w:b/>
          <w:color w:val="000000"/>
        </w:rPr>
        <w:t>formato presencial</w:t>
      </w:r>
      <w:r w:rsidRPr="00B35FD7">
        <w:rPr>
          <w:color w:val="000000"/>
        </w:rPr>
        <w:t xml:space="preserve">. </w:t>
      </w:r>
    </w:p>
    <w:p w14:paraId="035066BF" w14:textId="77777777" w:rsidR="00310CFF" w:rsidRPr="00B35FD7" w:rsidRDefault="00310CFF">
      <w:pPr>
        <w:pBdr>
          <w:top w:val="nil"/>
          <w:left w:val="nil"/>
          <w:bottom w:val="nil"/>
          <w:right w:val="nil"/>
          <w:between w:val="nil"/>
        </w:pBdr>
        <w:tabs>
          <w:tab w:val="left" w:pos="1134"/>
        </w:tabs>
        <w:spacing w:line="240" w:lineRule="auto"/>
        <w:ind w:left="0" w:hanging="2"/>
        <w:jc w:val="both"/>
        <w:rPr>
          <w:b/>
        </w:rPr>
      </w:pPr>
    </w:p>
    <w:p w14:paraId="3E82705F" w14:textId="77777777" w:rsidR="00310CFF" w:rsidRPr="00B35FD7" w:rsidRDefault="00310CFF">
      <w:pPr>
        <w:pBdr>
          <w:top w:val="nil"/>
          <w:left w:val="nil"/>
          <w:bottom w:val="nil"/>
          <w:right w:val="nil"/>
          <w:between w:val="nil"/>
        </w:pBdr>
        <w:tabs>
          <w:tab w:val="left" w:pos="1134"/>
        </w:tabs>
        <w:spacing w:line="240" w:lineRule="auto"/>
        <w:ind w:left="0" w:hanging="2"/>
        <w:jc w:val="both"/>
        <w:rPr>
          <w:b/>
        </w:rPr>
      </w:pPr>
    </w:p>
    <w:p w14:paraId="2D1DD531" w14:textId="77777777" w:rsidR="00310CFF" w:rsidRPr="00B35FD7" w:rsidRDefault="000029B8">
      <w:pPr>
        <w:numPr>
          <w:ilvl w:val="0"/>
          <w:numId w:val="1"/>
        </w:numPr>
        <w:pBdr>
          <w:top w:val="nil"/>
          <w:left w:val="nil"/>
          <w:bottom w:val="nil"/>
          <w:right w:val="nil"/>
          <w:between w:val="nil"/>
        </w:pBdr>
        <w:tabs>
          <w:tab w:val="left" w:pos="426"/>
        </w:tabs>
        <w:ind w:left="0" w:hanging="2"/>
        <w:jc w:val="both"/>
        <w:rPr>
          <w:b/>
          <w:color w:val="000000"/>
        </w:rPr>
      </w:pPr>
      <w:r w:rsidRPr="00B35FD7">
        <w:rPr>
          <w:b/>
          <w:color w:val="000000"/>
        </w:rPr>
        <w:t>AGENDA PARA LA PRÓXIMA REUNIÓN</w:t>
      </w:r>
    </w:p>
    <w:p w14:paraId="6C8879C3" w14:textId="77777777" w:rsidR="00310CFF" w:rsidRPr="00B35FD7" w:rsidRDefault="00310CFF">
      <w:pPr>
        <w:pBdr>
          <w:top w:val="nil"/>
          <w:left w:val="nil"/>
          <w:bottom w:val="nil"/>
          <w:right w:val="nil"/>
          <w:between w:val="nil"/>
        </w:pBdr>
        <w:ind w:left="0" w:hanging="2"/>
        <w:jc w:val="both"/>
      </w:pPr>
    </w:p>
    <w:p w14:paraId="4AB41A30" w14:textId="77777777" w:rsidR="00310CFF" w:rsidRPr="00B35FD7" w:rsidRDefault="000029B8">
      <w:pPr>
        <w:pBdr>
          <w:top w:val="nil"/>
          <w:left w:val="nil"/>
          <w:bottom w:val="nil"/>
          <w:right w:val="nil"/>
          <w:between w:val="nil"/>
        </w:pBdr>
        <w:ind w:left="0" w:hanging="2"/>
        <w:jc w:val="both"/>
        <w:rPr>
          <w:b/>
          <w:color w:val="000000"/>
        </w:rPr>
      </w:pPr>
      <w:r w:rsidRPr="00B35FD7">
        <w:rPr>
          <w:color w:val="000000"/>
        </w:rPr>
        <w:t xml:space="preserve">La Agenda de la próxima reunión consta en el </w:t>
      </w:r>
      <w:r w:rsidRPr="00B35FD7">
        <w:rPr>
          <w:b/>
          <w:color w:val="000000"/>
        </w:rPr>
        <w:t xml:space="preserve">Agregado VIII. </w:t>
      </w:r>
    </w:p>
    <w:p w14:paraId="7A5D7016" w14:textId="77777777" w:rsidR="00310CFF" w:rsidRPr="00B35FD7" w:rsidRDefault="00310CFF">
      <w:pPr>
        <w:pBdr>
          <w:top w:val="nil"/>
          <w:left w:val="nil"/>
          <w:bottom w:val="nil"/>
          <w:right w:val="nil"/>
          <w:between w:val="nil"/>
        </w:pBdr>
        <w:ind w:left="0" w:hanging="2"/>
        <w:jc w:val="both"/>
        <w:rPr>
          <w:color w:val="000000"/>
        </w:rPr>
      </w:pPr>
    </w:p>
    <w:p w14:paraId="6DA1F539" w14:textId="77777777" w:rsidR="00310CFF" w:rsidRPr="00B35FD7" w:rsidRDefault="00310CFF">
      <w:pPr>
        <w:pBdr>
          <w:top w:val="nil"/>
          <w:left w:val="nil"/>
          <w:bottom w:val="nil"/>
          <w:right w:val="nil"/>
          <w:between w:val="nil"/>
        </w:pBdr>
        <w:ind w:left="0" w:hanging="2"/>
        <w:jc w:val="both"/>
        <w:rPr>
          <w:color w:val="000000"/>
        </w:rPr>
      </w:pPr>
    </w:p>
    <w:p w14:paraId="79498803" w14:textId="77777777" w:rsidR="00310CFF" w:rsidRPr="00B35FD7" w:rsidRDefault="000029B8">
      <w:pPr>
        <w:keepNext/>
        <w:pBdr>
          <w:top w:val="nil"/>
          <w:left w:val="nil"/>
          <w:bottom w:val="nil"/>
          <w:right w:val="nil"/>
          <w:between w:val="nil"/>
        </w:pBdr>
        <w:ind w:left="0" w:hanging="2"/>
        <w:jc w:val="both"/>
        <w:rPr>
          <w:color w:val="000000"/>
        </w:rPr>
      </w:pPr>
      <w:r w:rsidRPr="00B35FD7">
        <w:rPr>
          <w:b/>
          <w:color w:val="000000"/>
        </w:rPr>
        <w:t>LISTA DE AGREGADOS</w:t>
      </w:r>
    </w:p>
    <w:p w14:paraId="14F3C21F" w14:textId="77777777" w:rsidR="00310CFF" w:rsidRPr="00B35FD7" w:rsidRDefault="00310CFF">
      <w:pPr>
        <w:ind w:left="0" w:hanging="2"/>
        <w:jc w:val="both"/>
      </w:pPr>
    </w:p>
    <w:p w14:paraId="666AC972" w14:textId="77777777" w:rsidR="00310CFF" w:rsidRPr="00B35FD7" w:rsidRDefault="000029B8">
      <w:pPr>
        <w:pBdr>
          <w:top w:val="nil"/>
          <w:left w:val="nil"/>
          <w:bottom w:val="nil"/>
          <w:right w:val="nil"/>
          <w:between w:val="nil"/>
        </w:pBdr>
        <w:ind w:left="0" w:hanging="2"/>
        <w:jc w:val="both"/>
      </w:pPr>
      <w:r w:rsidRPr="00B35FD7">
        <w:rPr>
          <w:color w:val="000000"/>
        </w:rPr>
        <w:t>Los Agregados que forman parte del presente Acta son los siguientes:</w:t>
      </w:r>
    </w:p>
    <w:p w14:paraId="29BEFE5F" w14:textId="77777777" w:rsidR="00310CFF" w:rsidRPr="00B35FD7" w:rsidRDefault="00310CFF">
      <w:pPr>
        <w:ind w:left="0" w:hanging="2"/>
        <w:jc w:val="both"/>
        <w:rPr>
          <w:color w:val="000000"/>
        </w:rPr>
      </w:pPr>
    </w:p>
    <w:tbl>
      <w:tblPr>
        <w:tblStyle w:val="ae"/>
        <w:tblW w:w="86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6838"/>
      </w:tblGrid>
      <w:tr w:rsidR="00310CFF" w:rsidRPr="00B35FD7" w14:paraId="708C143E" w14:textId="77777777">
        <w:trPr>
          <w:trHeight w:val="299"/>
        </w:trPr>
        <w:tc>
          <w:tcPr>
            <w:tcW w:w="1809" w:type="dxa"/>
          </w:tcPr>
          <w:p w14:paraId="1F3141D4" w14:textId="77777777" w:rsidR="00310CFF" w:rsidRPr="00B35FD7" w:rsidRDefault="000029B8">
            <w:pPr>
              <w:pBdr>
                <w:top w:val="nil"/>
                <w:left w:val="nil"/>
                <w:bottom w:val="nil"/>
                <w:right w:val="nil"/>
                <w:between w:val="nil"/>
              </w:pBdr>
              <w:spacing w:line="240" w:lineRule="auto"/>
              <w:ind w:left="0" w:hanging="2"/>
              <w:rPr>
                <w:color w:val="000000"/>
              </w:rPr>
            </w:pPr>
            <w:r w:rsidRPr="00B35FD7">
              <w:rPr>
                <w:b/>
                <w:color w:val="000000"/>
              </w:rPr>
              <w:t>Agregado I</w:t>
            </w:r>
          </w:p>
        </w:tc>
        <w:tc>
          <w:tcPr>
            <w:tcW w:w="6838" w:type="dxa"/>
          </w:tcPr>
          <w:p w14:paraId="3FB72826" w14:textId="77777777" w:rsidR="00310CFF" w:rsidRPr="00B35FD7" w:rsidRDefault="000029B8">
            <w:pPr>
              <w:pBdr>
                <w:top w:val="nil"/>
                <w:left w:val="nil"/>
                <w:bottom w:val="nil"/>
                <w:right w:val="nil"/>
                <w:between w:val="nil"/>
              </w:pBdr>
              <w:spacing w:line="240" w:lineRule="auto"/>
              <w:ind w:left="0" w:hanging="2"/>
              <w:jc w:val="both"/>
              <w:rPr>
                <w:color w:val="000000"/>
              </w:rPr>
            </w:pPr>
            <w:r w:rsidRPr="00B35FD7">
              <w:rPr>
                <w:color w:val="000000"/>
              </w:rPr>
              <w:t>Lista de Participantes</w:t>
            </w:r>
          </w:p>
        </w:tc>
      </w:tr>
      <w:tr w:rsidR="00310CFF" w:rsidRPr="00B35FD7" w14:paraId="7FA9C72F" w14:textId="77777777">
        <w:trPr>
          <w:trHeight w:val="275"/>
        </w:trPr>
        <w:tc>
          <w:tcPr>
            <w:tcW w:w="1809" w:type="dxa"/>
          </w:tcPr>
          <w:p w14:paraId="48F17194" w14:textId="77777777" w:rsidR="00310CFF" w:rsidRPr="00B35FD7" w:rsidRDefault="000029B8">
            <w:pPr>
              <w:pBdr>
                <w:top w:val="nil"/>
                <w:left w:val="nil"/>
                <w:bottom w:val="nil"/>
                <w:right w:val="nil"/>
                <w:between w:val="nil"/>
              </w:pBdr>
              <w:spacing w:line="240" w:lineRule="auto"/>
              <w:ind w:left="0" w:hanging="2"/>
              <w:rPr>
                <w:color w:val="000000"/>
              </w:rPr>
            </w:pPr>
            <w:r w:rsidRPr="00B35FD7">
              <w:rPr>
                <w:b/>
                <w:color w:val="000000"/>
              </w:rPr>
              <w:t>Agregado II</w:t>
            </w:r>
          </w:p>
        </w:tc>
        <w:tc>
          <w:tcPr>
            <w:tcW w:w="6838" w:type="dxa"/>
          </w:tcPr>
          <w:p w14:paraId="719F19B2" w14:textId="77777777" w:rsidR="00310CFF" w:rsidRPr="00B35FD7" w:rsidRDefault="000029B8">
            <w:pPr>
              <w:pBdr>
                <w:top w:val="nil"/>
                <w:left w:val="nil"/>
                <w:bottom w:val="nil"/>
                <w:right w:val="nil"/>
                <w:between w:val="nil"/>
              </w:pBdr>
              <w:spacing w:line="240" w:lineRule="auto"/>
              <w:ind w:left="0" w:hanging="2"/>
              <w:jc w:val="both"/>
              <w:rPr>
                <w:color w:val="000000"/>
              </w:rPr>
            </w:pPr>
            <w:r w:rsidRPr="00B35FD7">
              <w:rPr>
                <w:color w:val="000000"/>
              </w:rPr>
              <w:t>Agenda de la reunión</w:t>
            </w:r>
          </w:p>
        </w:tc>
      </w:tr>
      <w:tr w:rsidR="00310CFF" w:rsidRPr="00B35FD7" w14:paraId="6CA766FB" w14:textId="77777777">
        <w:trPr>
          <w:trHeight w:val="550"/>
        </w:trPr>
        <w:tc>
          <w:tcPr>
            <w:tcW w:w="1809" w:type="dxa"/>
          </w:tcPr>
          <w:p w14:paraId="2F4B4A4A" w14:textId="77777777" w:rsidR="00310CFF" w:rsidRPr="00B35FD7" w:rsidRDefault="000029B8">
            <w:pPr>
              <w:spacing w:line="240" w:lineRule="auto"/>
              <w:ind w:left="0" w:hanging="2"/>
              <w:rPr>
                <w:b/>
              </w:rPr>
            </w:pPr>
            <w:r w:rsidRPr="00B35FD7">
              <w:rPr>
                <w:b/>
              </w:rPr>
              <w:lastRenderedPageBreak/>
              <w:t>Agregado III</w:t>
            </w:r>
          </w:p>
        </w:tc>
        <w:tc>
          <w:tcPr>
            <w:tcW w:w="6838" w:type="dxa"/>
          </w:tcPr>
          <w:p w14:paraId="766DC83B" w14:textId="77777777" w:rsidR="00310CFF" w:rsidRPr="00B35FD7" w:rsidRDefault="000029B8">
            <w:pPr>
              <w:spacing w:line="240" w:lineRule="auto"/>
              <w:ind w:left="0" w:hanging="2"/>
              <w:jc w:val="both"/>
              <w:rPr>
                <w:highlight w:val="yellow"/>
              </w:rPr>
            </w:pPr>
            <w:r w:rsidRPr="00B35FD7">
              <w:t>Presentación de la delegación de Bolivia sobre su estructura institucional, infraestructura de la calidad y el componente de la evaluación de la conformidad</w:t>
            </w:r>
          </w:p>
        </w:tc>
      </w:tr>
      <w:tr w:rsidR="00310CFF" w:rsidRPr="00B35FD7" w14:paraId="47FFB2CD" w14:textId="77777777">
        <w:trPr>
          <w:trHeight w:val="584"/>
        </w:trPr>
        <w:tc>
          <w:tcPr>
            <w:tcW w:w="1809" w:type="dxa"/>
          </w:tcPr>
          <w:p w14:paraId="6D26AC95" w14:textId="77777777" w:rsidR="00310CFF" w:rsidRPr="00B35FD7" w:rsidRDefault="000029B8">
            <w:pPr>
              <w:spacing w:line="240" w:lineRule="auto"/>
              <w:ind w:left="0" w:hanging="2"/>
              <w:rPr>
                <w:b/>
              </w:rPr>
            </w:pPr>
            <w:r w:rsidRPr="00B35FD7">
              <w:rPr>
                <w:b/>
              </w:rPr>
              <w:t>Agregado IV</w:t>
            </w:r>
          </w:p>
        </w:tc>
        <w:tc>
          <w:tcPr>
            <w:tcW w:w="6838" w:type="dxa"/>
          </w:tcPr>
          <w:p w14:paraId="7FB7C4A4" w14:textId="77777777" w:rsidR="00310CFF" w:rsidRPr="00B35FD7" w:rsidRDefault="000029B8">
            <w:pPr>
              <w:spacing w:line="240" w:lineRule="auto"/>
              <w:ind w:left="0" w:hanging="2"/>
              <w:jc w:val="both"/>
              <w:rPr>
                <w:highlight w:val="yellow"/>
              </w:rPr>
            </w:pPr>
            <w:r w:rsidRPr="00B35FD7">
              <w:rPr>
                <w:sz w:val="22"/>
                <w:szCs w:val="22"/>
              </w:rPr>
              <w:t>Elaboración de una tabla informativa sobre la estructura institucional de la infraestructura de la calidad y evaluación de la conformidad de cada estado parte</w:t>
            </w:r>
          </w:p>
        </w:tc>
      </w:tr>
      <w:tr w:rsidR="00310CFF" w:rsidRPr="00B35FD7" w14:paraId="6EE7139F" w14:textId="77777777" w:rsidTr="004B3980">
        <w:trPr>
          <w:trHeight w:val="311"/>
        </w:trPr>
        <w:tc>
          <w:tcPr>
            <w:tcW w:w="1809" w:type="dxa"/>
            <w:tcBorders>
              <w:bottom w:val="single" w:sz="4" w:space="0" w:color="000000"/>
            </w:tcBorders>
          </w:tcPr>
          <w:p w14:paraId="377B399D" w14:textId="77777777" w:rsidR="00310CFF" w:rsidRPr="00B35FD7" w:rsidRDefault="000029B8">
            <w:pPr>
              <w:spacing w:line="240" w:lineRule="auto"/>
              <w:ind w:left="0" w:hanging="2"/>
              <w:rPr>
                <w:b/>
              </w:rPr>
            </w:pPr>
            <w:r w:rsidRPr="00B35FD7">
              <w:rPr>
                <w:b/>
              </w:rPr>
              <w:t>Agregado V</w:t>
            </w:r>
          </w:p>
        </w:tc>
        <w:tc>
          <w:tcPr>
            <w:tcW w:w="6838" w:type="dxa"/>
            <w:tcBorders>
              <w:bottom w:val="single" w:sz="4" w:space="0" w:color="000000"/>
            </w:tcBorders>
          </w:tcPr>
          <w:p w14:paraId="0D5E1F65" w14:textId="77777777" w:rsidR="00310CFF" w:rsidRPr="00B35FD7" w:rsidRDefault="000029B8">
            <w:pPr>
              <w:ind w:left="0" w:hanging="2"/>
              <w:jc w:val="both"/>
            </w:pPr>
            <w:r w:rsidRPr="00B35FD7">
              <w:t xml:space="preserve">Listado de </w:t>
            </w:r>
            <w:proofErr w:type="spellStart"/>
            <w:r w:rsidRPr="00B35FD7">
              <w:t>RTMs</w:t>
            </w:r>
            <w:proofErr w:type="spellEnd"/>
            <w:r w:rsidRPr="00B35FD7">
              <w:t xml:space="preserve"> internalizados con sus respectivos OECS designados / habilitados para operarlos</w:t>
            </w:r>
          </w:p>
        </w:tc>
      </w:tr>
      <w:tr w:rsidR="00310CFF" w:rsidRPr="004B3980" w14:paraId="5ABC226F" w14:textId="77777777" w:rsidTr="004B3980">
        <w:trPr>
          <w:trHeight w:val="272"/>
        </w:trPr>
        <w:tc>
          <w:tcPr>
            <w:tcW w:w="1809" w:type="dxa"/>
            <w:tcBorders>
              <w:bottom w:val="single" w:sz="4" w:space="0" w:color="auto"/>
            </w:tcBorders>
          </w:tcPr>
          <w:p w14:paraId="31E8A1DD" w14:textId="77777777" w:rsidR="00310CFF" w:rsidRPr="004B3980" w:rsidRDefault="000029B8">
            <w:pPr>
              <w:spacing w:line="240" w:lineRule="auto"/>
              <w:ind w:left="0" w:hanging="2"/>
              <w:rPr>
                <w:b/>
                <w:highlight w:val="yellow"/>
              </w:rPr>
            </w:pPr>
            <w:r w:rsidRPr="004B3980">
              <w:rPr>
                <w:b/>
              </w:rPr>
              <w:t>Agregado VI</w:t>
            </w:r>
          </w:p>
        </w:tc>
        <w:tc>
          <w:tcPr>
            <w:tcW w:w="6838" w:type="dxa"/>
            <w:tcBorders>
              <w:bottom w:val="single" w:sz="4" w:space="0" w:color="auto"/>
            </w:tcBorders>
          </w:tcPr>
          <w:p w14:paraId="449672BA" w14:textId="77777777" w:rsidR="00310CFF" w:rsidRPr="004B3980" w:rsidRDefault="000029B8">
            <w:pPr>
              <w:ind w:left="0" w:hanging="2"/>
              <w:jc w:val="both"/>
              <w:rPr>
                <w:bCs/>
              </w:rPr>
            </w:pPr>
            <w:r w:rsidRPr="004B3980">
              <w:rPr>
                <w:bCs/>
              </w:rPr>
              <w:t>Actualización de las Resoluciones GMC relativas a Evaluación de la Conformidad</w:t>
            </w:r>
          </w:p>
        </w:tc>
      </w:tr>
      <w:tr w:rsidR="004B3980" w:rsidRPr="004B3980" w14:paraId="4530A246" w14:textId="77777777" w:rsidTr="004B3980">
        <w:trPr>
          <w:trHeight w:val="272"/>
        </w:trPr>
        <w:tc>
          <w:tcPr>
            <w:tcW w:w="1809" w:type="dxa"/>
            <w:tcBorders>
              <w:bottom w:val="single" w:sz="4" w:space="0" w:color="auto"/>
            </w:tcBorders>
          </w:tcPr>
          <w:p w14:paraId="4CD4AA7B" w14:textId="29A675C5" w:rsidR="004B3980" w:rsidRPr="004B3980" w:rsidRDefault="004B3980">
            <w:pPr>
              <w:spacing w:line="240" w:lineRule="auto"/>
              <w:ind w:left="0" w:hanging="2"/>
              <w:rPr>
                <w:b/>
              </w:rPr>
            </w:pPr>
            <w:r w:rsidRPr="00B35FD7">
              <w:rPr>
                <w:b/>
              </w:rPr>
              <w:t>Agregado VII</w:t>
            </w:r>
          </w:p>
        </w:tc>
        <w:tc>
          <w:tcPr>
            <w:tcW w:w="6838" w:type="dxa"/>
            <w:tcBorders>
              <w:bottom w:val="single" w:sz="4" w:space="0" w:color="auto"/>
            </w:tcBorders>
          </w:tcPr>
          <w:p w14:paraId="159D0E0C" w14:textId="74639228" w:rsidR="004B3980" w:rsidRPr="004B3980" w:rsidRDefault="004B3980">
            <w:pPr>
              <w:ind w:left="0" w:hanging="2"/>
              <w:jc w:val="both"/>
              <w:rPr>
                <w:bCs/>
              </w:rPr>
            </w:pPr>
            <w:r w:rsidRPr="00B35FD7">
              <w:t xml:space="preserve">Comentarios al P. Res. </w:t>
            </w:r>
            <w:proofErr w:type="spellStart"/>
            <w:r w:rsidRPr="00B35FD7">
              <w:t>Nº</w:t>
            </w:r>
            <w:proofErr w:type="spellEnd"/>
            <w:r w:rsidRPr="00B35FD7">
              <w:t xml:space="preserve"> 15/23 Referencia a Normas en </w:t>
            </w:r>
            <w:proofErr w:type="spellStart"/>
            <w:r w:rsidRPr="00B35FD7">
              <w:t>RTMs</w:t>
            </w:r>
            <w:proofErr w:type="spellEnd"/>
          </w:p>
        </w:tc>
      </w:tr>
      <w:tr w:rsidR="004B3980" w:rsidRPr="004B3980" w14:paraId="2769B77D" w14:textId="77777777" w:rsidTr="004B3980">
        <w:trPr>
          <w:trHeight w:val="272"/>
        </w:trPr>
        <w:tc>
          <w:tcPr>
            <w:tcW w:w="1809" w:type="dxa"/>
            <w:tcBorders>
              <w:bottom w:val="single" w:sz="4" w:space="0" w:color="auto"/>
            </w:tcBorders>
          </w:tcPr>
          <w:p w14:paraId="500D5A83" w14:textId="56E1604B" w:rsidR="004B3980" w:rsidRPr="004B3980" w:rsidRDefault="004B3980">
            <w:pPr>
              <w:spacing w:line="240" w:lineRule="auto"/>
              <w:ind w:left="0" w:hanging="2"/>
              <w:rPr>
                <w:b/>
              </w:rPr>
            </w:pPr>
            <w:r w:rsidRPr="00B35FD7">
              <w:rPr>
                <w:b/>
              </w:rPr>
              <w:t>Agregado VIII</w:t>
            </w:r>
          </w:p>
        </w:tc>
        <w:tc>
          <w:tcPr>
            <w:tcW w:w="6838" w:type="dxa"/>
            <w:tcBorders>
              <w:bottom w:val="single" w:sz="4" w:space="0" w:color="auto"/>
            </w:tcBorders>
          </w:tcPr>
          <w:p w14:paraId="2B564389" w14:textId="48C2F675" w:rsidR="004B3980" w:rsidRPr="004B3980" w:rsidRDefault="004B3980">
            <w:pPr>
              <w:ind w:left="0" w:hanging="2"/>
              <w:jc w:val="both"/>
              <w:rPr>
                <w:bCs/>
              </w:rPr>
            </w:pPr>
            <w:r w:rsidRPr="00B35FD7">
              <w:t>Agenda de la próxima reunión</w:t>
            </w:r>
          </w:p>
        </w:tc>
      </w:tr>
    </w:tbl>
    <w:p w14:paraId="541B94C4" w14:textId="77777777" w:rsidR="00310CFF" w:rsidRPr="00B35FD7" w:rsidRDefault="00310CFF">
      <w:pPr>
        <w:ind w:left="0" w:hanging="2"/>
        <w:rPr>
          <w:highlight w:val="yellow"/>
        </w:rPr>
      </w:pPr>
    </w:p>
    <w:p w14:paraId="4126F6D3" w14:textId="77777777" w:rsidR="00310CFF" w:rsidRPr="00B35FD7" w:rsidRDefault="00310CFF">
      <w:pPr>
        <w:ind w:left="0" w:hanging="2"/>
      </w:pPr>
    </w:p>
    <w:p w14:paraId="0ED7CB68" w14:textId="77777777" w:rsidR="00310CFF" w:rsidRPr="00B35FD7" w:rsidRDefault="00310CFF">
      <w:pPr>
        <w:ind w:left="0" w:hanging="2"/>
      </w:pPr>
    </w:p>
    <w:p w14:paraId="07A30497" w14:textId="77777777" w:rsidR="00310CFF" w:rsidRPr="00B35FD7" w:rsidRDefault="00310CFF">
      <w:pPr>
        <w:ind w:left="0" w:hanging="2"/>
      </w:pPr>
    </w:p>
    <w:p w14:paraId="13F3C3FD" w14:textId="77777777" w:rsidR="00310CFF" w:rsidRPr="00B35FD7" w:rsidRDefault="00310CFF">
      <w:pPr>
        <w:ind w:left="0" w:hanging="2"/>
      </w:pPr>
    </w:p>
    <w:tbl>
      <w:tblPr>
        <w:tblStyle w:val="af0"/>
        <w:tblW w:w="8789" w:type="dxa"/>
        <w:jc w:val="center"/>
        <w:tblInd w:w="0" w:type="dxa"/>
        <w:tblLayout w:type="fixed"/>
        <w:tblLook w:val="0000" w:firstRow="0" w:lastRow="0" w:firstColumn="0" w:lastColumn="0" w:noHBand="0" w:noVBand="0"/>
      </w:tblPr>
      <w:tblGrid>
        <w:gridCol w:w="3969"/>
        <w:gridCol w:w="425"/>
        <w:gridCol w:w="4395"/>
      </w:tblGrid>
      <w:tr w:rsidR="00310CFF" w:rsidRPr="00B35FD7" w14:paraId="2CA443B1" w14:textId="77777777">
        <w:trPr>
          <w:jc w:val="center"/>
        </w:trPr>
        <w:tc>
          <w:tcPr>
            <w:tcW w:w="3969" w:type="dxa"/>
          </w:tcPr>
          <w:p w14:paraId="09B27E0E" w14:textId="77777777" w:rsidR="00310CFF" w:rsidRPr="00B35FD7" w:rsidRDefault="000029B8">
            <w:pPr>
              <w:pBdr>
                <w:top w:val="nil"/>
                <w:left w:val="nil"/>
                <w:bottom w:val="nil"/>
                <w:right w:val="nil"/>
                <w:between w:val="nil"/>
              </w:pBdr>
              <w:ind w:left="0" w:hanging="2"/>
              <w:rPr>
                <w:color w:val="000000"/>
              </w:rPr>
            </w:pPr>
            <w:r w:rsidRPr="00B35FD7">
              <w:rPr>
                <w:b/>
                <w:color w:val="000000"/>
              </w:rPr>
              <w:t>____________________________</w:t>
            </w:r>
          </w:p>
        </w:tc>
        <w:tc>
          <w:tcPr>
            <w:tcW w:w="425" w:type="dxa"/>
          </w:tcPr>
          <w:p w14:paraId="1F9A9AF5" w14:textId="77777777" w:rsidR="00310CFF" w:rsidRPr="00B35FD7" w:rsidRDefault="00310CFF">
            <w:pPr>
              <w:ind w:left="0" w:hanging="2"/>
              <w:jc w:val="center"/>
            </w:pPr>
          </w:p>
        </w:tc>
        <w:tc>
          <w:tcPr>
            <w:tcW w:w="4395" w:type="dxa"/>
          </w:tcPr>
          <w:p w14:paraId="09376181" w14:textId="77777777" w:rsidR="00310CFF" w:rsidRPr="00B35FD7" w:rsidRDefault="000029B8">
            <w:pPr>
              <w:ind w:left="0" w:hanging="2"/>
              <w:jc w:val="center"/>
            </w:pPr>
            <w:r w:rsidRPr="00B35FD7">
              <w:rPr>
                <w:b/>
              </w:rPr>
              <w:t>____________________________</w:t>
            </w:r>
          </w:p>
        </w:tc>
      </w:tr>
      <w:tr w:rsidR="00310CFF" w:rsidRPr="00B35FD7" w14:paraId="503A1D11" w14:textId="77777777">
        <w:trPr>
          <w:jc w:val="center"/>
        </w:trPr>
        <w:tc>
          <w:tcPr>
            <w:tcW w:w="3969" w:type="dxa"/>
          </w:tcPr>
          <w:p w14:paraId="34C5AF20" w14:textId="77777777" w:rsidR="00310CFF" w:rsidRPr="00B35FD7" w:rsidRDefault="000029B8">
            <w:pPr>
              <w:ind w:left="0" w:hanging="2"/>
              <w:jc w:val="center"/>
            </w:pPr>
            <w:bookmarkStart w:id="1" w:name="_heading=h.1fob9te" w:colFirst="0" w:colLast="0"/>
            <w:bookmarkEnd w:id="1"/>
            <w:r w:rsidRPr="00B35FD7">
              <w:rPr>
                <w:b/>
              </w:rPr>
              <w:t>Por la delegación de Argentina</w:t>
            </w:r>
          </w:p>
          <w:p w14:paraId="1EDC1F97" w14:textId="5879E3BC" w:rsidR="00310CFF" w:rsidRPr="00B35FD7" w:rsidRDefault="004B3980">
            <w:pPr>
              <w:ind w:left="0" w:hanging="2"/>
              <w:jc w:val="center"/>
            </w:pPr>
            <w:r w:rsidRPr="00B35FD7">
              <w:t xml:space="preserve">Paula </w:t>
            </w:r>
            <w:proofErr w:type="spellStart"/>
            <w:r w:rsidRPr="00B35FD7">
              <w:t>Redivo</w:t>
            </w:r>
            <w:proofErr w:type="spellEnd"/>
          </w:p>
          <w:p w14:paraId="7DB4A9D6" w14:textId="77777777" w:rsidR="00310CFF" w:rsidRPr="00B35FD7" w:rsidRDefault="00310CFF">
            <w:pPr>
              <w:ind w:left="0" w:hanging="2"/>
              <w:jc w:val="center"/>
            </w:pPr>
          </w:p>
          <w:p w14:paraId="16E4699C" w14:textId="77777777" w:rsidR="00310CFF" w:rsidRPr="00B35FD7" w:rsidRDefault="00310CFF">
            <w:pPr>
              <w:ind w:left="0" w:hanging="2"/>
              <w:jc w:val="center"/>
            </w:pPr>
          </w:p>
          <w:p w14:paraId="53B44AAE" w14:textId="77777777" w:rsidR="00310CFF" w:rsidRPr="00B35FD7" w:rsidRDefault="00310CFF">
            <w:pPr>
              <w:ind w:left="0" w:hanging="2"/>
              <w:jc w:val="center"/>
              <w:rPr>
                <w:color w:val="1D1B11"/>
              </w:rPr>
            </w:pPr>
          </w:p>
        </w:tc>
        <w:tc>
          <w:tcPr>
            <w:tcW w:w="425" w:type="dxa"/>
          </w:tcPr>
          <w:p w14:paraId="46A1DA37" w14:textId="77777777" w:rsidR="00310CFF" w:rsidRPr="00B35FD7" w:rsidRDefault="00310CFF">
            <w:pPr>
              <w:ind w:left="0" w:hanging="2"/>
              <w:jc w:val="center"/>
            </w:pPr>
          </w:p>
        </w:tc>
        <w:tc>
          <w:tcPr>
            <w:tcW w:w="4395" w:type="dxa"/>
          </w:tcPr>
          <w:p w14:paraId="4A3D4420" w14:textId="77777777" w:rsidR="00310CFF" w:rsidRPr="00B35FD7" w:rsidRDefault="000029B8">
            <w:pPr>
              <w:ind w:left="0" w:hanging="2"/>
              <w:jc w:val="center"/>
              <w:rPr>
                <w:b/>
              </w:rPr>
            </w:pPr>
            <w:bookmarkStart w:id="2" w:name="_heading=h.qtcsq58haku2" w:colFirst="0" w:colLast="0"/>
            <w:bookmarkEnd w:id="2"/>
            <w:r w:rsidRPr="00B35FD7">
              <w:rPr>
                <w:b/>
              </w:rPr>
              <w:t>Por la delegación de Brasil</w:t>
            </w:r>
          </w:p>
          <w:p w14:paraId="2B6B58CB" w14:textId="4694D041" w:rsidR="00310CFF" w:rsidRPr="00B35FD7" w:rsidRDefault="00BC0FF0">
            <w:pPr>
              <w:ind w:left="0" w:hanging="2"/>
              <w:jc w:val="center"/>
              <w:rPr>
                <w:color w:val="1E1C11"/>
              </w:rPr>
            </w:pPr>
            <w:r w:rsidRPr="00B35FD7">
              <w:rPr>
                <w:color w:val="1E1C11"/>
              </w:rPr>
              <w:t>Hércules</w:t>
            </w:r>
            <w:r w:rsidR="004B3980" w:rsidRPr="00B35FD7">
              <w:rPr>
                <w:color w:val="1E1C11"/>
              </w:rPr>
              <w:t xml:space="preserve"> Souza</w:t>
            </w:r>
          </w:p>
        </w:tc>
      </w:tr>
      <w:tr w:rsidR="00310CFF" w:rsidRPr="00B35FD7" w14:paraId="5FBAD203" w14:textId="77777777">
        <w:trPr>
          <w:trHeight w:val="300"/>
          <w:jc w:val="center"/>
        </w:trPr>
        <w:tc>
          <w:tcPr>
            <w:tcW w:w="3969" w:type="dxa"/>
          </w:tcPr>
          <w:p w14:paraId="6079ED4A" w14:textId="77777777" w:rsidR="00310CFF" w:rsidRPr="00B35FD7" w:rsidRDefault="000029B8">
            <w:pPr>
              <w:ind w:left="0" w:hanging="2"/>
              <w:jc w:val="center"/>
              <w:rPr>
                <w:color w:val="000000"/>
              </w:rPr>
            </w:pPr>
            <w:r w:rsidRPr="00B35FD7">
              <w:rPr>
                <w:b/>
              </w:rPr>
              <w:t>____________________________</w:t>
            </w:r>
          </w:p>
        </w:tc>
        <w:tc>
          <w:tcPr>
            <w:tcW w:w="425" w:type="dxa"/>
          </w:tcPr>
          <w:p w14:paraId="4091211A" w14:textId="77777777" w:rsidR="00310CFF" w:rsidRPr="00B35FD7" w:rsidRDefault="00310CFF">
            <w:pPr>
              <w:ind w:left="0" w:hanging="2"/>
              <w:jc w:val="center"/>
            </w:pPr>
          </w:p>
        </w:tc>
        <w:tc>
          <w:tcPr>
            <w:tcW w:w="4395" w:type="dxa"/>
          </w:tcPr>
          <w:p w14:paraId="1AAFA788" w14:textId="77777777" w:rsidR="00310CFF" w:rsidRPr="00B35FD7" w:rsidRDefault="000029B8">
            <w:pPr>
              <w:ind w:left="0" w:hanging="2"/>
              <w:jc w:val="center"/>
            </w:pPr>
            <w:r w:rsidRPr="00B35FD7">
              <w:rPr>
                <w:b/>
              </w:rPr>
              <w:t>____________________________</w:t>
            </w:r>
          </w:p>
        </w:tc>
      </w:tr>
      <w:tr w:rsidR="00310CFF" w:rsidRPr="00B35FD7" w14:paraId="34DA5872" w14:textId="77777777">
        <w:trPr>
          <w:jc w:val="center"/>
        </w:trPr>
        <w:tc>
          <w:tcPr>
            <w:tcW w:w="3969" w:type="dxa"/>
          </w:tcPr>
          <w:p w14:paraId="1D17B37B" w14:textId="77777777" w:rsidR="00310CFF" w:rsidRPr="00B35FD7" w:rsidRDefault="000029B8">
            <w:pPr>
              <w:ind w:left="0" w:hanging="2"/>
              <w:jc w:val="center"/>
            </w:pPr>
            <w:r w:rsidRPr="00B35FD7">
              <w:rPr>
                <w:b/>
              </w:rPr>
              <w:t>Por la delegación de Paraguay</w:t>
            </w:r>
          </w:p>
          <w:p w14:paraId="314D28DC" w14:textId="199E26F8" w:rsidR="00310CFF" w:rsidRPr="00B35FD7" w:rsidRDefault="004B3980">
            <w:pPr>
              <w:ind w:left="0" w:hanging="2"/>
              <w:jc w:val="center"/>
            </w:pPr>
            <w:r w:rsidRPr="00B35FD7">
              <w:rPr>
                <w:color w:val="1E1C11"/>
              </w:rPr>
              <w:t>Alba Cabrera</w:t>
            </w:r>
          </w:p>
          <w:p w14:paraId="78255C15" w14:textId="77777777" w:rsidR="00310CFF" w:rsidRPr="00B35FD7" w:rsidRDefault="00310CFF">
            <w:pPr>
              <w:ind w:left="0" w:hanging="2"/>
              <w:jc w:val="center"/>
            </w:pPr>
          </w:p>
          <w:p w14:paraId="4C4A7B81" w14:textId="77777777" w:rsidR="00310CFF" w:rsidRPr="00B35FD7" w:rsidRDefault="00310CFF">
            <w:pPr>
              <w:ind w:left="0" w:hanging="2"/>
            </w:pPr>
          </w:p>
          <w:p w14:paraId="6070D0AA" w14:textId="77777777" w:rsidR="00310CFF" w:rsidRPr="00B35FD7" w:rsidRDefault="00310CFF">
            <w:pPr>
              <w:ind w:left="0" w:hanging="2"/>
              <w:jc w:val="center"/>
            </w:pPr>
          </w:p>
        </w:tc>
        <w:tc>
          <w:tcPr>
            <w:tcW w:w="425" w:type="dxa"/>
          </w:tcPr>
          <w:p w14:paraId="6301EA90" w14:textId="77777777" w:rsidR="00310CFF" w:rsidRPr="00B35FD7" w:rsidRDefault="00310CFF">
            <w:pPr>
              <w:ind w:left="0" w:hanging="2"/>
              <w:jc w:val="center"/>
            </w:pPr>
          </w:p>
        </w:tc>
        <w:tc>
          <w:tcPr>
            <w:tcW w:w="4395" w:type="dxa"/>
          </w:tcPr>
          <w:p w14:paraId="5B908A3A" w14:textId="77777777" w:rsidR="00310CFF" w:rsidRPr="00B35FD7" w:rsidRDefault="000029B8">
            <w:pPr>
              <w:ind w:left="0" w:hanging="2"/>
              <w:jc w:val="center"/>
            </w:pPr>
            <w:r w:rsidRPr="00B35FD7">
              <w:rPr>
                <w:b/>
              </w:rPr>
              <w:t>Por la delegación de Uruguay</w:t>
            </w:r>
          </w:p>
          <w:p w14:paraId="5313ACD5" w14:textId="4776587E" w:rsidR="00310CFF" w:rsidRPr="00B35FD7" w:rsidRDefault="004B3980">
            <w:pPr>
              <w:ind w:left="0" w:hanging="2"/>
              <w:jc w:val="center"/>
            </w:pPr>
            <w:r w:rsidRPr="00B35FD7">
              <w:t>Cecilia Aguerre</w:t>
            </w:r>
          </w:p>
        </w:tc>
      </w:tr>
      <w:tr w:rsidR="00310CFF" w:rsidRPr="00B35FD7" w14:paraId="2085E1CF" w14:textId="77777777">
        <w:trPr>
          <w:trHeight w:val="300"/>
          <w:jc w:val="center"/>
        </w:trPr>
        <w:tc>
          <w:tcPr>
            <w:tcW w:w="3969" w:type="dxa"/>
          </w:tcPr>
          <w:p w14:paraId="377FEAED" w14:textId="77777777" w:rsidR="00310CFF" w:rsidRPr="00B35FD7" w:rsidRDefault="000029B8">
            <w:pPr>
              <w:ind w:left="0" w:hanging="2"/>
              <w:jc w:val="center"/>
            </w:pPr>
            <w:r w:rsidRPr="00B35FD7">
              <w:rPr>
                <w:b/>
              </w:rPr>
              <w:t>____________________________</w:t>
            </w:r>
          </w:p>
        </w:tc>
        <w:tc>
          <w:tcPr>
            <w:tcW w:w="425" w:type="dxa"/>
          </w:tcPr>
          <w:p w14:paraId="416453F3" w14:textId="77777777" w:rsidR="00310CFF" w:rsidRPr="00B35FD7" w:rsidRDefault="00310CFF">
            <w:pPr>
              <w:ind w:left="0" w:hanging="2"/>
              <w:jc w:val="center"/>
            </w:pPr>
          </w:p>
        </w:tc>
        <w:tc>
          <w:tcPr>
            <w:tcW w:w="4395" w:type="dxa"/>
          </w:tcPr>
          <w:p w14:paraId="40F5608D" w14:textId="77777777" w:rsidR="00310CFF" w:rsidRPr="00B35FD7" w:rsidRDefault="00310CFF">
            <w:pPr>
              <w:ind w:left="0" w:hanging="2"/>
              <w:jc w:val="center"/>
              <w:rPr>
                <w:b/>
              </w:rPr>
            </w:pPr>
          </w:p>
        </w:tc>
      </w:tr>
      <w:tr w:rsidR="00310CFF" w:rsidRPr="00B35FD7" w14:paraId="2EFB0867" w14:textId="77777777">
        <w:trPr>
          <w:trHeight w:val="300"/>
          <w:jc w:val="center"/>
        </w:trPr>
        <w:tc>
          <w:tcPr>
            <w:tcW w:w="3969" w:type="dxa"/>
          </w:tcPr>
          <w:p w14:paraId="4B347AD8" w14:textId="77777777" w:rsidR="00310CFF" w:rsidRPr="00B35FD7" w:rsidRDefault="000029B8">
            <w:pPr>
              <w:ind w:left="0" w:hanging="2"/>
              <w:jc w:val="center"/>
              <w:rPr>
                <w:b/>
              </w:rPr>
            </w:pPr>
            <w:r w:rsidRPr="00B35FD7">
              <w:rPr>
                <w:b/>
              </w:rPr>
              <w:t>Por la delegación de Bolivia</w:t>
            </w:r>
          </w:p>
          <w:p w14:paraId="37599699" w14:textId="00A7DB3E" w:rsidR="00310CFF" w:rsidRPr="00B35FD7" w:rsidRDefault="004B3980">
            <w:pPr>
              <w:ind w:left="0" w:hanging="2"/>
              <w:jc w:val="center"/>
            </w:pPr>
            <w:r w:rsidRPr="00B35FD7">
              <w:rPr>
                <w:color w:val="1E1C11"/>
              </w:rPr>
              <w:t>Juan Pablo Mamani</w:t>
            </w:r>
          </w:p>
        </w:tc>
        <w:tc>
          <w:tcPr>
            <w:tcW w:w="425" w:type="dxa"/>
          </w:tcPr>
          <w:p w14:paraId="02F3352A" w14:textId="77777777" w:rsidR="00310CFF" w:rsidRPr="00B35FD7" w:rsidRDefault="00310CFF">
            <w:pPr>
              <w:ind w:left="0" w:hanging="2"/>
              <w:jc w:val="center"/>
            </w:pPr>
          </w:p>
        </w:tc>
        <w:tc>
          <w:tcPr>
            <w:tcW w:w="4395" w:type="dxa"/>
          </w:tcPr>
          <w:p w14:paraId="474B4DF8" w14:textId="77777777" w:rsidR="00310CFF" w:rsidRPr="00B35FD7" w:rsidRDefault="00310CFF">
            <w:pPr>
              <w:ind w:left="0" w:hanging="2"/>
              <w:jc w:val="center"/>
              <w:rPr>
                <w:b/>
              </w:rPr>
            </w:pPr>
          </w:p>
        </w:tc>
      </w:tr>
    </w:tbl>
    <w:p w14:paraId="6F7E11B6" w14:textId="77777777" w:rsidR="00310CFF" w:rsidRDefault="00310CFF">
      <w:pPr>
        <w:tabs>
          <w:tab w:val="left" w:pos="3179"/>
        </w:tabs>
        <w:ind w:left="0" w:hanging="2"/>
      </w:pPr>
    </w:p>
    <w:sectPr w:rsidR="00310CFF">
      <w:headerReference w:type="even" r:id="rId8"/>
      <w:headerReference w:type="default" r:id="rId9"/>
      <w:footerReference w:type="even" r:id="rId10"/>
      <w:footerReference w:type="default" r:id="rId11"/>
      <w:headerReference w:type="first" r:id="rId12"/>
      <w:footerReference w:type="first" r:id="rId13"/>
      <w:pgSz w:w="11907" w:h="16840"/>
      <w:pgMar w:top="2127" w:right="1701" w:bottom="1417" w:left="1560" w:header="68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4E2E" w14:textId="77777777" w:rsidR="000029B8" w:rsidRPr="00B35FD7" w:rsidRDefault="000029B8">
      <w:pPr>
        <w:spacing w:line="240" w:lineRule="auto"/>
        <w:ind w:left="0" w:hanging="2"/>
      </w:pPr>
      <w:r w:rsidRPr="00B35FD7">
        <w:separator/>
      </w:r>
    </w:p>
  </w:endnote>
  <w:endnote w:type="continuationSeparator" w:id="0">
    <w:p w14:paraId="6AC7F9DA" w14:textId="77777777" w:rsidR="000029B8" w:rsidRPr="00B35FD7" w:rsidRDefault="000029B8">
      <w:pPr>
        <w:spacing w:line="240" w:lineRule="auto"/>
        <w:ind w:left="0" w:hanging="2"/>
      </w:pPr>
      <w:r w:rsidRPr="00B35F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7BA5" w14:textId="77777777" w:rsidR="00310CFF" w:rsidRPr="00B35FD7" w:rsidRDefault="00310CFF">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17" w14:textId="77777777" w:rsidR="00310CFF" w:rsidRPr="00B35FD7" w:rsidRDefault="000029B8">
    <w:pPr>
      <w:pBdr>
        <w:top w:val="nil"/>
        <w:left w:val="nil"/>
        <w:bottom w:val="nil"/>
        <w:right w:val="nil"/>
        <w:between w:val="nil"/>
      </w:pBdr>
      <w:tabs>
        <w:tab w:val="center" w:pos="4419"/>
        <w:tab w:val="right" w:pos="8838"/>
      </w:tabs>
      <w:spacing w:line="240" w:lineRule="auto"/>
      <w:ind w:left="0" w:hanging="2"/>
      <w:jc w:val="right"/>
      <w:rPr>
        <w:color w:val="000000"/>
      </w:rPr>
    </w:pPr>
    <w:r w:rsidRPr="00B35FD7">
      <w:rPr>
        <w:color w:val="000000"/>
      </w:rPr>
      <w:fldChar w:fldCharType="begin"/>
    </w:r>
    <w:r w:rsidRPr="00B35FD7">
      <w:rPr>
        <w:color w:val="000000"/>
      </w:rPr>
      <w:instrText>PAGE</w:instrText>
    </w:r>
    <w:r w:rsidRPr="00B35FD7">
      <w:rPr>
        <w:color w:val="000000"/>
      </w:rPr>
      <w:fldChar w:fldCharType="separate"/>
    </w:r>
    <w:r w:rsidR="00BF76AA" w:rsidRPr="00B35FD7">
      <w:rPr>
        <w:color w:val="000000"/>
      </w:rPr>
      <w:t>1</w:t>
    </w:r>
    <w:r w:rsidRPr="00B35FD7">
      <w:rPr>
        <w:color w:val="000000"/>
      </w:rPr>
      <w:fldChar w:fldCharType="end"/>
    </w:r>
  </w:p>
  <w:p w14:paraId="7D9DD725" w14:textId="77777777" w:rsidR="00310CFF" w:rsidRPr="00B35FD7" w:rsidRDefault="00310CFF">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F297" w14:textId="77777777" w:rsidR="00310CFF" w:rsidRPr="00B35FD7" w:rsidRDefault="00310CFF">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8CFCD" w14:textId="77777777" w:rsidR="000029B8" w:rsidRPr="00B35FD7" w:rsidRDefault="000029B8">
      <w:pPr>
        <w:spacing w:line="240" w:lineRule="auto"/>
        <w:ind w:left="0" w:hanging="2"/>
      </w:pPr>
      <w:r w:rsidRPr="00B35FD7">
        <w:separator/>
      </w:r>
    </w:p>
  </w:footnote>
  <w:footnote w:type="continuationSeparator" w:id="0">
    <w:p w14:paraId="6D304F1F" w14:textId="77777777" w:rsidR="000029B8" w:rsidRPr="00B35FD7" w:rsidRDefault="000029B8">
      <w:pPr>
        <w:spacing w:line="240" w:lineRule="auto"/>
        <w:ind w:left="0" w:hanging="2"/>
      </w:pPr>
      <w:r w:rsidRPr="00B35F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69DF" w14:textId="77777777" w:rsidR="00310CFF" w:rsidRPr="00B35FD7" w:rsidRDefault="000029B8">
    <w:pPr>
      <w:widowControl w:val="0"/>
      <w:pBdr>
        <w:top w:val="nil"/>
        <w:left w:val="nil"/>
        <w:bottom w:val="nil"/>
        <w:right w:val="nil"/>
        <w:between w:val="nil"/>
      </w:pBdr>
      <w:tabs>
        <w:tab w:val="center" w:pos="4252"/>
        <w:tab w:val="right" w:pos="8504"/>
      </w:tabs>
      <w:spacing w:line="240" w:lineRule="auto"/>
      <w:ind w:left="0" w:hanging="2"/>
      <w:rPr>
        <w:color w:val="000000"/>
      </w:rPr>
    </w:pPr>
    <w:r w:rsidRPr="00B35FD7">
      <w:rPr>
        <w:noProof/>
      </w:rPr>
      <w:drawing>
        <wp:anchor distT="0" distB="0" distL="0" distR="0" simplePos="0" relativeHeight="251661312" behindDoc="0" locked="0" layoutInCell="1" hidden="0" allowOverlap="1" wp14:anchorId="12826680" wp14:editId="2FA2EFD4">
          <wp:simplePos x="0" y="0"/>
          <wp:positionH relativeFrom="column">
            <wp:posOffset>0</wp:posOffset>
          </wp:positionH>
          <wp:positionV relativeFrom="paragraph">
            <wp:posOffset>0</wp:posOffset>
          </wp:positionV>
          <wp:extent cx="6498590" cy="3940175"/>
          <wp:effectExtent l="0" t="0" r="0" b="0"/>
          <wp:wrapSquare wrapText="bothSides" distT="0" distB="0" distL="0" distR="0"/>
          <wp:docPr id="16102254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98590" cy="39401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EDD4" w14:textId="77777777" w:rsidR="00310CFF" w:rsidRPr="00B35FD7" w:rsidRDefault="000029B8">
    <w:pPr>
      <w:widowControl w:val="0"/>
      <w:pBdr>
        <w:top w:val="nil"/>
        <w:left w:val="nil"/>
        <w:bottom w:val="nil"/>
        <w:right w:val="nil"/>
        <w:between w:val="nil"/>
      </w:pBdr>
      <w:tabs>
        <w:tab w:val="center" w:pos="4252"/>
        <w:tab w:val="right" w:pos="8504"/>
      </w:tabs>
      <w:spacing w:line="240" w:lineRule="auto"/>
      <w:ind w:left="0" w:hanging="2"/>
      <w:rPr>
        <w:color w:val="000000"/>
      </w:rPr>
    </w:pPr>
    <w:r w:rsidRPr="00B35FD7">
      <w:rPr>
        <w:noProof/>
      </w:rPr>
      <w:drawing>
        <wp:anchor distT="0" distB="0" distL="114300" distR="114300" simplePos="0" relativeHeight="251658240" behindDoc="0" locked="0" layoutInCell="1" hidden="0" allowOverlap="1" wp14:anchorId="18D75BC1" wp14:editId="18E7B662">
          <wp:simplePos x="0" y="0"/>
          <wp:positionH relativeFrom="column">
            <wp:posOffset>4360545</wp:posOffset>
          </wp:positionH>
          <wp:positionV relativeFrom="paragraph">
            <wp:posOffset>160655</wp:posOffset>
          </wp:positionV>
          <wp:extent cx="1186180" cy="748030"/>
          <wp:effectExtent l="0" t="0" r="0" b="0"/>
          <wp:wrapTopAndBottom distT="0" distB="0"/>
          <wp:docPr id="16102254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sidRPr="00B35FD7">
      <w:rPr>
        <w:noProof/>
      </w:rPr>
      <w:drawing>
        <wp:anchor distT="0" distB="0" distL="114300" distR="114300" simplePos="0" relativeHeight="251659264" behindDoc="0" locked="0" layoutInCell="1" hidden="0" allowOverlap="1" wp14:anchorId="0C4C9B15" wp14:editId="71E6210F">
          <wp:simplePos x="0" y="0"/>
          <wp:positionH relativeFrom="column">
            <wp:posOffset>113879</wp:posOffset>
          </wp:positionH>
          <wp:positionV relativeFrom="paragraph">
            <wp:posOffset>80222</wp:posOffset>
          </wp:positionV>
          <wp:extent cx="1205230" cy="763905"/>
          <wp:effectExtent l="0" t="0" r="0" b="0"/>
          <wp:wrapSquare wrapText="bothSides" distT="0" distB="0" distL="114300" distR="114300"/>
          <wp:docPr id="16102254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05230" cy="763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3B09" w14:textId="77777777" w:rsidR="00310CFF" w:rsidRPr="00B35FD7" w:rsidRDefault="000029B8">
    <w:pPr>
      <w:widowControl w:val="0"/>
      <w:pBdr>
        <w:top w:val="nil"/>
        <w:left w:val="nil"/>
        <w:bottom w:val="nil"/>
        <w:right w:val="nil"/>
        <w:between w:val="nil"/>
      </w:pBdr>
      <w:tabs>
        <w:tab w:val="center" w:pos="4252"/>
        <w:tab w:val="right" w:pos="8504"/>
      </w:tabs>
      <w:spacing w:line="240" w:lineRule="auto"/>
      <w:ind w:left="0" w:hanging="2"/>
      <w:rPr>
        <w:color w:val="000000"/>
      </w:rPr>
    </w:pPr>
    <w:r w:rsidRPr="00B35FD7">
      <w:rPr>
        <w:noProof/>
      </w:rPr>
      <w:drawing>
        <wp:anchor distT="0" distB="0" distL="0" distR="0" simplePos="0" relativeHeight="251660288" behindDoc="0" locked="0" layoutInCell="1" hidden="0" allowOverlap="1" wp14:anchorId="248F31A4" wp14:editId="2470175A">
          <wp:simplePos x="0" y="0"/>
          <wp:positionH relativeFrom="column">
            <wp:posOffset>0</wp:posOffset>
          </wp:positionH>
          <wp:positionV relativeFrom="paragraph">
            <wp:posOffset>0</wp:posOffset>
          </wp:positionV>
          <wp:extent cx="6498590" cy="3940175"/>
          <wp:effectExtent l="0" t="0" r="0" b="0"/>
          <wp:wrapSquare wrapText="bothSides" distT="0" distB="0" distL="0" distR="0"/>
          <wp:docPr id="16102254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98590" cy="3940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343CE"/>
    <w:multiLevelType w:val="multilevel"/>
    <w:tmpl w:val="0006564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0764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FF"/>
    <w:rsid w:val="000029B8"/>
    <w:rsid w:val="00017991"/>
    <w:rsid w:val="00021772"/>
    <w:rsid w:val="00310CFF"/>
    <w:rsid w:val="003F56D1"/>
    <w:rsid w:val="00480425"/>
    <w:rsid w:val="004B3980"/>
    <w:rsid w:val="005066C2"/>
    <w:rsid w:val="00AD713B"/>
    <w:rsid w:val="00B35FD7"/>
    <w:rsid w:val="00BC0FF0"/>
    <w:rsid w:val="00BF76AA"/>
    <w:rsid w:val="00C13A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D50E"/>
  <w15:docId w15:val="{E64E9B0E-A6BA-4F9C-889E-7EAD8197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AR"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76"/>
    <w:pPr>
      <w:suppressAutoHyphens/>
      <w:spacing w:line="1" w:lineRule="atLeast"/>
      <w:ind w:leftChars="-1" w:left="-1" w:hangingChars="1"/>
      <w:textDirection w:val="btLr"/>
      <w:textAlignment w:val="top"/>
      <w:outlineLvl w:val="0"/>
    </w:pPr>
    <w:rPr>
      <w:position w:val="-1"/>
      <w:lang w:val="es-ES_tradnl"/>
    </w:rPr>
  </w:style>
  <w:style w:type="paragraph" w:styleId="Ttulo1">
    <w:name w:val="heading 1"/>
    <w:basedOn w:val="Normal"/>
    <w:next w:val="Normal"/>
    <w:uiPriority w:val="9"/>
    <w:qFormat/>
    <w:rsid w:val="00A424AD"/>
    <w:pPr>
      <w:keepNext/>
      <w:widowControl w:val="0"/>
    </w:pPr>
    <w:rPr>
      <w:rFonts w:ascii="Monotype Corsiva" w:hAnsi="Monotype Corsiva"/>
      <w:b/>
      <w:snapToGrid w:val="0"/>
      <w:sz w:val="28"/>
      <w:lang w:val="es-MX"/>
    </w:rPr>
  </w:style>
  <w:style w:type="paragraph" w:styleId="Ttulo2">
    <w:name w:val="heading 2"/>
    <w:basedOn w:val="Normal"/>
    <w:next w:val="Normal"/>
    <w:uiPriority w:val="9"/>
    <w:semiHidden/>
    <w:unhideWhenUsed/>
    <w:qFormat/>
    <w:rsid w:val="00A424AD"/>
    <w:pPr>
      <w:keepNext/>
      <w:ind w:firstLine="567"/>
      <w:outlineLvl w:val="1"/>
    </w:pPr>
    <w:rPr>
      <w:b/>
      <w:lang w:val="es-MX"/>
    </w:rPr>
  </w:style>
  <w:style w:type="paragraph" w:styleId="Ttulo3">
    <w:name w:val="heading 3"/>
    <w:basedOn w:val="Normal"/>
    <w:next w:val="Normal"/>
    <w:uiPriority w:val="9"/>
    <w:semiHidden/>
    <w:unhideWhenUsed/>
    <w:qFormat/>
    <w:rsid w:val="00A424AD"/>
    <w:pPr>
      <w:keepNext/>
      <w:ind w:left="567" w:right="567"/>
      <w:jc w:val="center"/>
      <w:outlineLvl w:val="2"/>
    </w:pPr>
    <w:rPr>
      <w:b/>
      <w:lang w:val="es-UY"/>
    </w:rPr>
  </w:style>
  <w:style w:type="paragraph" w:styleId="Ttulo4">
    <w:name w:val="heading 4"/>
    <w:basedOn w:val="Normal"/>
    <w:next w:val="Normal"/>
    <w:uiPriority w:val="9"/>
    <w:semiHidden/>
    <w:unhideWhenUsed/>
    <w:qFormat/>
    <w:rsid w:val="00A424AD"/>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uiPriority w:val="9"/>
    <w:semiHidden/>
    <w:unhideWhenUsed/>
    <w:qFormat/>
    <w:rsid w:val="00A424AD"/>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A424A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A424AD"/>
    <w:pPr>
      <w:spacing w:before="240" w:after="60"/>
      <w:jc w:val="center"/>
    </w:pPr>
    <w:rPr>
      <w:rFonts w:ascii="Cambria" w:eastAsia="Times New Roman" w:hAnsi="Cambria" w:cs="Times New Roman"/>
      <w:b/>
      <w:bCs/>
      <w:kern w:val="28"/>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E52BEA"/>
    <w:tblPr>
      <w:tblCellMar>
        <w:top w:w="0" w:type="dxa"/>
        <w:left w:w="0" w:type="dxa"/>
        <w:bottom w:w="0" w:type="dxa"/>
        <w:right w:w="0" w:type="dxa"/>
      </w:tblCellMar>
    </w:tblPr>
  </w:style>
  <w:style w:type="paragraph" w:customStyle="1" w:styleId="Normal1">
    <w:name w:val="Normal1"/>
    <w:rsid w:val="00A424AD"/>
  </w:style>
  <w:style w:type="table" w:customStyle="1" w:styleId="TableNormal00">
    <w:name w:val="Table Normal0"/>
    <w:rsid w:val="00A424AD"/>
    <w:tblPr>
      <w:tblCellMar>
        <w:top w:w="0" w:type="dxa"/>
        <w:left w:w="0" w:type="dxa"/>
        <w:bottom w:w="0" w:type="dxa"/>
        <w:right w:w="0" w:type="dxa"/>
      </w:tblCellMar>
    </w:tblPr>
  </w:style>
  <w:style w:type="table" w:customStyle="1" w:styleId="TableNormal10">
    <w:name w:val="Table Normal1"/>
    <w:rsid w:val="00A424AD"/>
    <w:tblPr>
      <w:tblCellMar>
        <w:top w:w="0" w:type="dxa"/>
        <w:left w:w="0" w:type="dxa"/>
        <w:bottom w:w="0" w:type="dxa"/>
        <w:right w:w="0" w:type="dxa"/>
      </w:tblCellMar>
    </w:tblPr>
  </w:style>
  <w:style w:type="paragraph" w:styleId="Encabezado">
    <w:name w:val="header"/>
    <w:basedOn w:val="Normal"/>
    <w:rsid w:val="00A424AD"/>
    <w:pPr>
      <w:widowControl w:val="0"/>
      <w:tabs>
        <w:tab w:val="center" w:pos="4252"/>
        <w:tab w:val="right" w:pos="8504"/>
      </w:tabs>
    </w:pPr>
    <w:rPr>
      <w:snapToGrid w:val="0"/>
      <w:lang w:val="es-ES"/>
    </w:rPr>
  </w:style>
  <w:style w:type="paragraph" w:styleId="Piedepgina">
    <w:name w:val="footer"/>
    <w:basedOn w:val="Normal"/>
    <w:uiPriority w:val="99"/>
    <w:rsid w:val="00A424AD"/>
    <w:pPr>
      <w:tabs>
        <w:tab w:val="center" w:pos="4419"/>
        <w:tab w:val="right" w:pos="8838"/>
      </w:tabs>
    </w:pPr>
  </w:style>
  <w:style w:type="character" w:styleId="Hipervnculo">
    <w:name w:val="Hyperlink"/>
    <w:rsid w:val="00A424AD"/>
    <w:rPr>
      <w:color w:val="0000FF"/>
      <w:w w:val="100"/>
      <w:position w:val="-1"/>
      <w:u w:val="single"/>
      <w:effect w:val="none"/>
      <w:vertAlign w:val="baseline"/>
      <w:cs w:val="0"/>
      <w:em w:val="none"/>
    </w:rPr>
  </w:style>
  <w:style w:type="paragraph" w:styleId="Textoindependiente2">
    <w:name w:val="Body Text 2"/>
    <w:basedOn w:val="Normal"/>
    <w:rsid w:val="00A424AD"/>
    <w:pPr>
      <w:jc w:val="both"/>
    </w:pPr>
    <w:rPr>
      <w:lang w:val="es-ES"/>
    </w:rPr>
  </w:style>
  <w:style w:type="paragraph" w:styleId="Textoindependiente3">
    <w:name w:val="Body Text 3"/>
    <w:basedOn w:val="Normal"/>
    <w:rsid w:val="00A424AD"/>
    <w:pPr>
      <w:jc w:val="center"/>
    </w:pPr>
    <w:rPr>
      <w:b/>
      <w:caps/>
      <w:sz w:val="36"/>
      <w:u w:val="thick"/>
      <w:lang w:val="es-UY"/>
    </w:rPr>
  </w:style>
  <w:style w:type="paragraph" w:styleId="Sangradetextonormal">
    <w:name w:val="Body Text Indent"/>
    <w:basedOn w:val="Normal"/>
    <w:rsid w:val="00A424AD"/>
    <w:pPr>
      <w:spacing w:after="120"/>
      <w:ind w:left="283"/>
    </w:pPr>
    <w:rPr>
      <w:rFonts w:ascii="Times New Roman" w:hAnsi="Times New Roman"/>
      <w:lang w:val="es-ES"/>
    </w:rPr>
  </w:style>
  <w:style w:type="character" w:customStyle="1" w:styleId="SangradetextonormalCar">
    <w:name w:val="Sangría de texto normal Car"/>
    <w:rsid w:val="00A424AD"/>
    <w:rPr>
      <w:w w:val="100"/>
      <w:position w:val="-1"/>
      <w:sz w:val="24"/>
      <w:szCs w:val="24"/>
      <w:effect w:val="none"/>
      <w:vertAlign w:val="baseline"/>
      <w:cs w:val="0"/>
      <w:em w:val="none"/>
      <w:lang w:val="es-ES" w:eastAsia="es-ES"/>
    </w:rPr>
  </w:style>
  <w:style w:type="paragraph" w:styleId="Textoindependiente">
    <w:name w:val="Body Text"/>
    <w:basedOn w:val="Normal"/>
    <w:rsid w:val="00A424AD"/>
    <w:pPr>
      <w:spacing w:after="120"/>
    </w:pPr>
    <w:rPr>
      <w:rFonts w:ascii="Times New Roman" w:hAnsi="Times New Roman"/>
      <w:lang w:val="en-US" w:eastAsia="en-US"/>
    </w:rPr>
  </w:style>
  <w:style w:type="character" w:customStyle="1" w:styleId="TextoindependienteCar">
    <w:name w:val="Texto independiente Car"/>
    <w:rsid w:val="00A424AD"/>
    <w:rPr>
      <w:w w:val="100"/>
      <w:position w:val="-1"/>
      <w:sz w:val="24"/>
      <w:szCs w:val="24"/>
      <w:effect w:val="none"/>
      <w:vertAlign w:val="baseline"/>
      <w:cs w:val="0"/>
      <w:em w:val="none"/>
      <w:lang w:val="en-US" w:eastAsia="en-US"/>
    </w:rPr>
  </w:style>
  <w:style w:type="paragraph" w:styleId="Prrafodelista">
    <w:name w:val="List Paragraph"/>
    <w:basedOn w:val="Normal"/>
    <w:rsid w:val="00A424AD"/>
    <w:pPr>
      <w:ind w:left="708"/>
    </w:pPr>
    <w:rPr>
      <w:rFonts w:ascii="Times New Roman" w:hAnsi="Times New Roman"/>
      <w:lang w:val="en-US" w:eastAsia="en-US"/>
    </w:rPr>
  </w:style>
  <w:style w:type="character" w:customStyle="1" w:styleId="PiedepginaCar">
    <w:name w:val="Pie de página Car"/>
    <w:uiPriority w:val="99"/>
    <w:rsid w:val="00A424AD"/>
    <w:rPr>
      <w:rFonts w:ascii="Arial" w:hAnsi="Arial"/>
      <w:w w:val="100"/>
      <w:position w:val="-1"/>
      <w:sz w:val="24"/>
      <w:effect w:val="none"/>
      <w:vertAlign w:val="baseline"/>
      <w:cs w:val="0"/>
      <w:em w:val="none"/>
      <w:lang w:val="pt-BR" w:eastAsia="es-ES"/>
    </w:rPr>
  </w:style>
  <w:style w:type="paragraph" w:styleId="Textodeglobo">
    <w:name w:val="Balloon Text"/>
    <w:basedOn w:val="Normal"/>
    <w:rsid w:val="00A424AD"/>
    <w:rPr>
      <w:rFonts w:ascii="Tahoma" w:hAnsi="Tahoma" w:cs="Tahoma"/>
      <w:sz w:val="16"/>
      <w:szCs w:val="16"/>
    </w:rPr>
  </w:style>
  <w:style w:type="character" w:customStyle="1" w:styleId="TextodegloboCar">
    <w:name w:val="Texto de globo Car"/>
    <w:rsid w:val="00A424AD"/>
    <w:rPr>
      <w:rFonts w:ascii="Tahoma" w:hAnsi="Tahoma" w:cs="Tahoma"/>
      <w:w w:val="100"/>
      <w:position w:val="-1"/>
      <w:sz w:val="16"/>
      <w:szCs w:val="16"/>
      <w:effect w:val="none"/>
      <w:vertAlign w:val="baseline"/>
      <w:cs w:val="0"/>
      <w:em w:val="none"/>
      <w:lang w:val="pt-BR" w:eastAsia="es-ES"/>
    </w:rPr>
  </w:style>
  <w:style w:type="paragraph" w:customStyle="1" w:styleId="TIT2">
    <w:name w:val="TIT 2"/>
    <w:basedOn w:val="Ttulo"/>
    <w:rsid w:val="00A424AD"/>
    <w:pPr>
      <w:widowControl w:val="0"/>
      <w:suppressAutoHyphens w:val="0"/>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A424AD"/>
    <w:pPr>
      <w:spacing w:before="280" w:after="280"/>
    </w:pPr>
    <w:rPr>
      <w:rFonts w:ascii="Times New Roman" w:hAnsi="Times New Roman"/>
      <w:sz w:val="20"/>
      <w:lang w:val="en-US" w:eastAsia="en-US"/>
    </w:rPr>
  </w:style>
  <w:style w:type="table" w:styleId="Tablaconcuadrcula">
    <w:name w:val="Table Grid"/>
    <w:basedOn w:val="Tablanormal"/>
    <w:rsid w:val="00A424AD"/>
    <w:pPr>
      <w:suppressAutoHyphens/>
      <w:spacing w:line="1" w:lineRule="atLeast"/>
      <w:ind w:leftChars="-1" w:left="-1" w:hangingChars="1"/>
      <w:textDirection w:val="btLr"/>
      <w:textAlignment w:val="top"/>
      <w:outlineLvl w:val="0"/>
    </w:pPr>
    <w:rPr>
      <w:rFonts w:ascii="Calibri" w:eastAsia="Calibri" w:hAnsi="Calibri"/>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A424AD"/>
    <w:rPr>
      <w:rFonts w:ascii="Cambria" w:eastAsia="Times New Roman" w:hAnsi="Cambria" w:cs="Times New Roman"/>
      <w:b/>
      <w:bCs/>
      <w:w w:val="100"/>
      <w:kern w:val="28"/>
      <w:position w:val="-1"/>
      <w:sz w:val="32"/>
      <w:szCs w:val="32"/>
      <w:effect w:val="none"/>
      <w:vertAlign w:val="baseline"/>
      <w:cs w:val="0"/>
      <w:em w:val="none"/>
      <w:lang w:val="pt-BR" w:eastAsia="es-ES"/>
    </w:rPr>
  </w:style>
  <w:style w:type="character" w:customStyle="1" w:styleId="Ttulo4Car">
    <w:name w:val="Título 4 Car"/>
    <w:rsid w:val="00A424AD"/>
    <w:rPr>
      <w:rFonts w:ascii="Calibri" w:eastAsia="Times New Roman" w:hAnsi="Calibri" w:cs="Times New Roman"/>
      <w:b/>
      <w:bCs/>
      <w:w w:val="100"/>
      <w:position w:val="-1"/>
      <w:sz w:val="28"/>
      <w:szCs w:val="28"/>
      <w:effect w:val="none"/>
      <w:vertAlign w:val="baseline"/>
      <w:cs w:val="0"/>
      <w:em w:val="none"/>
      <w:lang w:val="pt-BR" w:eastAsia="es-ES"/>
    </w:rPr>
  </w:style>
  <w:style w:type="paragraph" w:customStyle="1" w:styleId="Instruccionesenvocorreo">
    <w:name w:val="Instrucciones envío correo"/>
    <w:basedOn w:val="Normal"/>
    <w:rsid w:val="00A424AD"/>
    <w:pPr>
      <w:widowControl w:val="0"/>
    </w:pPr>
    <w:rPr>
      <w:lang w:eastAsia="es-UY"/>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rsid w:val="00A424AD"/>
    <w:tblPr>
      <w:tblStyleRowBandSize w:val="1"/>
      <w:tblStyleColBandSize w:val="1"/>
      <w:tblCellMar>
        <w:left w:w="108" w:type="dxa"/>
        <w:right w:w="108" w:type="dxa"/>
      </w:tblCellMar>
    </w:tblPr>
  </w:style>
  <w:style w:type="table" w:customStyle="1" w:styleId="a0">
    <w:basedOn w:val="TableNormal10"/>
    <w:rsid w:val="00A424AD"/>
    <w:tblPr>
      <w:tblStyleRowBandSize w:val="1"/>
      <w:tblStyleColBandSize w:val="1"/>
      <w:tblCellMar>
        <w:left w:w="108" w:type="dxa"/>
        <w:right w:w="108" w:type="dxa"/>
      </w:tblCellMar>
    </w:tblPr>
  </w:style>
  <w:style w:type="table" w:customStyle="1" w:styleId="a1">
    <w:basedOn w:val="TableNormal10"/>
    <w:rsid w:val="00A424AD"/>
    <w:tblPr>
      <w:tblStyleRowBandSize w:val="1"/>
      <w:tblStyleColBandSize w:val="1"/>
      <w:tblCellMar>
        <w:left w:w="108" w:type="dxa"/>
        <w:right w:w="108" w:type="dxa"/>
      </w:tblCellMar>
    </w:tblPr>
  </w:style>
  <w:style w:type="table" w:customStyle="1" w:styleId="a2">
    <w:basedOn w:val="TableNormal10"/>
    <w:rsid w:val="00A424AD"/>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D3062C"/>
    <w:rPr>
      <w:sz w:val="16"/>
      <w:szCs w:val="16"/>
    </w:rPr>
  </w:style>
  <w:style w:type="paragraph" w:styleId="Textocomentario">
    <w:name w:val="annotation text"/>
    <w:basedOn w:val="Normal"/>
    <w:link w:val="TextocomentarioCar"/>
    <w:uiPriority w:val="99"/>
    <w:semiHidden/>
    <w:unhideWhenUsed/>
    <w:rsid w:val="00D306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062C"/>
    <w:rPr>
      <w:position w:val="-1"/>
      <w:sz w:val="20"/>
      <w:szCs w:val="20"/>
      <w:lang w:val="pt-BR" w:eastAsia="es-ES"/>
    </w:rPr>
  </w:style>
  <w:style w:type="paragraph" w:styleId="Asuntodelcomentario">
    <w:name w:val="annotation subject"/>
    <w:basedOn w:val="Textocomentario"/>
    <w:next w:val="Textocomentario"/>
    <w:link w:val="AsuntodelcomentarioCar"/>
    <w:uiPriority w:val="99"/>
    <w:semiHidden/>
    <w:unhideWhenUsed/>
    <w:rsid w:val="00D3062C"/>
    <w:rPr>
      <w:b/>
      <w:bCs/>
    </w:rPr>
  </w:style>
  <w:style w:type="character" w:customStyle="1" w:styleId="AsuntodelcomentarioCar">
    <w:name w:val="Asunto del comentario Car"/>
    <w:basedOn w:val="TextocomentarioCar"/>
    <w:link w:val="Asuntodelcomentario"/>
    <w:uiPriority w:val="99"/>
    <w:semiHidden/>
    <w:rsid w:val="00D3062C"/>
    <w:rPr>
      <w:b/>
      <w:bCs/>
      <w:position w:val="-1"/>
      <w:sz w:val="20"/>
      <w:szCs w:val="20"/>
      <w:lang w:val="pt-BR" w:eastAsia="es-ES"/>
    </w:rPr>
  </w:style>
  <w:style w:type="table" w:customStyle="1" w:styleId="a3">
    <w:basedOn w:val="TableNormal10"/>
    <w:rsid w:val="00A424AD"/>
    <w:tblPr>
      <w:tblStyleRowBandSize w:val="1"/>
      <w:tblStyleColBandSize w:val="1"/>
      <w:tblCellMar>
        <w:left w:w="108" w:type="dxa"/>
        <w:right w:w="108" w:type="dxa"/>
      </w:tblCellMar>
    </w:tblPr>
  </w:style>
  <w:style w:type="table" w:customStyle="1" w:styleId="a4">
    <w:basedOn w:val="TableNormal10"/>
    <w:rsid w:val="00A424AD"/>
    <w:tblPr>
      <w:tblStyleRowBandSize w:val="1"/>
      <w:tblStyleColBandSize w:val="1"/>
      <w:tblCellMar>
        <w:left w:w="108" w:type="dxa"/>
        <w:right w:w="108" w:type="dxa"/>
      </w:tblCellMar>
    </w:tblPr>
  </w:style>
  <w:style w:type="table" w:customStyle="1" w:styleId="a5">
    <w:basedOn w:val="TableNormal10"/>
    <w:rsid w:val="00A424AD"/>
    <w:tblPr>
      <w:tblStyleRowBandSize w:val="1"/>
      <w:tblStyleColBandSize w:val="1"/>
      <w:tblCellMar>
        <w:left w:w="108" w:type="dxa"/>
        <w:right w:w="108" w:type="dxa"/>
      </w:tblCellMar>
    </w:tblPr>
  </w:style>
  <w:style w:type="table" w:customStyle="1" w:styleId="a6">
    <w:basedOn w:val="TableNormal10"/>
    <w:rsid w:val="00A424AD"/>
    <w:tblPr>
      <w:tblStyleRowBandSize w:val="1"/>
      <w:tblStyleColBandSize w:val="1"/>
      <w:tblCellMar>
        <w:left w:w="108" w:type="dxa"/>
        <w:right w:w="108" w:type="dxa"/>
      </w:tblCellMar>
    </w:tblPr>
  </w:style>
  <w:style w:type="paragraph" w:styleId="Revisin">
    <w:name w:val="Revision"/>
    <w:hidden/>
    <w:uiPriority w:val="99"/>
    <w:semiHidden/>
    <w:rsid w:val="00E81D52"/>
    <w:pPr>
      <w:ind w:firstLine="0"/>
    </w:pPr>
    <w:rPr>
      <w:position w:val="-1"/>
    </w:rPr>
  </w:style>
  <w:style w:type="table" w:customStyle="1" w:styleId="a7">
    <w:basedOn w:val="TableNormal00"/>
    <w:rsid w:val="00E52BEA"/>
    <w:tblPr>
      <w:tblStyleRowBandSize w:val="1"/>
      <w:tblStyleColBandSize w:val="1"/>
      <w:tblCellMar>
        <w:left w:w="108" w:type="dxa"/>
        <w:right w:w="108" w:type="dxa"/>
      </w:tblCellMar>
    </w:tblPr>
  </w:style>
  <w:style w:type="table" w:customStyle="1" w:styleId="a8">
    <w:basedOn w:val="TableNormal00"/>
    <w:rsid w:val="00E52BEA"/>
    <w:tblPr>
      <w:tblStyleRowBandSize w:val="1"/>
      <w:tblStyleColBandSize w:val="1"/>
      <w:tblCellMar>
        <w:left w:w="108" w:type="dxa"/>
        <w:right w:w="108" w:type="dxa"/>
      </w:tblCellMar>
    </w:tblPr>
  </w:style>
  <w:style w:type="table" w:customStyle="1" w:styleId="a9">
    <w:basedOn w:val="TableNormal00"/>
    <w:rsid w:val="00E52BEA"/>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2WzaBrgsktDy41x5IFZC2ZOdg==">CgMxLjAyDmguazdrdGo4dHlybHFlMg5oLmo3ZDdqZHV4cjhhcDIOaC5rN2t0ajh0eXJscWUyCWguMWZvYjl0ZTIOaC5xdGNzcTU4aGFrdTI4AHIhMUo5MHZ1cGg4RjlUNVpXUWRDZXJicGRTYWgyR1pHVU5w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1223</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Ministerio de Desarrollo Productivos</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Aguerre</dc:creator>
  <cp:lastModifiedBy>María Eugenia Gómez Urbieta</cp:lastModifiedBy>
  <cp:revision>9</cp:revision>
  <dcterms:created xsi:type="dcterms:W3CDTF">2025-04-03T22:41:00Z</dcterms:created>
  <dcterms:modified xsi:type="dcterms:W3CDTF">2025-04-08T15:42:00Z</dcterms:modified>
</cp:coreProperties>
</file>