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33871" w14:textId="77777777" w:rsidR="007F6514" w:rsidRPr="009F6812" w:rsidRDefault="007F6514" w:rsidP="00933549">
      <w:pPr>
        <w:rPr>
          <w:rFonts w:cs="Arial"/>
          <w:b/>
          <w:szCs w:val="24"/>
        </w:rPr>
      </w:pPr>
      <w:r w:rsidRPr="009F6812">
        <w:rPr>
          <w:rFonts w:cs="Arial"/>
          <w:b/>
          <w:szCs w:val="24"/>
        </w:rPr>
        <w:t xml:space="preserve">MERCOSUR/CRPM-GTF/ACTA N° </w:t>
      </w:r>
      <w:r w:rsidR="008A6DA8">
        <w:rPr>
          <w:rFonts w:cs="Arial"/>
          <w:b/>
          <w:szCs w:val="24"/>
        </w:rPr>
        <w:t>02</w:t>
      </w:r>
      <w:r w:rsidRPr="009F6812">
        <w:rPr>
          <w:rFonts w:cs="Arial"/>
          <w:b/>
          <w:szCs w:val="24"/>
        </w:rPr>
        <w:t>/</w:t>
      </w:r>
      <w:r w:rsidR="000A728B" w:rsidRPr="009F6812">
        <w:rPr>
          <w:rFonts w:cs="Arial"/>
          <w:b/>
          <w:szCs w:val="24"/>
        </w:rPr>
        <w:t>2</w:t>
      </w:r>
      <w:r w:rsidR="00215EFC" w:rsidRPr="009F6812">
        <w:rPr>
          <w:rFonts w:cs="Arial"/>
          <w:b/>
          <w:szCs w:val="24"/>
        </w:rPr>
        <w:t>4</w:t>
      </w:r>
    </w:p>
    <w:p w14:paraId="35F938B8" w14:textId="77777777" w:rsidR="00D00F2D" w:rsidRPr="009F6812" w:rsidRDefault="00D00F2D" w:rsidP="00D00F2D">
      <w:pPr>
        <w:pStyle w:val="Sangradetextonormal"/>
        <w:overflowPunct w:val="0"/>
        <w:autoSpaceDE w:val="0"/>
        <w:autoSpaceDN w:val="0"/>
        <w:adjustRightInd w:val="0"/>
        <w:spacing w:after="0"/>
        <w:rPr>
          <w:rFonts w:ascii="Arial" w:hAnsi="Arial" w:cs="Arial"/>
          <w:b/>
          <w:lang w:val="pt-BR"/>
        </w:rPr>
      </w:pPr>
    </w:p>
    <w:p w14:paraId="3501B360" w14:textId="77777777" w:rsidR="0062100D" w:rsidRPr="009F6812" w:rsidRDefault="0062100D" w:rsidP="00D00F2D">
      <w:pPr>
        <w:pStyle w:val="Sangradetextonormal"/>
        <w:overflowPunct w:val="0"/>
        <w:autoSpaceDE w:val="0"/>
        <w:autoSpaceDN w:val="0"/>
        <w:adjustRightInd w:val="0"/>
        <w:spacing w:after="0"/>
        <w:rPr>
          <w:rFonts w:ascii="Arial" w:hAnsi="Arial" w:cs="Arial"/>
          <w:b/>
          <w:lang w:val="pt-BR"/>
        </w:rPr>
      </w:pPr>
    </w:p>
    <w:p w14:paraId="1D4B3D1F" w14:textId="77777777" w:rsidR="007F6514" w:rsidRPr="009F6812" w:rsidRDefault="007722D5" w:rsidP="00D00F2D">
      <w:pPr>
        <w:jc w:val="center"/>
        <w:rPr>
          <w:rFonts w:cs="Arial"/>
          <w:b/>
          <w:szCs w:val="24"/>
          <w:lang w:val="es-UY"/>
        </w:rPr>
      </w:pPr>
      <w:r w:rsidRPr="009F6812">
        <w:rPr>
          <w:rFonts w:cs="Arial"/>
          <w:b/>
          <w:szCs w:val="24"/>
          <w:lang w:val="es-UY"/>
        </w:rPr>
        <w:t>XX</w:t>
      </w:r>
      <w:r w:rsidR="00215EFC" w:rsidRPr="009F6812">
        <w:rPr>
          <w:rFonts w:cs="Arial"/>
          <w:b/>
          <w:szCs w:val="24"/>
          <w:lang w:val="es-UY"/>
        </w:rPr>
        <w:t>V</w:t>
      </w:r>
      <w:r w:rsidR="007F6514" w:rsidRPr="009F6812">
        <w:rPr>
          <w:rFonts w:cs="Arial"/>
          <w:b/>
          <w:szCs w:val="24"/>
          <w:lang w:val="es-UY"/>
        </w:rPr>
        <w:t xml:space="preserve"> REUNIÓN DEL GRUPO DE TRABAJO FOCEM DE LA CRPM (GTF)</w:t>
      </w:r>
    </w:p>
    <w:p w14:paraId="6A74A088" w14:textId="77777777" w:rsidR="007F6514" w:rsidRPr="009F6812" w:rsidRDefault="007F6514" w:rsidP="00D00F2D">
      <w:pPr>
        <w:jc w:val="both"/>
        <w:rPr>
          <w:rFonts w:cs="Arial"/>
          <w:b/>
          <w:szCs w:val="24"/>
          <w:lang w:val="es-UY"/>
        </w:rPr>
      </w:pPr>
    </w:p>
    <w:p w14:paraId="173F6C2F" w14:textId="77777777" w:rsidR="0062100D" w:rsidRPr="009F6812" w:rsidRDefault="0062100D" w:rsidP="00D00F2D">
      <w:pPr>
        <w:jc w:val="both"/>
        <w:rPr>
          <w:rFonts w:cs="Arial"/>
          <w:b/>
          <w:szCs w:val="24"/>
          <w:lang w:val="es-UY"/>
        </w:rPr>
      </w:pPr>
    </w:p>
    <w:p w14:paraId="7725F454" w14:textId="77777777" w:rsidR="0062100D" w:rsidRPr="009F6812" w:rsidRDefault="0062100D" w:rsidP="0062100D">
      <w:pPr>
        <w:jc w:val="both"/>
        <w:rPr>
          <w:rFonts w:cs="Arial"/>
          <w:szCs w:val="24"/>
          <w:lang w:val="es-ES"/>
        </w:rPr>
      </w:pPr>
      <w:r w:rsidRPr="009F6812">
        <w:rPr>
          <w:rFonts w:cs="Arial"/>
          <w:szCs w:val="24"/>
          <w:lang w:val="es-UY"/>
        </w:rPr>
        <w:t xml:space="preserve">Se realizó el </w:t>
      </w:r>
      <w:r w:rsidR="008A6DA8">
        <w:rPr>
          <w:rFonts w:cs="Arial"/>
          <w:szCs w:val="24"/>
          <w:lang w:val="es-ES"/>
        </w:rPr>
        <w:t>11</w:t>
      </w:r>
      <w:r w:rsidRPr="009F6812">
        <w:rPr>
          <w:rFonts w:cs="Arial"/>
          <w:szCs w:val="24"/>
          <w:lang w:val="es-ES"/>
        </w:rPr>
        <w:t xml:space="preserve"> de </w:t>
      </w:r>
      <w:r w:rsidR="008A6DA8">
        <w:rPr>
          <w:rFonts w:cs="Arial"/>
          <w:szCs w:val="24"/>
          <w:lang w:val="es-ES"/>
        </w:rPr>
        <w:t>noviembre</w:t>
      </w:r>
      <w:r w:rsidRPr="009F6812">
        <w:rPr>
          <w:rFonts w:cs="Arial"/>
          <w:szCs w:val="24"/>
          <w:lang w:val="es-ES"/>
        </w:rPr>
        <w:t xml:space="preserve"> de </w:t>
      </w:r>
      <w:r w:rsidR="00215EFC" w:rsidRPr="009F6812">
        <w:rPr>
          <w:rFonts w:cs="Arial"/>
          <w:szCs w:val="24"/>
          <w:lang w:val="es-ES"/>
        </w:rPr>
        <w:t>2024</w:t>
      </w:r>
      <w:r w:rsidRPr="009F6812">
        <w:rPr>
          <w:rFonts w:cs="Arial"/>
          <w:szCs w:val="24"/>
          <w:lang w:val="es-ES"/>
        </w:rPr>
        <w:t>, e</w:t>
      </w:r>
      <w:r w:rsidRPr="009F6812">
        <w:rPr>
          <w:rFonts w:cs="Arial"/>
          <w:szCs w:val="24"/>
          <w:lang w:val="es-UY"/>
        </w:rPr>
        <w:t xml:space="preserve">n ejercicio de la Presidencia </w:t>
      </w:r>
      <w:r w:rsidRPr="009F6812">
        <w:rPr>
          <w:rFonts w:cs="Arial"/>
          <w:i/>
          <w:iCs/>
          <w:szCs w:val="24"/>
          <w:lang w:val="es-UY"/>
        </w:rPr>
        <w:t>Pro Tempore</w:t>
      </w:r>
      <w:r w:rsidRPr="009F6812">
        <w:rPr>
          <w:rFonts w:cs="Arial"/>
          <w:szCs w:val="24"/>
          <w:lang w:val="es-UY"/>
        </w:rPr>
        <w:t xml:space="preserve"> </w:t>
      </w:r>
      <w:r w:rsidR="00215EFC" w:rsidRPr="009F6812">
        <w:rPr>
          <w:rFonts w:cs="Arial"/>
          <w:szCs w:val="24"/>
          <w:lang w:val="es-UY"/>
        </w:rPr>
        <w:t xml:space="preserve">de </w:t>
      </w:r>
      <w:r w:rsidR="008A6DA8">
        <w:rPr>
          <w:rFonts w:cs="Arial"/>
          <w:szCs w:val="24"/>
          <w:lang w:val="es-UY"/>
        </w:rPr>
        <w:t>Uruguay</w:t>
      </w:r>
      <w:r w:rsidRPr="009F6812">
        <w:rPr>
          <w:rFonts w:cs="Arial"/>
          <w:szCs w:val="24"/>
          <w:lang w:val="es-UY"/>
        </w:rPr>
        <w:t xml:space="preserve"> (</w:t>
      </w:r>
      <w:r w:rsidR="007722D5" w:rsidRPr="009F6812">
        <w:rPr>
          <w:rFonts w:cs="Arial"/>
          <w:szCs w:val="24"/>
          <w:lang w:val="es-UY"/>
        </w:rPr>
        <w:t>PPT</w:t>
      </w:r>
      <w:r w:rsidR="008A6DA8">
        <w:rPr>
          <w:rFonts w:cs="Arial"/>
          <w:szCs w:val="24"/>
          <w:lang w:val="es-UY"/>
        </w:rPr>
        <w:t>U</w:t>
      </w:r>
      <w:r w:rsidRPr="009F6812">
        <w:rPr>
          <w:rFonts w:cs="Arial"/>
          <w:szCs w:val="24"/>
          <w:lang w:val="es-UY"/>
        </w:rPr>
        <w:t xml:space="preserve">), la </w:t>
      </w:r>
      <w:r w:rsidR="007722D5" w:rsidRPr="009F6812">
        <w:rPr>
          <w:rFonts w:cs="Arial"/>
          <w:szCs w:val="24"/>
          <w:lang w:val="es-UY"/>
        </w:rPr>
        <w:t>XX</w:t>
      </w:r>
      <w:r w:rsidR="00215EFC" w:rsidRPr="009F6812">
        <w:rPr>
          <w:rFonts w:cs="Arial"/>
          <w:szCs w:val="24"/>
          <w:lang w:val="es-UY"/>
        </w:rPr>
        <w:t>V</w:t>
      </w:r>
      <w:r w:rsidRPr="009F6812">
        <w:rPr>
          <w:rFonts w:cs="Arial"/>
          <w:szCs w:val="24"/>
          <w:lang w:val="es-UY"/>
        </w:rPr>
        <w:t xml:space="preserve"> Reunión del Grupo de Trabajo FOCEM de la Comisión de Representantes Permanentes del MERCOSUR (GTF)</w:t>
      </w:r>
      <w:r w:rsidRPr="009F6812">
        <w:rPr>
          <w:rFonts w:cs="Arial"/>
          <w:szCs w:val="24"/>
          <w:lang w:val="es-ES"/>
        </w:rPr>
        <w:t xml:space="preserve">, por sistema de </w:t>
      </w:r>
      <w:r w:rsidRPr="009F6812">
        <w:rPr>
          <w:rFonts w:cs="Arial"/>
          <w:szCs w:val="24"/>
          <w:lang w:val="es-UY"/>
        </w:rPr>
        <w:t>videoconferenci</w:t>
      </w:r>
      <w:r w:rsidRPr="009F6812">
        <w:rPr>
          <w:rFonts w:cs="Arial"/>
          <w:spacing w:val="-1"/>
          <w:szCs w:val="24"/>
          <w:lang w:val="es-UY"/>
        </w:rPr>
        <w:t>a</w:t>
      </w:r>
      <w:r w:rsidRPr="009F6812">
        <w:rPr>
          <w:rFonts w:eastAsia="Arial" w:cs="Arial"/>
          <w:szCs w:val="24"/>
          <w:lang w:val="es-UY"/>
        </w:rPr>
        <w:t xml:space="preserve"> de conformidad con lo dispuesto en la </w:t>
      </w:r>
      <w:r w:rsidRPr="009F6812">
        <w:rPr>
          <w:rFonts w:cs="Arial"/>
          <w:szCs w:val="24"/>
          <w:lang w:val="es-UY"/>
        </w:rPr>
        <w:t xml:space="preserve">Resolución GMC </w:t>
      </w:r>
      <w:proofErr w:type="spellStart"/>
      <w:r w:rsidRPr="009F6812">
        <w:rPr>
          <w:rFonts w:cs="Arial"/>
          <w:szCs w:val="24"/>
          <w:lang w:val="es-UY"/>
        </w:rPr>
        <w:t>N°</w:t>
      </w:r>
      <w:proofErr w:type="spellEnd"/>
      <w:r w:rsidRPr="009F6812">
        <w:rPr>
          <w:rFonts w:cs="Arial"/>
          <w:szCs w:val="24"/>
          <w:lang w:val="es-UY"/>
        </w:rPr>
        <w:t xml:space="preserve"> 19/12, con la</w:t>
      </w:r>
      <w:r w:rsidRPr="009F6812">
        <w:rPr>
          <w:rFonts w:cs="Arial"/>
          <w:szCs w:val="24"/>
          <w:lang w:val="es-ES"/>
        </w:rPr>
        <w:t xml:space="preserve"> participación de las delegaciones de Argentina, Brasil, Paraguay y Uruguay.  La reunión contó también con la participación </w:t>
      </w:r>
      <w:r w:rsidR="00933549" w:rsidRPr="009F6812">
        <w:rPr>
          <w:rFonts w:cs="Arial"/>
          <w:szCs w:val="24"/>
          <w:lang w:val="es-ES"/>
        </w:rPr>
        <w:t xml:space="preserve">de la </w:t>
      </w:r>
      <w:r w:rsidRPr="009F6812">
        <w:rPr>
          <w:rFonts w:cs="Arial"/>
          <w:szCs w:val="24"/>
          <w:lang w:val="es-UY"/>
        </w:rPr>
        <w:t>Unidad Técnica FOCEM (UTF).</w:t>
      </w:r>
    </w:p>
    <w:p w14:paraId="061B2FA2" w14:textId="77777777" w:rsidR="0062100D" w:rsidRPr="009F6812" w:rsidRDefault="0062100D" w:rsidP="00D00F2D">
      <w:pPr>
        <w:jc w:val="both"/>
        <w:rPr>
          <w:rFonts w:cs="Arial"/>
          <w:szCs w:val="24"/>
          <w:lang w:val="es-UY"/>
        </w:rPr>
      </w:pPr>
    </w:p>
    <w:p w14:paraId="5BFF09BB" w14:textId="77777777" w:rsidR="007F6514" w:rsidRPr="00DD39D3" w:rsidRDefault="007F6514" w:rsidP="00D00F2D">
      <w:pPr>
        <w:jc w:val="both"/>
        <w:rPr>
          <w:rFonts w:cs="Arial"/>
          <w:b/>
          <w:szCs w:val="24"/>
        </w:rPr>
      </w:pPr>
      <w:r w:rsidRPr="00DD39D3">
        <w:rPr>
          <w:rFonts w:cs="Arial"/>
          <w:szCs w:val="24"/>
        </w:rPr>
        <w:t xml:space="preserve">La Lista de Participantes consta como </w:t>
      </w:r>
      <w:r w:rsidR="00A74E3C" w:rsidRPr="00DD39D3">
        <w:rPr>
          <w:rFonts w:cs="Arial"/>
          <w:b/>
          <w:szCs w:val="24"/>
        </w:rPr>
        <w:t>Anexo</w:t>
      </w:r>
      <w:r w:rsidRPr="00DD39D3">
        <w:rPr>
          <w:rFonts w:cs="Arial"/>
          <w:b/>
          <w:szCs w:val="24"/>
        </w:rPr>
        <w:t xml:space="preserve"> I.</w:t>
      </w:r>
    </w:p>
    <w:p w14:paraId="62252765" w14:textId="77777777" w:rsidR="007F6514" w:rsidRPr="00DD39D3" w:rsidRDefault="007F6514" w:rsidP="00D00F2D">
      <w:pPr>
        <w:jc w:val="both"/>
        <w:rPr>
          <w:rFonts w:cs="Arial"/>
          <w:szCs w:val="24"/>
        </w:rPr>
      </w:pPr>
    </w:p>
    <w:p w14:paraId="46652D13" w14:textId="77777777" w:rsidR="007F6514" w:rsidRPr="009F6812" w:rsidRDefault="007F6514" w:rsidP="00D00F2D">
      <w:pPr>
        <w:jc w:val="both"/>
        <w:rPr>
          <w:rFonts w:cs="Arial"/>
          <w:szCs w:val="24"/>
          <w:lang w:val="es-UY"/>
        </w:rPr>
      </w:pPr>
      <w:r w:rsidRPr="009F6812">
        <w:rPr>
          <w:rFonts w:cs="Arial"/>
          <w:szCs w:val="24"/>
          <w:lang w:val="es-UY"/>
        </w:rPr>
        <w:t xml:space="preserve">La Agenda de la Reunión consta como </w:t>
      </w:r>
      <w:r w:rsidR="00A74E3C" w:rsidRPr="009F6812">
        <w:rPr>
          <w:rFonts w:cs="Arial"/>
          <w:b/>
          <w:szCs w:val="24"/>
          <w:lang w:val="es-UY"/>
        </w:rPr>
        <w:t xml:space="preserve">Anexo </w:t>
      </w:r>
      <w:r w:rsidRPr="009F6812">
        <w:rPr>
          <w:rFonts w:cs="Arial"/>
          <w:b/>
          <w:szCs w:val="24"/>
          <w:lang w:val="es-UY"/>
        </w:rPr>
        <w:t>II.</w:t>
      </w:r>
    </w:p>
    <w:p w14:paraId="327F1482" w14:textId="77777777" w:rsidR="007F6514" w:rsidRPr="009F6812" w:rsidRDefault="007F6514" w:rsidP="00D00F2D">
      <w:pPr>
        <w:jc w:val="both"/>
        <w:rPr>
          <w:rFonts w:cs="Arial"/>
          <w:szCs w:val="24"/>
          <w:lang w:val="es-UY"/>
        </w:rPr>
      </w:pPr>
    </w:p>
    <w:p w14:paraId="50429A90" w14:textId="77777777" w:rsidR="007F6514" w:rsidRPr="009F6812" w:rsidRDefault="007F6514" w:rsidP="00D00F2D">
      <w:pPr>
        <w:jc w:val="both"/>
        <w:rPr>
          <w:rFonts w:cs="Arial"/>
          <w:szCs w:val="24"/>
          <w:lang w:val="es-UY"/>
        </w:rPr>
      </w:pPr>
      <w:r w:rsidRPr="009F6812">
        <w:rPr>
          <w:rFonts w:cs="Arial"/>
          <w:szCs w:val="24"/>
          <w:lang w:val="es-UY"/>
        </w:rPr>
        <w:t xml:space="preserve">En la Reunión fueron tratados los siguientes </w:t>
      </w:r>
      <w:r w:rsidR="00F2581D" w:rsidRPr="009F6812">
        <w:rPr>
          <w:rFonts w:cs="Arial"/>
          <w:szCs w:val="24"/>
          <w:lang w:val="es-UY"/>
        </w:rPr>
        <w:t>asuntos</w:t>
      </w:r>
      <w:r w:rsidRPr="009F6812">
        <w:rPr>
          <w:rFonts w:cs="Arial"/>
          <w:szCs w:val="24"/>
          <w:lang w:val="es-UY"/>
        </w:rPr>
        <w:t xml:space="preserve">: </w:t>
      </w:r>
    </w:p>
    <w:p w14:paraId="26307043" w14:textId="77777777" w:rsidR="007F6514" w:rsidRPr="009F6812" w:rsidRDefault="007F6514" w:rsidP="00D00F2D">
      <w:pPr>
        <w:jc w:val="center"/>
        <w:rPr>
          <w:rFonts w:cs="Arial"/>
          <w:b/>
          <w:szCs w:val="24"/>
          <w:u w:val="single"/>
          <w:lang w:val="es-UY"/>
        </w:rPr>
      </w:pPr>
    </w:p>
    <w:p w14:paraId="2B4F8E09" w14:textId="77777777" w:rsidR="007F6514" w:rsidRPr="009F6812" w:rsidRDefault="007F6514" w:rsidP="00D00F2D">
      <w:pPr>
        <w:jc w:val="center"/>
        <w:rPr>
          <w:rFonts w:cs="Arial"/>
          <w:b/>
          <w:szCs w:val="24"/>
          <w:lang w:val="es-UY"/>
        </w:rPr>
      </w:pPr>
    </w:p>
    <w:p w14:paraId="2608C4FD" w14:textId="77777777" w:rsidR="007F6514" w:rsidRPr="009F6812" w:rsidRDefault="001130D3" w:rsidP="00D00F2D">
      <w:pPr>
        <w:numPr>
          <w:ilvl w:val="0"/>
          <w:numId w:val="7"/>
        </w:numPr>
        <w:tabs>
          <w:tab w:val="num" w:pos="540"/>
        </w:tabs>
        <w:overflowPunct w:val="0"/>
        <w:autoSpaceDE w:val="0"/>
        <w:autoSpaceDN w:val="0"/>
        <w:adjustRightInd w:val="0"/>
        <w:ind w:hanging="1080"/>
        <w:rPr>
          <w:rFonts w:cs="Arial"/>
          <w:color w:val="000000"/>
          <w:szCs w:val="24"/>
          <w:lang w:val="es-UY"/>
        </w:rPr>
      </w:pPr>
      <w:r w:rsidRPr="009F6812">
        <w:rPr>
          <w:rFonts w:cs="Arial"/>
          <w:b/>
          <w:color w:val="000000"/>
          <w:szCs w:val="24"/>
          <w:lang w:val="es-UY"/>
        </w:rPr>
        <w:t>ESTADO DE SITUACIÓ</w:t>
      </w:r>
      <w:r w:rsidR="007F6514" w:rsidRPr="009F6812">
        <w:rPr>
          <w:rFonts w:cs="Arial"/>
          <w:b/>
          <w:color w:val="000000"/>
          <w:szCs w:val="24"/>
          <w:lang w:val="es-UY"/>
        </w:rPr>
        <w:t>N DE LOS RECURSOS DEL FOCEM</w:t>
      </w:r>
    </w:p>
    <w:p w14:paraId="3979EFF5" w14:textId="77777777" w:rsidR="007F6514" w:rsidRPr="009F6812" w:rsidRDefault="007F6514" w:rsidP="00D00F2D">
      <w:pPr>
        <w:ind w:left="1080"/>
        <w:rPr>
          <w:rFonts w:cs="Arial"/>
          <w:color w:val="000000"/>
          <w:szCs w:val="24"/>
          <w:lang w:val="es-UY"/>
        </w:rPr>
      </w:pPr>
    </w:p>
    <w:p w14:paraId="15F75FE0" w14:textId="77777777" w:rsidR="007F6514" w:rsidRPr="009F6812" w:rsidRDefault="007F6514" w:rsidP="00215EFC">
      <w:pPr>
        <w:numPr>
          <w:ilvl w:val="1"/>
          <w:numId w:val="7"/>
        </w:numPr>
        <w:tabs>
          <w:tab w:val="clear" w:pos="2130"/>
          <w:tab w:val="num" w:pos="851"/>
          <w:tab w:val="num" w:pos="1276"/>
        </w:tabs>
        <w:overflowPunct w:val="0"/>
        <w:autoSpaceDE w:val="0"/>
        <w:autoSpaceDN w:val="0"/>
        <w:adjustRightInd w:val="0"/>
        <w:ind w:left="1418" w:hanging="1276"/>
        <w:jc w:val="both"/>
        <w:rPr>
          <w:rFonts w:cs="Arial"/>
          <w:b/>
          <w:color w:val="000000"/>
          <w:szCs w:val="24"/>
          <w:lang w:val="es-UY"/>
        </w:rPr>
      </w:pPr>
      <w:r w:rsidRPr="009F6812">
        <w:rPr>
          <w:rFonts w:cs="Arial"/>
          <w:b/>
          <w:color w:val="000000"/>
          <w:szCs w:val="24"/>
          <w:lang w:val="es-UY"/>
        </w:rPr>
        <w:t xml:space="preserve">Situación de </w:t>
      </w:r>
      <w:r w:rsidR="00215EFC" w:rsidRPr="009F6812">
        <w:rPr>
          <w:rFonts w:cs="Arial"/>
          <w:b/>
          <w:color w:val="000000"/>
          <w:szCs w:val="24"/>
          <w:lang w:val="es-UY"/>
        </w:rPr>
        <w:t xml:space="preserve">las </w:t>
      </w:r>
      <w:r w:rsidR="000A728B" w:rsidRPr="009F6812">
        <w:rPr>
          <w:rFonts w:cs="Arial"/>
          <w:b/>
          <w:color w:val="000000"/>
          <w:szCs w:val="24"/>
          <w:lang w:val="es-UY"/>
        </w:rPr>
        <w:t>disponibilidades</w:t>
      </w:r>
      <w:r w:rsidR="00215EFC" w:rsidRPr="009F6812">
        <w:rPr>
          <w:rFonts w:cs="Arial"/>
          <w:b/>
          <w:color w:val="000000"/>
          <w:szCs w:val="24"/>
          <w:lang w:val="es-UY"/>
        </w:rPr>
        <w:t xml:space="preserve"> bancarias y colocaciones financieras</w:t>
      </w:r>
    </w:p>
    <w:p w14:paraId="4E25CDFF" w14:textId="77777777" w:rsidR="00215EFC" w:rsidRPr="009F6812" w:rsidRDefault="00215EFC" w:rsidP="00D00F2D">
      <w:pPr>
        <w:tabs>
          <w:tab w:val="left" w:pos="1134"/>
        </w:tabs>
        <w:ind w:left="2130"/>
        <w:rPr>
          <w:rFonts w:cs="Arial"/>
          <w:color w:val="000000"/>
          <w:szCs w:val="24"/>
          <w:lang w:val="es-UY"/>
        </w:rPr>
      </w:pPr>
    </w:p>
    <w:p w14:paraId="1B5C7D44" w14:textId="77777777" w:rsidR="00542760" w:rsidRPr="009F6812" w:rsidRDefault="00542760" w:rsidP="00542760">
      <w:pPr>
        <w:numPr>
          <w:ilvl w:val="2"/>
          <w:numId w:val="7"/>
        </w:numPr>
        <w:tabs>
          <w:tab w:val="clear" w:pos="2820"/>
          <w:tab w:val="left" w:pos="1134"/>
        </w:tabs>
        <w:ind w:hanging="1969"/>
        <w:rPr>
          <w:rFonts w:cs="Arial"/>
          <w:b/>
          <w:bCs/>
          <w:color w:val="000000"/>
          <w:szCs w:val="24"/>
          <w:lang w:val="es-UY"/>
        </w:rPr>
      </w:pPr>
      <w:r w:rsidRPr="009F6812">
        <w:rPr>
          <w:rFonts w:cs="Arial"/>
          <w:b/>
          <w:bCs/>
          <w:color w:val="000000"/>
          <w:szCs w:val="24"/>
          <w:lang w:val="es-UY"/>
        </w:rPr>
        <w:t xml:space="preserve">Disponibilidades bancarias al </w:t>
      </w:r>
      <w:r w:rsidR="008A6DA8">
        <w:rPr>
          <w:rFonts w:cs="Arial"/>
          <w:b/>
          <w:bCs/>
          <w:color w:val="000000"/>
          <w:szCs w:val="24"/>
          <w:lang w:val="es-UY"/>
        </w:rPr>
        <w:t>30</w:t>
      </w:r>
      <w:r w:rsidRPr="009F6812">
        <w:rPr>
          <w:rFonts w:cs="Arial"/>
          <w:b/>
          <w:bCs/>
          <w:color w:val="000000"/>
          <w:szCs w:val="24"/>
          <w:lang w:val="es-UY"/>
        </w:rPr>
        <w:t>/0</w:t>
      </w:r>
      <w:r w:rsidR="008A6DA8">
        <w:rPr>
          <w:rFonts w:cs="Arial"/>
          <w:b/>
          <w:bCs/>
          <w:color w:val="000000"/>
          <w:szCs w:val="24"/>
          <w:lang w:val="es-UY"/>
        </w:rPr>
        <w:t>9</w:t>
      </w:r>
      <w:r w:rsidRPr="009F6812">
        <w:rPr>
          <w:rFonts w:cs="Arial"/>
          <w:b/>
          <w:bCs/>
          <w:color w:val="000000"/>
          <w:szCs w:val="24"/>
          <w:lang w:val="es-UY"/>
        </w:rPr>
        <w:t>/24</w:t>
      </w:r>
    </w:p>
    <w:p w14:paraId="463E5412" w14:textId="77777777" w:rsidR="00542760" w:rsidRPr="009F6812" w:rsidRDefault="00542760" w:rsidP="00542760">
      <w:pPr>
        <w:tabs>
          <w:tab w:val="left" w:pos="1134"/>
        </w:tabs>
        <w:ind w:left="2820"/>
        <w:rPr>
          <w:rFonts w:cs="Arial"/>
          <w:color w:val="000000"/>
          <w:szCs w:val="24"/>
          <w:lang w:val="es-UY"/>
        </w:rPr>
      </w:pPr>
    </w:p>
    <w:p w14:paraId="602C237C" w14:textId="77777777" w:rsidR="00C074FE" w:rsidRPr="009F6812" w:rsidRDefault="00215EFC" w:rsidP="005E21EB">
      <w:pPr>
        <w:jc w:val="both"/>
        <w:rPr>
          <w:rFonts w:cs="Arial"/>
          <w:szCs w:val="24"/>
          <w:lang w:val="es-UY"/>
        </w:rPr>
      </w:pPr>
      <w:r w:rsidRPr="009F6812">
        <w:rPr>
          <w:rFonts w:cs="Arial"/>
          <w:szCs w:val="24"/>
          <w:lang w:val="es-UY"/>
        </w:rPr>
        <w:t>La</w:t>
      </w:r>
      <w:r w:rsidR="00FA3CA2" w:rsidRPr="009F6812">
        <w:rPr>
          <w:rFonts w:cs="Arial"/>
          <w:szCs w:val="24"/>
          <w:lang w:val="es-UY"/>
        </w:rPr>
        <w:t xml:space="preserve"> UTF informó las </w:t>
      </w:r>
      <w:r w:rsidR="00C074FE" w:rsidRPr="009F6812">
        <w:rPr>
          <w:rFonts w:cs="Arial"/>
          <w:szCs w:val="24"/>
          <w:lang w:val="es-UY"/>
        </w:rPr>
        <w:t xml:space="preserve">disponibilidades bancarias </w:t>
      </w:r>
      <w:r w:rsidR="00B12C77" w:rsidRPr="009F6812">
        <w:rPr>
          <w:rFonts w:cs="Arial"/>
          <w:szCs w:val="24"/>
          <w:lang w:val="es-UY"/>
        </w:rPr>
        <w:t xml:space="preserve">al </w:t>
      </w:r>
      <w:r w:rsidR="008A6DA8">
        <w:rPr>
          <w:rFonts w:cs="Arial"/>
          <w:szCs w:val="24"/>
          <w:lang w:val="es-UY"/>
        </w:rPr>
        <w:t>30</w:t>
      </w:r>
      <w:r w:rsidR="00B12C77" w:rsidRPr="009F6812">
        <w:rPr>
          <w:rFonts w:cs="Arial"/>
          <w:szCs w:val="24"/>
          <w:lang w:val="es-UY"/>
        </w:rPr>
        <w:t>/0</w:t>
      </w:r>
      <w:r w:rsidR="008A6DA8">
        <w:rPr>
          <w:rFonts w:cs="Arial"/>
          <w:szCs w:val="24"/>
          <w:lang w:val="es-UY"/>
        </w:rPr>
        <w:t>9</w:t>
      </w:r>
      <w:r w:rsidR="00B12C77" w:rsidRPr="009F6812">
        <w:rPr>
          <w:rFonts w:cs="Arial"/>
          <w:szCs w:val="24"/>
          <w:lang w:val="es-UY"/>
        </w:rPr>
        <w:t>/2</w:t>
      </w:r>
      <w:r w:rsidRPr="009F6812">
        <w:rPr>
          <w:rFonts w:cs="Arial"/>
          <w:szCs w:val="24"/>
          <w:lang w:val="es-UY"/>
        </w:rPr>
        <w:t>4</w:t>
      </w:r>
      <w:r w:rsidR="00927573" w:rsidRPr="009F6812">
        <w:rPr>
          <w:rFonts w:cs="Arial"/>
          <w:szCs w:val="24"/>
          <w:lang w:val="es-UY"/>
        </w:rPr>
        <w:t xml:space="preserve"> (US$</w:t>
      </w:r>
      <w:r w:rsidR="00703E1E" w:rsidRPr="009F6812">
        <w:rPr>
          <w:rFonts w:cs="Arial"/>
          <w:szCs w:val="24"/>
          <w:lang w:val="es-UY"/>
        </w:rPr>
        <w:t xml:space="preserve"> </w:t>
      </w:r>
      <w:r w:rsidR="008A6DA8">
        <w:rPr>
          <w:rFonts w:cs="Arial"/>
          <w:szCs w:val="24"/>
          <w:lang w:val="es-UY"/>
        </w:rPr>
        <w:t>17</w:t>
      </w:r>
      <w:r w:rsidR="00FA3CA2" w:rsidRPr="009F6812">
        <w:rPr>
          <w:rFonts w:cs="Arial"/>
          <w:szCs w:val="24"/>
          <w:lang w:val="es-UY"/>
        </w:rPr>
        <w:t>.</w:t>
      </w:r>
      <w:r w:rsidRPr="009F6812">
        <w:rPr>
          <w:rFonts w:cs="Arial"/>
          <w:szCs w:val="24"/>
          <w:lang w:val="es-UY"/>
        </w:rPr>
        <w:t>1</w:t>
      </w:r>
      <w:r w:rsidR="008A6DA8">
        <w:rPr>
          <w:rFonts w:cs="Arial"/>
          <w:szCs w:val="24"/>
          <w:lang w:val="es-UY"/>
        </w:rPr>
        <w:t>17</w:t>
      </w:r>
      <w:r w:rsidR="00FA3CA2" w:rsidRPr="009F6812">
        <w:rPr>
          <w:rFonts w:cs="Arial"/>
          <w:szCs w:val="24"/>
          <w:lang w:val="es-UY"/>
        </w:rPr>
        <w:t>.</w:t>
      </w:r>
      <w:r w:rsidR="008A6DA8">
        <w:rPr>
          <w:rFonts w:cs="Arial"/>
          <w:szCs w:val="24"/>
          <w:lang w:val="es-UY"/>
        </w:rPr>
        <w:t>567</w:t>
      </w:r>
      <w:r w:rsidR="00927573" w:rsidRPr="009F6812">
        <w:rPr>
          <w:rFonts w:cs="Arial"/>
          <w:szCs w:val="24"/>
          <w:lang w:val="es-UY"/>
        </w:rPr>
        <w:t>)</w:t>
      </w:r>
      <w:r w:rsidR="00B12C77" w:rsidRPr="009F6812">
        <w:rPr>
          <w:rFonts w:cs="Arial"/>
          <w:szCs w:val="24"/>
          <w:lang w:val="es-UY"/>
        </w:rPr>
        <w:t xml:space="preserve"> </w:t>
      </w:r>
      <w:r w:rsidR="00C074FE" w:rsidRPr="009F6812">
        <w:rPr>
          <w:rFonts w:cs="Arial"/>
          <w:szCs w:val="24"/>
          <w:lang w:val="es-UY"/>
        </w:rPr>
        <w:t xml:space="preserve">y el detalle de las colocaciones de recursos </w:t>
      </w:r>
      <w:r w:rsidR="00910E92" w:rsidRPr="009F6812">
        <w:rPr>
          <w:rFonts w:cs="Arial"/>
          <w:szCs w:val="24"/>
          <w:lang w:val="es-UY"/>
        </w:rPr>
        <w:t>que se mantienen en</w:t>
      </w:r>
      <w:r w:rsidR="00C074FE" w:rsidRPr="009F6812">
        <w:rPr>
          <w:rFonts w:cs="Arial"/>
          <w:szCs w:val="24"/>
          <w:lang w:val="es-UY"/>
        </w:rPr>
        <w:t xml:space="preserve"> plazos fijos</w:t>
      </w:r>
      <w:r w:rsidR="00927573" w:rsidRPr="009F6812">
        <w:rPr>
          <w:rFonts w:cs="Arial"/>
          <w:szCs w:val="24"/>
          <w:lang w:val="es-UY"/>
        </w:rPr>
        <w:t xml:space="preserve"> (US$ </w:t>
      </w:r>
      <w:r w:rsidR="008A6DA8">
        <w:rPr>
          <w:rFonts w:cs="Arial"/>
          <w:szCs w:val="24"/>
          <w:lang w:val="es-UY"/>
        </w:rPr>
        <w:t>162</w:t>
      </w:r>
      <w:r w:rsidR="00FA3CA2" w:rsidRPr="009F6812">
        <w:rPr>
          <w:rFonts w:cs="Arial"/>
          <w:szCs w:val="24"/>
          <w:lang w:val="es-UY"/>
        </w:rPr>
        <w:t>.</w:t>
      </w:r>
      <w:r w:rsidR="008A6DA8">
        <w:rPr>
          <w:rFonts w:cs="Arial"/>
          <w:szCs w:val="24"/>
          <w:lang w:val="es-UY"/>
        </w:rPr>
        <w:t>626</w:t>
      </w:r>
      <w:r w:rsidR="00FA3CA2" w:rsidRPr="009F6812">
        <w:rPr>
          <w:rFonts w:cs="Arial"/>
          <w:szCs w:val="24"/>
          <w:lang w:val="es-UY"/>
        </w:rPr>
        <w:t>.000</w:t>
      </w:r>
      <w:r w:rsidR="00D245F1" w:rsidRPr="009F6812">
        <w:rPr>
          <w:rFonts w:cs="Arial"/>
          <w:szCs w:val="24"/>
          <w:lang w:val="es-UY"/>
        </w:rPr>
        <w:t>)</w:t>
      </w:r>
      <w:r w:rsidR="004F4EC5" w:rsidRPr="009F6812">
        <w:rPr>
          <w:rFonts w:cs="Arial"/>
          <w:szCs w:val="24"/>
          <w:lang w:val="es-UY"/>
        </w:rPr>
        <w:t>,</w:t>
      </w:r>
      <w:r w:rsidR="00D245F1" w:rsidRPr="009F6812">
        <w:rPr>
          <w:rFonts w:cs="Arial"/>
          <w:szCs w:val="24"/>
          <w:lang w:val="es-UY"/>
        </w:rPr>
        <w:t xml:space="preserve"> </w:t>
      </w:r>
      <w:r w:rsidR="00E77480" w:rsidRPr="009F6812">
        <w:rPr>
          <w:rFonts w:cs="Arial"/>
          <w:szCs w:val="24"/>
          <w:lang w:val="es-UY"/>
        </w:rPr>
        <w:t xml:space="preserve">los cuales incluyen </w:t>
      </w:r>
      <w:r w:rsidR="00A82E37" w:rsidRPr="009F6812">
        <w:rPr>
          <w:rFonts w:cs="Arial"/>
          <w:szCs w:val="24"/>
          <w:lang w:val="es-UY"/>
        </w:rPr>
        <w:t xml:space="preserve">US$ </w:t>
      </w:r>
      <w:r w:rsidRPr="009F6812">
        <w:rPr>
          <w:rFonts w:cs="Arial"/>
          <w:szCs w:val="24"/>
          <w:lang w:val="es-UY"/>
        </w:rPr>
        <w:t>10.000.000</w:t>
      </w:r>
      <w:r w:rsidR="00703E1E" w:rsidRPr="009F6812">
        <w:rPr>
          <w:rFonts w:cs="Arial"/>
          <w:szCs w:val="24"/>
          <w:lang w:val="es-UY"/>
        </w:rPr>
        <w:t xml:space="preserve"> </w:t>
      </w:r>
      <w:r w:rsidR="00FA7FFA" w:rsidRPr="009F6812">
        <w:rPr>
          <w:rFonts w:cs="Arial"/>
          <w:szCs w:val="24"/>
          <w:lang w:val="es-UY"/>
        </w:rPr>
        <w:t>correspondientes al respaldo en efectivo de los créditos de la reserva de contingencia</w:t>
      </w:r>
      <w:r w:rsidR="00DC0A44">
        <w:rPr>
          <w:rFonts w:cs="Arial"/>
          <w:szCs w:val="24"/>
          <w:lang w:val="es-UY"/>
        </w:rPr>
        <w:t xml:space="preserve"> del año 2024</w:t>
      </w:r>
      <w:r w:rsidR="00927573" w:rsidRPr="009F6812">
        <w:rPr>
          <w:rFonts w:cs="Arial"/>
          <w:szCs w:val="24"/>
          <w:lang w:val="es-UY"/>
        </w:rPr>
        <w:t xml:space="preserve">. La información detallada consta como </w:t>
      </w:r>
      <w:r w:rsidR="00A74E3C" w:rsidRPr="009F6812">
        <w:rPr>
          <w:rFonts w:cs="Arial"/>
          <w:b/>
          <w:szCs w:val="24"/>
          <w:lang w:val="es-UY"/>
        </w:rPr>
        <w:t xml:space="preserve">Anexo </w:t>
      </w:r>
      <w:r w:rsidR="00C074FE" w:rsidRPr="009F6812">
        <w:rPr>
          <w:rFonts w:cs="Arial"/>
          <w:b/>
          <w:szCs w:val="24"/>
          <w:lang w:val="es-UY"/>
        </w:rPr>
        <w:t>I</w:t>
      </w:r>
      <w:r w:rsidRPr="009F6812">
        <w:rPr>
          <w:rFonts w:cs="Arial"/>
          <w:b/>
          <w:szCs w:val="24"/>
          <w:lang w:val="es-UY"/>
        </w:rPr>
        <w:t>II</w:t>
      </w:r>
      <w:r w:rsidR="00927573" w:rsidRPr="009F6812">
        <w:rPr>
          <w:rFonts w:cs="Arial"/>
          <w:szCs w:val="24"/>
          <w:lang w:val="es-UY"/>
        </w:rPr>
        <w:t>.</w:t>
      </w:r>
    </w:p>
    <w:p w14:paraId="185A29EF" w14:textId="77777777" w:rsidR="00A14C5D" w:rsidRPr="009F6812" w:rsidRDefault="00A14C5D" w:rsidP="005E21EB">
      <w:pPr>
        <w:jc w:val="both"/>
        <w:rPr>
          <w:rFonts w:cs="Arial"/>
          <w:szCs w:val="24"/>
          <w:lang w:val="es-UY"/>
        </w:rPr>
      </w:pPr>
    </w:p>
    <w:p w14:paraId="56078027" w14:textId="77777777" w:rsidR="00542760" w:rsidRPr="009F6812" w:rsidRDefault="00542760" w:rsidP="00542760">
      <w:pPr>
        <w:numPr>
          <w:ilvl w:val="2"/>
          <w:numId w:val="7"/>
        </w:numPr>
        <w:tabs>
          <w:tab w:val="clear" w:pos="2820"/>
          <w:tab w:val="left" w:pos="1134"/>
        </w:tabs>
        <w:ind w:hanging="1969"/>
        <w:rPr>
          <w:rFonts w:cs="Arial"/>
          <w:b/>
          <w:bCs/>
          <w:color w:val="000000"/>
          <w:szCs w:val="24"/>
          <w:lang w:val="es-UY"/>
        </w:rPr>
      </w:pPr>
      <w:r w:rsidRPr="009F6812">
        <w:rPr>
          <w:rFonts w:cs="Arial"/>
          <w:b/>
          <w:bCs/>
          <w:color w:val="000000"/>
          <w:szCs w:val="24"/>
          <w:lang w:val="es-UY"/>
        </w:rPr>
        <w:t>Reserva de contingencia</w:t>
      </w:r>
    </w:p>
    <w:p w14:paraId="78CC3932" w14:textId="77777777" w:rsidR="00542760" w:rsidRPr="009F6812" w:rsidRDefault="00542760" w:rsidP="00542760">
      <w:pPr>
        <w:tabs>
          <w:tab w:val="left" w:pos="1134"/>
        </w:tabs>
        <w:ind w:left="2820"/>
        <w:rPr>
          <w:rFonts w:cs="Arial"/>
          <w:b/>
          <w:bCs/>
          <w:color w:val="000000"/>
          <w:szCs w:val="24"/>
          <w:lang w:val="es-UY"/>
        </w:rPr>
      </w:pPr>
    </w:p>
    <w:p w14:paraId="4DBB3BFC" w14:textId="77777777" w:rsidR="00542760" w:rsidRPr="009F6812" w:rsidRDefault="008A6DA8" w:rsidP="00542760">
      <w:pPr>
        <w:jc w:val="both"/>
        <w:rPr>
          <w:rFonts w:cs="Arial"/>
          <w:szCs w:val="24"/>
          <w:lang w:val="es-UY"/>
        </w:rPr>
      </w:pPr>
      <w:r>
        <w:rPr>
          <w:rFonts w:cs="Arial"/>
          <w:szCs w:val="24"/>
          <w:lang w:val="es-UY"/>
        </w:rPr>
        <w:t>Las delegaciones</w:t>
      </w:r>
      <w:r w:rsidR="00FA694F">
        <w:rPr>
          <w:rFonts w:cs="Arial"/>
          <w:szCs w:val="24"/>
          <w:lang w:val="es-UY"/>
        </w:rPr>
        <w:t xml:space="preserve"> tomaron nota que hasta el 31 de diciembre de 2024 se mantiene el valor de la reserva de contingencia en </w:t>
      </w:r>
      <w:r w:rsidR="00FA694F" w:rsidRPr="009F6812">
        <w:rPr>
          <w:rFonts w:cs="Arial"/>
          <w:szCs w:val="24"/>
          <w:lang w:val="es-UY"/>
        </w:rPr>
        <w:t>US$ 10.000.000</w:t>
      </w:r>
      <w:r w:rsidR="00FA694F">
        <w:rPr>
          <w:rFonts w:cs="Arial"/>
          <w:szCs w:val="24"/>
          <w:lang w:val="es-UY"/>
        </w:rPr>
        <w:t xml:space="preserve">, en tanto se aguarda la decisión que venga a ser adoptada por el CMC para el año 2025, teniendo en cuenta la propuesta elevada por la CRPM de reducirla a </w:t>
      </w:r>
      <w:r w:rsidR="00542760" w:rsidRPr="009F6812">
        <w:rPr>
          <w:rFonts w:cs="Arial"/>
          <w:szCs w:val="24"/>
          <w:lang w:val="es-UY"/>
        </w:rPr>
        <w:t xml:space="preserve">US$ </w:t>
      </w:r>
      <w:r w:rsidR="00FA694F">
        <w:rPr>
          <w:rFonts w:cs="Arial"/>
          <w:szCs w:val="24"/>
          <w:lang w:val="es-UY"/>
        </w:rPr>
        <w:t>5.</w:t>
      </w:r>
      <w:r w:rsidR="00542760" w:rsidRPr="009F6812">
        <w:rPr>
          <w:rFonts w:cs="Arial"/>
          <w:szCs w:val="24"/>
          <w:lang w:val="es-UY"/>
        </w:rPr>
        <w:t>000.000</w:t>
      </w:r>
      <w:r w:rsidR="00FA694F">
        <w:rPr>
          <w:rFonts w:cs="Arial"/>
          <w:szCs w:val="24"/>
          <w:lang w:val="es-UY"/>
        </w:rPr>
        <w:t>.</w:t>
      </w:r>
    </w:p>
    <w:p w14:paraId="22F9001A" w14:textId="77777777" w:rsidR="00542760" w:rsidRPr="009F6812" w:rsidRDefault="00542760" w:rsidP="00542760">
      <w:pPr>
        <w:tabs>
          <w:tab w:val="left" w:pos="1134"/>
        </w:tabs>
        <w:ind w:left="2820"/>
        <w:rPr>
          <w:rFonts w:cs="Arial"/>
          <w:b/>
          <w:bCs/>
          <w:color w:val="000000"/>
          <w:szCs w:val="24"/>
          <w:lang w:val="es-UY"/>
        </w:rPr>
      </w:pPr>
    </w:p>
    <w:p w14:paraId="458598D9" w14:textId="77777777" w:rsidR="00542760" w:rsidRPr="009F6812" w:rsidRDefault="00542760" w:rsidP="00542760">
      <w:pPr>
        <w:numPr>
          <w:ilvl w:val="2"/>
          <w:numId w:val="7"/>
        </w:numPr>
        <w:tabs>
          <w:tab w:val="clear" w:pos="2820"/>
          <w:tab w:val="left" w:pos="1134"/>
        </w:tabs>
        <w:ind w:hanging="1969"/>
        <w:rPr>
          <w:rFonts w:cs="Arial"/>
          <w:b/>
          <w:bCs/>
          <w:color w:val="000000"/>
          <w:szCs w:val="24"/>
          <w:lang w:val="es-UY"/>
        </w:rPr>
      </w:pPr>
      <w:r w:rsidRPr="009F6812">
        <w:rPr>
          <w:rFonts w:cs="Arial"/>
          <w:b/>
          <w:bCs/>
          <w:color w:val="000000"/>
          <w:szCs w:val="24"/>
          <w:lang w:val="es-UY"/>
        </w:rPr>
        <w:t>Depósitos a plazo fijo</w:t>
      </w:r>
    </w:p>
    <w:p w14:paraId="31458789" w14:textId="77777777" w:rsidR="00542760" w:rsidRPr="009F6812" w:rsidRDefault="00542760" w:rsidP="005E21EB">
      <w:pPr>
        <w:jc w:val="both"/>
        <w:rPr>
          <w:rFonts w:cs="Arial"/>
          <w:szCs w:val="24"/>
          <w:lang w:val="es-UY"/>
        </w:rPr>
      </w:pPr>
    </w:p>
    <w:p w14:paraId="536D7047" w14:textId="77777777" w:rsidR="00215EFC" w:rsidRPr="009F6812" w:rsidRDefault="00DC0A44" w:rsidP="003E6882">
      <w:pPr>
        <w:jc w:val="both"/>
        <w:rPr>
          <w:rFonts w:cs="Arial"/>
          <w:szCs w:val="24"/>
          <w:lang w:val="es-UY"/>
        </w:rPr>
      </w:pPr>
      <w:r>
        <w:rPr>
          <w:rFonts w:cs="Arial"/>
          <w:szCs w:val="24"/>
          <w:lang w:val="es-UY"/>
        </w:rPr>
        <w:lastRenderedPageBreak/>
        <w:t>La UTF informó</w:t>
      </w:r>
      <w:r w:rsidRPr="009F6812">
        <w:rPr>
          <w:rFonts w:cs="Arial"/>
          <w:szCs w:val="24"/>
          <w:lang w:val="es-UY"/>
        </w:rPr>
        <w:t xml:space="preserve"> los rendimientos generados en el período setiembre 2012 - </w:t>
      </w:r>
      <w:r>
        <w:rPr>
          <w:rFonts w:cs="Arial"/>
          <w:szCs w:val="24"/>
          <w:lang w:val="es-UY"/>
        </w:rPr>
        <w:t>setiembre</w:t>
      </w:r>
      <w:r w:rsidRPr="009F6812">
        <w:rPr>
          <w:rFonts w:cs="Arial"/>
          <w:szCs w:val="24"/>
          <w:lang w:val="es-UY"/>
        </w:rPr>
        <w:t xml:space="preserve"> 2024 </w:t>
      </w:r>
      <w:r w:rsidR="00295350" w:rsidRPr="009F6812">
        <w:rPr>
          <w:rFonts w:cs="Arial"/>
          <w:szCs w:val="24"/>
          <w:lang w:val="es-UY"/>
        </w:rPr>
        <w:t xml:space="preserve">por </w:t>
      </w:r>
      <w:r w:rsidR="001D4B2A" w:rsidRPr="009F6812">
        <w:rPr>
          <w:rFonts w:cs="Arial"/>
          <w:szCs w:val="24"/>
          <w:lang w:val="es-UY"/>
        </w:rPr>
        <w:t>los recursos FOCEM</w:t>
      </w:r>
      <w:r>
        <w:rPr>
          <w:rFonts w:cs="Arial"/>
          <w:szCs w:val="24"/>
          <w:lang w:val="es-UY"/>
        </w:rPr>
        <w:t xml:space="preserve"> depositados en</w:t>
      </w:r>
      <w:r w:rsidR="00295350" w:rsidRPr="009F6812">
        <w:rPr>
          <w:rFonts w:cs="Arial"/>
          <w:szCs w:val="24"/>
          <w:lang w:val="es-UY"/>
        </w:rPr>
        <w:t xml:space="preserve"> cuentas </w:t>
      </w:r>
      <w:r w:rsidR="001D4B2A" w:rsidRPr="009F6812">
        <w:rPr>
          <w:rFonts w:cs="Arial"/>
          <w:szCs w:val="24"/>
          <w:lang w:val="es-UY"/>
        </w:rPr>
        <w:t>operadas por la UTF</w:t>
      </w:r>
      <w:r>
        <w:rPr>
          <w:rFonts w:cs="Arial"/>
          <w:szCs w:val="24"/>
          <w:lang w:val="es-UY"/>
        </w:rPr>
        <w:t xml:space="preserve">. El detalle consta como </w:t>
      </w:r>
      <w:r w:rsidR="00A74E3C" w:rsidRPr="009F6812">
        <w:rPr>
          <w:rFonts w:cs="Arial"/>
          <w:b/>
          <w:szCs w:val="24"/>
          <w:lang w:val="es-UY"/>
        </w:rPr>
        <w:t xml:space="preserve">Anexo </w:t>
      </w:r>
      <w:r w:rsidR="00215EFC" w:rsidRPr="009F6812">
        <w:rPr>
          <w:rFonts w:cs="Arial"/>
          <w:b/>
          <w:szCs w:val="24"/>
          <w:lang w:val="es-UY"/>
        </w:rPr>
        <w:t>I</w:t>
      </w:r>
      <w:r w:rsidR="005E21EB" w:rsidRPr="009F6812">
        <w:rPr>
          <w:rFonts w:cs="Arial"/>
          <w:b/>
          <w:szCs w:val="24"/>
          <w:lang w:val="es-UY"/>
        </w:rPr>
        <w:t>V</w:t>
      </w:r>
      <w:r w:rsidR="001D4B2A" w:rsidRPr="009F6812">
        <w:rPr>
          <w:rFonts w:cs="Arial"/>
          <w:szCs w:val="24"/>
          <w:lang w:val="es-UY"/>
        </w:rPr>
        <w:t xml:space="preserve">. </w:t>
      </w:r>
    </w:p>
    <w:p w14:paraId="28794802" w14:textId="77777777" w:rsidR="00215EFC" w:rsidRPr="009F6812" w:rsidRDefault="00215EFC" w:rsidP="003E6882">
      <w:pPr>
        <w:jc w:val="both"/>
        <w:rPr>
          <w:rFonts w:cs="Arial"/>
          <w:szCs w:val="24"/>
          <w:lang w:val="es-UY"/>
        </w:rPr>
      </w:pPr>
    </w:p>
    <w:p w14:paraId="4FCC4400" w14:textId="77777777" w:rsidR="00542760" w:rsidRPr="009F6812" w:rsidRDefault="00542760" w:rsidP="00542760">
      <w:pPr>
        <w:numPr>
          <w:ilvl w:val="2"/>
          <w:numId w:val="7"/>
        </w:numPr>
        <w:tabs>
          <w:tab w:val="clear" w:pos="2820"/>
          <w:tab w:val="left" w:pos="1134"/>
        </w:tabs>
        <w:ind w:hanging="1969"/>
        <w:rPr>
          <w:rFonts w:cs="Arial"/>
          <w:b/>
          <w:bCs/>
          <w:color w:val="000000"/>
          <w:szCs w:val="24"/>
          <w:lang w:val="es-UY"/>
        </w:rPr>
      </w:pPr>
      <w:r w:rsidRPr="009F6812">
        <w:rPr>
          <w:rFonts w:cs="Arial"/>
          <w:b/>
          <w:bCs/>
          <w:color w:val="000000"/>
          <w:szCs w:val="24"/>
          <w:lang w:val="es-UY"/>
        </w:rPr>
        <w:t>Recursos bajo administración fiduciaria de FONPLATA</w:t>
      </w:r>
    </w:p>
    <w:p w14:paraId="6A599495" w14:textId="77777777" w:rsidR="00542760" w:rsidRPr="009F6812" w:rsidRDefault="00542760" w:rsidP="003E6882">
      <w:pPr>
        <w:jc w:val="both"/>
        <w:rPr>
          <w:rFonts w:cs="Arial"/>
          <w:szCs w:val="24"/>
          <w:lang w:val="es-UY"/>
        </w:rPr>
      </w:pPr>
    </w:p>
    <w:p w14:paraId="09A5F724" w14:textId="77777777" w:rsidR="00762F2F" w:rsidRDefault="001F296D" w:rsidP="003E6882">
      <w:pPr>
        <w:jc w:val="both"/>
        <w:rPr>
          <w:rFonts w:cs="Arial"/>
          <w:szCs w:val="24"/>
          <w:lang w:val="es-UY"/>
        </w:rPr>
      </w:pPr>
      <w:r w:rsidRPr="009F6812">
        <w:rPr>
          <w:rFonts w:cs="Arial"/>
          <w:szCs w:val="24"/>
          <w:lang w:val="es-UY"/>
        </w:rPr>
        <w:t xml:space="preserve">En </w:t>
      </w:r>
      <w:r w:rsidR="00EF1313" w:rsidRPr="009F6812">
        <w:rPr>
          <w:rFonts w:cs="Arial"/>
          <w:szCs w:val="24"/>
          <w:lang w:val="es-UY"/>
        </w:rPr>
        <w:t>cuanto a l</w:t>
      </w:r>
      <w:r w:rsidR="0028390D" w:rsidRPr="009F6812">
        <w:rPr>
          <w:rFonts w:cs="Arial"/>
          <w:szCs w:val="24"/>
          <w:lang w:val="es-UY"/>
        </w:rPr>
        <w:t>os</w:t>
      </w:r>
      <w:r w:rsidR="00FA7FFA" w:rsidRPr="009F6812">
        <w:rPr>
          <w:rFonts w:cs="Arial"/>
          <w:szCs w:val="24"/>
          <w:lang w:val="es-UY"/>
        </w:rPr>
        <w:t xml:space="preserve"> recursos FOCEM bajo administración fiduciaria de FONPLATA, </w:t>
      </w:r>
      <w:r w:rsidR="00304BC0" w:rsidRPr="009F6812">
        <w:rPr>
          <w:rFonts w:cs="Arial"/>
          <w:szCs w:val="24"/>
          <w:lang w:val="es-UY"/>
        </w:rPr>
        <w:t xml:space="preserve">la UTF </w:t>
      </w:r>
      <w:r w:rsidR="00703633" w:rsidRPr="009F6812">
        <w:rPr>
          <w:rFonts w:cs="Arial"/>
          <w:szCs w:val="24"/>
          <w:lang w:val="es-UY"/>
        </w:rPr>
        <w:t xml:space="preserve">compartió </w:t>
      </w:r>
      <w:r w:rsidR="00304BC0" w:rsidRPr="009F6812">
        <w:rPr>
          <w:rFonts w:cs="Arial"/>
          <w:szCs w:val="24"/>
          <w:lang w:val="es-UY"/>
        </w:rPr>
        <w:t xml:space="preserve">el </w:t>
      </w:r>
      <w:r w:rsidR="0028390D" w:rsidRPr="009F6812">
        <w:rPr>
          <w:rFonts w:cs="Arial"/>
          <w:szCs w:val="24"/>
          <w:lang w:val="es-UY"/>
        </w:rPr>
        <w:t>desempeño de la cartera y</w:t>
      </w:r>
      <w:r w:rsidR="000057B8" w:rsidRPr="009F6812">
        <w:rPr>
          <w:rFonts w:cs="Arial"/>
          <w:szCs w:val="24"/>
          <w:lang w:val="es-UY"/>
        </w:rPr>
        <w:t xml:space="preserve"> </w:t>
      </w:r>
      <w:r w:rsidR="00FA7FFA" w:rsidRPr="009F6812">
        <w:rPr>
          <w:rFonts w:cs="Arial"/>
          <w:szCs w:val="24"/>
          <w:lang w:val="es-UY"/>
        </w:rPr>
        <w:t>valor</w:t>
      </w:r>
      <w:r w:rsidR="00304BC0" w:rsidRPr="009F6812">
        <w:rPr>
          <w:rFonts w:cs="Arial"/>
          <w:szCs w:val="24"/>
          <w:lang w:val="es-UY"/>
        </w:rPr>
        <w:t>es</w:t>
      </w:r>
      <w:r w:rsidR="00FA7FFA" w:rsidRPr="009F6812">
        <w:rPr>
          <w:rFonts w:cs="Arial"/>
          <w:szCs w:val="24"/>
          <w:lang w:val="es-UY"/>
        </w:rPr>
        <w:t xml:space="preserve"> de mercado </w:t>
      </w:r>
      <w:r w:rsidR="00703633" w:rsidRPr="009F6812">
        <w:rPr>
          <w:rFonts w:cs="Arial"/>
          <w:szCs w:val="24"/>
          <w:lang w:val="es-UY"/>
        </w:rPr>
        <w:t xml:space="preserve">informados por ese organismo </w:t>
      </w:r>
      <w:r w:rsidR="00FA7FFA" w:rsidRPr="009F6812">
        <w:rPr>
          <w:rFonts w:cs="Arial"/>
          <w:szCs w:val="24"/>
          <w:lang w:val="es-UY"/>
        </w:rPr>
        <w:t xml:space="preserve">al </w:t>
      </w:r>
      <w:r w:rsidR="001D0735" w:rsidRPr="009F6812">
        <w:rPr>
          <w:rFonts w:cs="Arial"/>
          <w:szCs w:val="24"/>
          <w:lang w:val="es-UY"/>
        </w:rPr>
        <w:t>3</w:t>
      </w:r>
      <w:r w:rsidR="00FA694F">
        <w:rPr>
          <w:rFonts w:cs="Arial"/>
          <w:szCs w:val="24"/>
          <w:lang w:val="es-UY"/>
        </w:rPr>
        <w:t>0</w:t>
      </w:r>
      <w:r w:rsidR="00FA7FFA" w:rsidRPr="009F6812">
        <w:rPr>
          <w:rFonts w:cs="Arial"/>
          <w:szCs w:val="24"/>
          <w:lang w:val="es-UY"/>
        </w:rPr>
        <w:t>/0</w:t>
      </w:r>
      <w:r w:rsidR="00FA694F">
        <w:rPr>
          <w:rFonts w:cs="Arial"/>
          <w:szCs w:val="24"/>
          <w:lang w:val="es-UY"/>
        </w:rPr>
        <w:t>9</w:t>
      </w:r>
      <w:r w:rsidR="00FA7FFA" w:rsidRPr="009F6812">
        <w:rPr>
          <w:rFonts w:cs="Arial"/>
          <w:szCs w:val="24"/>
          <w:lang w:val="es-UY"/>
        </w:rPr>
        <w:t>/</w:t>
      </w:r>
      <w:r w:rsidR="00215EFC" w:rsidRPr="009F6812">
        <w:rPr>
          <w:rFonts w:cs="Arial"/>
          <w:szCs w:val="24"/>
          <w:lang w:val="es-UY"/>
        </w:rPr>
        <w:t>24</w:t>
      </w:r>
      <w:r w:rsidR="00FA7FFA" w:rsidRPr="009F6812">
        <w:rPr>
          <w:rFonts w:cs="Arial"/>
          <w:szCs w:val="24"/>
          <w:lang w:val="es-UY"/>
        </w:rPr>
        <w:t>, así como el detalle de las inversiones según tipo de instrumento</w:t>
      </w:r>
      <w:r w:rsidR="00703633" w:rsidRPr="009F6812">
        <w:rPr>
          <w:rFonts w:cs="Arial"/>
          <w:b/>
          <w:bCs/>
          <w:szCs w:val="24"/>
          <w:lang w:val="es-UY"/>
        </w:rPr>
        <w:t xml:space="preserve"> (</w:t>
      </w:r>
      <w:r w:rsidR="00A74E3C" w:rsidRPr="009F6812">
        <w:rPr>
          <w:rFonts w:cs="Arial"/>
          <w:b/>
          <w:szCs w:val="24"/>
          <w:lang w:val="es-UY"/>
        </w:rPr>
        <w:t xml:space="preserve">Anexo </w:t>
      </w:r>
      <w:r w:rsidR="00703633" w:rsidRPr="009F6812">
        <w:rPr>
          <w:rFonts w:cs="Arial"/>
          <w:b/>
          <w:bCs/>
          <w:szCs w:val="24"/>
          <w:lang w:val="es-UY"/>
        </w:rPr>
        <w:t>V</w:t>
      </w:r>
      <w:r w:rsidR="00703633" w:rsidRPr="009F6812">
        <w:rPr>
          <w:rFonts w:cs="Arial"/>
          <w:szCs w:val="24"/>
          <w:lang w:val="es-UY"/>
        </w:rPr>
        <w:t>)</w:t>
      </w:r>
      <w:r w:rsidR="00FA7FFA" w:rsidRPr="009F6812">
        <w:rPr>
          <w:rFonts w:cs="Arial"/>
          <w:szCs w:val="24"/>
          <w:lang w:val="es-UY"/>
        </w:rPr>
        <w:t xml:space="preserve">. </w:t>
      </w:r>
    </w:p>
    <w:p w14:paraId="3F06DFD8" w14:textId="77777777" w:rsidR="00762F2F" w:rsidRDefault="00762F2F" w:rsidP="003E6882">
      <w:pPr>
        <w:jc w:val="both"/>
        <w:rPr>
          <w:rFonts w:cs="Arial"/>
          <w:szCs w:val="24"/>
          <w:lang w:val="es-UY"/>
        </w:rPr>
      </w:pPr>
    </w:p>
    <w:p w14:paraId="05C62B0D" w14:textId="77777777" w:rsidR="00703E1E" w:rsidRDefault="00762F2F" w:rsidP="003E6882">
      <w:pPr>
        <w:jc w:val="both"/>
        <w:rPr>
          <w:rFonts w:cs="Arial"/>
          <w:szCs w:val="24"/>
          <w:lang w:val="es-UY"/>
        </w:rPr>
      </w:pPr>
      <w:r w:rsidRPr="00DD39D3">
        <w:rPr>
          <w:rFonts w:cs="Arial"/>
          <w:szCs w:val="24"/>
          <w:lang w:val="es-UY"/>
        </w:rPr>
        <w:t>Las delegaciones acordaron invitar al FONPLATA para que participara de la discusión de este punto de la agenda en la próxima reunión del GTF. También se discutió la participación del FONPLATA para informar sobre la implementación de los convenios de complementación técnica y financiera.</w:t>
      </w:r>
      <w:r>
        <w:rPr>
          <w:rFonts w:cs="Arial"/>
          <w:szCs w:val="24"/>
          <w:lang w:val="es-UY"/>
        </w:rPr>
        <w:t xml:space="preserve"> </w:t>
      </w:r>
    </w:p>
    <w:p w14:paraId="1E6E5370" w14:textId="77777777" w:rsidR="001374A9" w:rsidRDefault="001374A9" w:rsidP="003E6882">
      <w:pPr>
        <w:jc w:val="both"/>
        <w:rPr>
          <w:rFonts w:cs="Arial"/>
          <w:szCs w:val="24"/>
          <w:lang w:val="es-UY"/>
        </w:rPr>
      </w:pPr>
    </w:p>
    <w:p w14:paraId="0983AEA2" w14:textId="77777777" w:rsidR="003E6882" w:rsidRPr="009F6812" w:rsidRDefault="003E6882" w:rsidP="00A74E3C">
      <w:pPr>
        <w:numPr>
          <w:ilvl w:val="1"/>
          <w:numId w:val="7"/>
        </w:numPr>
        <w:tabs>
          <w:tab w:val="clear" w:pos="2130"/>
          <w:tab w:val="num" w:pos="851"/>
          <w:tab w:val="num" w:pos="1276"/>
        </w:tabs>
        <w:overflowPunct w:val="0"/>
        <w:autoSpaceDE w:val="0"/>
        <w:autoSpaceDN w:val="0"/>
        <w:adjustRightInd w:val="0"/>
        <w:ind w:left="1418" w:hanging="1276"/>
        <w:jc w:val="both"/>
        <w:rPr>
          <w:rFonts w:cs="Arial"/>
          <w:b/>
          <w:szCs w:val="24"/>
          <w:lang w:val="es-UY"/>
        </w:rPr>
      </w:pPr>
      <w:r w:rsidRPr="009F6812">
        <w:rPr>
          <w:rFonts w:cs="Arial"/>
          <w:b/>
          <w:szCs w:val="24"/>
          <w:lang w:val="es-UY"/>
        </w:rPr>
        <w:t>Proyección de</w:t>
      </w:r>
      <w:r w:rsidR="00A74E3C" w:rsidRPr="009F6812">
        <w:rPr>
          <w:rFonts w:cs="Arial"/>
          <w:b/>
          <w:szCs w:val="24"/>
          <w:lang w:val="es-UY"/>
        </w:rPr>
        <w:t xml:space="preserve"> desembolsos</w:t>
      </w:r>
      <w:r w:rsidRPr="009F6812">
        <w:rPr>
          <w:rFonts w:cs="Arial"/>
          <w:b/>
          <w:szCs w:val="24"/>
          <w:lang w:val="es-UY"/>
        </w:rPr>
        <w:t xml:space="preserve"> </w:t>
      </w:r>
      <w:r w:rsidR="008E33AA" w:rsidRPr="009F6812">
        <w:rPr>
          <w:rFonts w:cs="Arial"/>
          <w:b/>
          <w:szCs w:val="24"/>
          <w:lang w:val="es-UY"/>
        </w:rPr>
        <w:t>202</w:t>
      </w:r>
      <w:r w:rsidR="00542760" w:rsidRPr="009F6812">
        <w:rPr>
          <w:rFonts w:cs="Arial"/>
          <w:b/>
          <w:szCs w:val="24"/>
          <w:lang w:val="es-UY"/>
        </w:rPr>
        <w:t>4</w:t>
      </w:r>
      <w:r w:rsidRPr="009F6812">
        <w:rPr>
          <w:rFonts w:cs="Arial"/>
          <w:b/>
          <w:szCs w:val="24"/>
          <w:lang w:val="es-UY"/>
        </w:rPr>
        <w:t>-</w:t>
      </w:r>
      <w:r w:rsidR="00FA694F">
        <w:rPr>
          <w:rFonts w:cs="Arial"/>
          <w:b/>
          <w:szCs w:val="24"/>
          <w:lang w:val="es-UY"/>
        </w:rPr>
        <w:t>2028</w:t>
      </w:r>
    </w:p>
    <w:p w14:paraId="1BCF2025" w14:textId="77777777" w:rsidR="002068B5" w:rsidRPr="009F6812" w:rsidRDefault="002068B5" w:rsidP="00D00F2D">
      <w:pPr>
        <w:tabs>
          <w:tab w:val="left" w:pos="1134"/>
        </w:tabs>
        <w:ind w:left="2130"/>
        <w:rPr>
          <w:rFonts w:cs="Arial"/>
          <w:b/>
          <w:szCs w:val="24"/>
          <w:lang w:val="es-UY"/>
        </w:rPr>
      </w:pPr>
    </w:p>
    <w:p w14:paraId="7410F41E" w14:textId="77777777" w:rsidR="00524A71" w:rsidRPr="009F6812" w:rsidRDefault="004E68B3" w:rsidP="003E6882">
      <w:pPr>
        <w:jc w:val="both"/>
        <w:rPr>
          <w:rFonts w:cs="Arial"/>
          <w:szCs w:val="24"/>
          <w:lang w:val="es-UY"/>
        </w:rPr>
      </w:pPr>
      <w:r w:rsidRPr="009F6812">
        <w:rPr>
          <w:rFonts w:cs="Arial"/>
          <w:szCs w:val="24"/>
          <w:lang w:val="es-UY"/>
        </w:rPr>
        <w:t xml:space="preserve">El GTF </w:t>
      </w:r>
      <w:r w:rsidR="00DC0A44">
        <w:rPr>
          <w:rFonts w:cs="Arial"/>
          <w:szCs w:val="24"/>
          <w:lang w:val="es-UY"/>
        </w:rPr>
        <w:t>tomó nota de la</w:t>
      </w:r>
      <w:r w:rsidRPr="009F6812">
        <w:rPr>
          <w:rFonts w:cs="Arial"/>
          <w:szCs w:val="24"/>
          <w:lang w:val="es-UY"/>
        </w:rPr>
        <w:t xml:space="preserve"> información sobre </w:t>
      </w:r>
      <w:r w:rsidR="00AF297F" w:rsidRPr="009F6812">
        <w:rPr>
          <w:rFonts w:cs="Arial"/>
          <w:szCs w:val="24"/>
          <w:lang w:val="es-UY"/>
        </w:rPr>
        <w:t xml:space="preserve">proyección de </w:t>
      </w:r>
      <w:r w:rsidR="00BD1659" w:rsidRPr="009F6812">
        <w:rPr>
          <w:rFonts w:cs="Arial"/>
          <w:szCs w:val="24"/>
          <w:lang w:val="es-UY"/>
        </w:rPr>
        <w:t>desembolsos</w:t>
      </w:r>
      <w:r w:rsidR="006F5392" w:rsidRPr="009F6812">
        <w:rPr>
          <w:rFonts w:cs="Arial"/>
          <w:szCs w:val="24"/>
          <w:lang w:val="es-UY"/>
        </w:rPr>
        <w:t xml:space="preserve"> y disponibilidades</w:t>
      </w:r>
      <w:r w:rsidR="00BD1659" w:rsidRPr="009F6812">
        <w:rPr>
          <w:rFonts w:cs="Arial"/>
          <w:szCs w:val="24"/>
          <w:lang w:val="es-UY"/>
        </w:rPr>
        <w:t xml:space="preserve"> </w:t>
      </w:r>
      <w:r w:rsidR="00AF297F" w:rsidRPr="009F6812">
        <w:rPr>
          <w:rFonts w:cs="Arial"/>
          <w:szCs w:val="24"/>
          <w:lang w:val="es-UY"/>
        </w:rPr>
        <w:t xml:space="preserve">para el período </w:t>
      </w:r>
      <w:r w:rsidR="001D0735" w:rsidRPr="009F6812">
        <w:rPr>
          <w:rFonts w:cs="Arial"/>
          <w:szCs w:val="24"/>
          <w:lang w:val="es-UY"/>
        </w:rPr>
        <w:t>202</w:t>
      </w:r>
      <w:r w:rsidR="00A74E3C" w:rsidRPr="009F6812">
        <w:rPr>
          <w:rFonts w:cs="Arial"/>
          <w:szCs w:val="24"/>
          <w:lang w:val="es-UY"/>
        </w:rPr>
        <w:t>4-</w:t>
      </w:r>
      <w:r w:rsidR="00FA694F">
        <w:rPr>
          <w:rFonts w:cs="Arial"/>
          <w:szCs w:val="24"/>
          <w:lang w:val="es-UY"/>
        </w:rPr>
        <w:t>2028</w:t>
      </w:r>
      <w:r w:rsidR="00235CAB">
        <w:rPr>
          <w:rFonts w:cs="Arial"/>
          <w:szCs w:val="24"/>
          <w:lang w:val="es-UY"/>
        </w:rPr>
        <w:t xml:space="preserve">, que incluye los desembolsos estimados </w:t>
      </w:r>
      <w:r w:rsidR="001374A9">
        <w:rPr>
          <w:rFonts w:cs="Arial"/>
          <w:szCs w:val="24"/>
          <w:lang w:val="es-UY"/>
        </w:rPr>
        <w:t>para los 5</w:t>
      </w:r>
      <w:r w:rsidR="00235CAB">
        <w:rPr>
          <w:rFonts w:cs="Arial"/>
          <w:szCs w:val="24"/>
          <w:lang w:val="es-UY"/>
        </w:rPr>
        <w:t xml:space="preserve"> proyectos </w:t>
      </w:r>
      <w:r w:rsidR="001374A9">
        <w:rPr>
          <w:rFonts w:cs="Arial"/>
          <w:szCs w:val="24"/>
          <w:lang w:val="es-UY"/>
        </w:rPr>
        <w:t>que actualmente se encuentran en</w:t>
      </w:r>
      <w:r w:rsidR="00235CAB">
        <w:rPr>
          <w:rFonts w:cs="Arial"/>
          <w:szCs w:val="24"/>
          <w:lang w:val="es-UY"/>
        </w:rPr>
        <w:t xml:space="preserve"> etapa de aprobación </w:t>
      </w:r>
      <w:r w:rsidR="001374A9">
        <w:rPr>
          <w:rFonts w:cs="Arial"/>
          <w:szCs w:val="24"/>
          <w:lang w:val="es-UY"/>
        </w:rPr>
        <w:t>o</w:t>
      </w:r>
      <w:r w:rsidR="00235CAB">
        <w:rPr>
          <w:rFonts w:cs="Arial"/>
          <w:szCs w:val="24"/>
          <w:lang w:val="es-UY"/>
        </w:rPr>
        <w:t xml:space="preserve"> análisis técnico. El </w:t>
      </w:r>
      <w:r w:rsidR="001374A9">
        <w:rPr>
          <w:rFonts w:cs="Arial"/>
          <w:szCs w:val="24"/>
          <w:lang w:val="es-UY"/>
        </w:rPr>
        <w:t>detalle</w:t>
      </w:r>
      <w:r w:rsidR="00235CAB">
        <w:rPr>
          <w:rFonts w:cs="Arial"/>
          <w:szCs w:val="24"/>
          <w:lang w:val="es-UY"/>
        </w:rPr>
        <w:t xml:space="preserve"> consta como </w:t>
      </w:r>
      <w:r w:rsidR="00A74E3C" w:rsidRPr="009F6812">
        <w:rPr>
          <w:rFonts w:cs="Arial"/>
          <w:b/>
          <w:szCs w:val="24"/>
          <w:lang w:val="es-UY"/>
        </w:rPr>
        <w:t xml:space="preserve">Anexo </w:t>
      </w:r>
      <w:r w:rsidR="00AF297F" w:rsidRPr="009F6812">
        <w:rPr>
          <w:rFonts w:cs="Arial"/>
          <w:b/>
          <w:bCs/>
          <w:szCs w:val="24"/>
          <w:lang w:val="es-UY"/>
        </w:rPr>
        <w:t>VI</w:t>
      </w:r>
      <w:r w:rsidR="00235CAB">
        <w:rPr>
          <w:rFonts w:cs="Arial"/>
          <w:szCs w:val="24"/>
          <w:lang w:val="es-UY"/>
        </w:rPr>
        <w:t>.</w:t>
      </w:r>
    </w:p>
    <w:p w14:paraId="49722A72" w14:textId="77777777" w:rsidR="00693FB3" w:rsidRDefault="00693FB3" w:rsidP="003E6882">
      <w:pPr>
        <w:jc w:val="both"/>
        <w:rPr>
          <w:rFonts w:cs="Arial"/>
          <w:szCs w:val="24"/>
          <w:lang w:val="es-UY"/>
        </w:rPr>
      </w:pPr>
    </w:p>
    <w:p w14:paraId="3BD32185" w14:textId="77777777" w:rsidR="007F6514" w:rsidRPr="009F6812" w:rsidRDefault="007F6514" w:rsidP="00A74E3C">
      <w:pPr>
        <w:numPr>
          <w:ilvl w:val="0"/>
          <w:numId w:val="7"/>
        </w:numPr>
        <w:tabs>
          <w:tab w:val="num" w:pos="540"/>
        </w:tabs>
        <w:overflowPunct w:val="0"/>
        <w:autoSpaceDE w:val="0"/>
        <w:autoSpaceDN w:val="0"/>
        <w:adjustRightInd w:val="0"/>
        <w:ind w:hanging="1080"/>
        <w:rPr>
          <w:rFonts w:cs="Arial"/>
          <w:b/>
          <w:szCs w:val="24"/>
          <w:lang w:val="es-UY"/>
        </w:rPr>
      </w:pPr>
      <w:r w:rsidRPr="009F6812">
        <w:rPr>
          <w:rFonts w:cs="Arial"/>
          <w:b/>
          <w:szCs w:val="24"/>
          <w:lang w:val="es-UY"/>
        </w:rPr>
        <w:t>ESTADO DE SITUACI</w:t>
      </w:r>
      <w:r w:rsidR="00F17F0D" w:rsidRPr="009F6812">
        <w:rPr>
          <w:rFonts w:cs="Arial"/>
          <w:b/>
          <w:szCs w:val="24"/>
          <w:lang w:val="es-UY"/>
        </w:rPr>
        <w:t>Ó</w:t>
      </w:r>
      <w:r w:rsidRPr="009F6812">
        <w:rPr>
          <w:rFonts w:cs="Arial"/>
          <w:b/>
          <w:szCs w:val="24"/>
          <w:lang w:val="es-UY"/>
        </w:rPr>
        <w:t xml:space="preserve">N DE LOS PROYECTOS FOCEM </w:t>
      </w:r>
    </w:p>
    <w:p w14:paraId="2DB9B772" w14:textId="77777777" w:rsidR="00BD69D0" w:rsidRPr="009F6812" w:rsidRDefault="00BD69D0" w:rsidP="00DD37DB">
      <w:pPr>
        <w:jc w:val="both"/>
        <w:rPr>
          <w:rFonts w:cs="Arial"/>
          <w:szCs w:val="24"/>
          <w:lang w:val="es-UY"/>
        </w:rPr>
      </w:pPr>
    </w:p>
    <w:p w14:paraId="48BF58DF" w14:textId="77777777" w:rsidR="0095303F" w:rsidRPr="009F6812" w:rsidRDefault="0095303F" w:rsidP="00DD37DB">
      <w:pPr>
        <w:jc w:val="both"/>
        <w:rPr>
          <w:rFonts w:cs="Arial"/>
          <w:szCs w:val="24"/>
          <w:lang w:val="es-UY"/>
        </w:rPr>
      </w:pPr>
      <w:r w:rsidRPr="009F6812">
        <w:rPr>
          <w:rFonts w:cs="Arial"/>
          <w:szCs w:val="24"/>
          <w:lang w:val="es-UY"/>
        </w:rPr>
        <w:t xml:space="preserve">La UTF presentó cuadro </w:t>
      </w:r>
      <w:r w:rsidR="00E77480" w:rsidRPr="009F6812">
        <w:rPr>
          <w:rFonts w:cs="Arial"/>
          <w:szCs w:val="24"/>
          <w:lang w:val="es-UY"/>
        </w:rPr>
        <w:t>resumen</w:t>
      </w:r>
      <w:r w:rsidRPr="009F6812">
        <w:rPr>
          <w:rFonts w:cs="Arial"/>
          <w:szCs w:val="24"/>
          <w:lang w:val="es-UY"/>
        </w:rPr>
        <w:t xml:space="preserve"> de</w:t>
      </w:r>
      <w:r w:rsidR="00E77480" w:rsidRPr="009F6812">
        <w:rPr>
          <w:rFonts w:cs="Arial"/>
          <w:szCs w:val="24"/>
          <w:lang w:val="es-UY"/>
        </w:rPr>
        <w:t xml:space="preserve"> los</w:t>
      </w:r>
      <w:r w:rsidRPr="009F6812">
        <w:rPr>
          <w:rFonts w:cs="Arial"/>
          <w:szCs w:val="24"/>
          <w:lang w:val="es-UY"/>
        </w:rPr>
        <w:t xml:space="preserve"> proyectos FOCEM y su </w:t>
      </w:r>
      <w:r w:rsidR="00E77480" w:rsidRPr="009F6812">
        <w:rPr>
          <w:rFonts w:cs="Arial"/>
          <w:szCs w:val="24"/>
          <w:lang w:val="es-UY"/>
        </w:rPr>
        <w:t>situación</w:t>
      </w:r>
      <w:r w:rsidRPr="009F6812">
        <w:rPr>
          <w:rFonts w:cs="Arial"/>
          <w:szCs w:val="24"/>
          <w:lang w:val="es-UY"/>
        </w:rPr>
        <w:t xml:space="preserve"> actual (</w:t>
      </w:r>
      <w:r w:rsidR="00A74E3C" w:rsidRPr="009F6812">
        <w:rPr>
          <w:rFonts w:cs="Arial"/>
          <w:b/>
          <w:szCs w:val="24"/>
          <w:lang w:val="es-UY"/>
        </w:rPr>
        <w:t xml:space="preserve">Anexo </w:t>
      </w:r>
      <w:r w:rsidRPr="009F6812">
        <w:rPr>
          <w:rFonts w:cs="Arial"/>
          <w:b/>
          <w:bCs/>
          <w:szCs w:val="24"/>
          <w:lang w:val="es-UY"/>
        </w:rPr>
        <w:t>VII</w:t>
      </w:r>
      <w:r w:rsidRPr="009F6812">
        <w:rPr>
          <w:rFonts w:cs="Arial"/>
          <w:szCs w:val="24"/>
          <w:lang w:val="es-UY"/>
        </w:rPr>
        <w:t>).</w:t>
      </w:r>
    </w:p>
    <w:p w14:paraId="6FC12F49" w14:textId="77777777" w:rsidR="00A61D9D" w:rsidRPr="009F6812" w:rsidRDefault="00A61D9D" w:rsidP="00DD37DB">
      <w:pPr>
        <w:jc w:val="both"/>
        <w:rPr>
          <w:rFonts w:cs="Arial"/>
          <w:szCs w:val="24"/>
          <w:lang w:val="es-UY"/>
        </w:rPr>
      </w:pPr>
    </w:p>
    <w:p w14:paraId="61400046" w14:textId="77777777" w:rsidR="00624E91" w:rsidRPr="009F6812" w:rsidRDefault="00624E91" w:rsidP="00DD37DB">
      <w:pPr>
        <w:jc w:val="both"/>
        <w:rPr>
          <w:rFonts w:cs="Arial"/>
          <w:szCs w:val="24"/>
          <w:lang w:val="es-UY"/>
        </w:rPr>
      </w:pPr>
    </w:p>
    <w:p w14:paraId="6F5767E6" w14:textId="77777777" w:rsidR="00BD1659" w:rsidRPr="009F6812" w:rsidRDefault="00A74E3C" w:rsidP="00A74E3C">
      <w:pPr>
        <w:numPr>
          <w:ilvl w:val="1"/>
          <w:numId w:val="7"/>
        </w:numPr>
        <w:tabs>
          <w:tab w:val="clear" w:pos="2130"/>
          <w:tab w:val="left" w:pos="1134"/>
        </w:tabs>
        <w:overflowPunct w:val="0"/>
        <w:autoSpaceDE w:val="0"/>
        <w:autoSpaceDN w:val="0"/>
        <w:adjustRightInd w:val="0"/>
        <w:ind w:hanging="1846"/>
        <w:rPr>
          <w:rFonts w:cs="Arial"/>
          <w:b/>
          <w:szCs w:val="24"/>
          <w:lang w:val="es-UY"/>
        </w:rPr>
      </w:pPr>
      <w:r w:rsidRPr="009F6812">
        <w:rPr>
          <w:rFonts w:cs="Arial"/>
          <w:b/>
          <w:szCs w:val="24"/>
          <w:lang w:val="es-UY"/>
        </w:rPr>
        <w:t xml:space="preserve">Avance físico-financiero </w:t>
      </w:r>
      <w:r w:rsidR="00BD1659" w:rsidRPr="009F6812">
        <w:rPr>
          <w:rFonts w:cs="Arial"/>
          <w:b/>
          <w:szCs w:val="24"/>
          <w:lang w:val="es-UY"/>
        </w:rPr>
        <w:t>de los proyectos</w:t>
      </w:r>
      <w:r w:rsidRPr="009F6812">
        <w:rPr>
          <w:rFonts w:cs="Arial"/>
          <w:b/>
          <w:szCs w:val="24"/>
          <w:lang w:val="es-UY"/>
        </w:rPr>
        <w:t xml:space="preserve"> en ejecución</w:t>
      </w:r>
    </w:p>
    <w:p w14:paraId="0739E708" w14:textId="77777777" w:rsidR="00BD1659" w:rsidRPr="009F6812" w:rsidRDefault="00BD1659" w:rsidP="00BD1659">
      <w:pPr>
        <w:tabs>
          <w:tab w:val="left" w:pos="1134"/>
        </w:tabs>
        <w:overflowPunct w:val="0"/>
        <w:autoSpaceDE w:val="0"/>
        <w:autoSpaceDN w:val="0"/>
        <w:adjustRightInd w:val="0"/>
        <w:ind w:left="2130"/>
        <w:rPr>
          <w:rFonts w:cs="Arial"/>
          <w:b/>
          <w:szCs w:val="24"/>
          <w:lang w:val="es-UY"/>
        </w:rPr>
      </w:pPr>
    </w:p>
    <w:p w14:paraId="5360D6C7" w14:textId="77777777" w:rsidR="000031A2" w:rsidRDefault="008D5D1A" w:rsidP="00543959">
      <w:pPr>
        <w:jc w:val="both"/>
        <w:rPr>
          <w:rFonts w:cs="Arial"/>
          <w:szCs w:val="24"/>
          <w:lang w:val="es-UY"/>
        </w:rPr>
      </w:pPr>
      <w:r w:rsidRPr="009F6812">
        <w:rPr>
          <w:rFonts w:cs="Arial"/>
          <w:szCs w:val="24"/>
          <w:lang w:val="es-UY"/>
        </w:rPr>
        <w:t xml:space="preserve">El GTF </w:t>
      </w:r>
      <w:r w:rsidR="00BB7E6D" w:rsidRPr="009F6812">
        <w:rPr>
          <w:rFonts w:cs="Arial"/>
          <w:szCs w:val="24"/>
          <w:lang w:val="es-UY"/>
        </w:rPr>
        <w:t>repasó</w:t>
      </w:r>
      <w:r w:rsidRPr="009F6812">
        <w:rPr>
          <w:rFonts w:cs="Arial"/>
          <w:szCs w:val="24"/>
          <w:lang w:val="es-UY"/>
        </w:rPr>
        <w:t xml:space="preserve"> </w:t>
      </w:r>
      <w:r w:rsidR="00706F7C" w:rsidRPr="009F6812">
        <w:rPr>
          <w:rFonts w:cs="Arial"/>
          <w:szCs w:val="24"/>
          <w:lang w:val="es-UY"/>
        </w:rPr>
        <w:t>el</w:t>
      </w:r>
      <w:r w:rsidRPr="009F6812">
        <w:rPr>
          <w:rFonts w:cs="Arial"/>
          <w:szCs w:val="24"/>
          <w:lang w:val="es-UY"/>
        </w:rPr>
        <w:t xml:space="preserve"> avance financiero global</w:t>
      </w:r>
      <w:r w:rsidR="00706F7C" w:rsidRPr="009F6812">
        <w:rPr>
          <w:rFonts w:cs="Arial"/>
          <w:szCs w:val="24"/>
          <w:lang w:val="es-UY"/>
        </w:rPr>
        <w:t xml:space="preserve"> de la cartera de proyectos</w:t>
      </w:r>
      <w:r w:rsidRPr="009F6812">
        <w:rPr>
          <w:rFonts w:cs="Arial"/>
          <w:szCs w:val="24"/>
          <w:lang w:val="es-UY"/>
        </w:rPr>
        <w:t xml:space="preserve">, </w:t>
      </w:r>
      <w:r w:rsidR="00CC52EB" w:rsidRPr="009F6812">
        <w:rPr>
          <w:rFonts w:cs="Arial"/>
          <w:szCs w:val="24"/>
          <w:lang w:val="es-UY"/>
        </w:rPr>
        <w:t xml:space="preserve">incluyendo </w:t>
      </w:r>
      <w:r w:rsidR="00706F7C" w:rsidRPr="009F6812">
        <w:rPr>
          <w:rFonts w:cs="Arial"/>
          <w:szCs w:val="24"/>
          <w:lang w:val="es-UY"/>
        </w:rPr>
        <w:t xml:space="preserve">lo relativo a los </w:t>
      </w:r>
      <w:r w:rsidRPr="009F6812">
        <w:rPr>
          <w:rFonts w:cs="Arial"/>
          <w:szCs w:val="24"/>
          <w:lang w:val="es-UY"/>
        </w:rPr>
        <w:t>desembolsos realizados, rendiciones de cuentas aprobadas y</w:t>
      </w:r>
      <w:r w:rsidR="00BB7E6D" w:rsidRPr="009F6812">
        <w:rPr>
          <w:rFonts w:cs="Arial"/>
          <w:szCs w:val="24"/>
          <w:lang w:val="es-UY"/>
        </w:rPr>
        <w:t>, en particular, los</w:t>
      </w:r>
      <w:r w:rsidRPr="009F6812">
        <w:rPr>
          <w:rFonts w:cs="Arial"/>
          <w:szCs w:val="24"/>
          <w:lang w:val="es-UY"/>
        </w:rPr>
        <w:t xml:space="preserve"> montos </w:t>
      </w:r>
      <w:r w:rsidR="00706F7C" w:rsidRPr="009F6812">
        <w:rPr>
          <w:rFonts w:cs="Arial"/>
          <w:szCs w:val="24"/>
          <w:lang w:val="es-UY"/>
        </w:rPr>
        <w:t xml:space="preserve">pendientes </w:t>
      </w:r>
      <w:r w:rsidRPr="009F6812">
        <w:rPr>
          <w:rFonts w:cs="Arial"/>
          <w:szCs w:val="24"/>
          <w:lang w:val="es-UY"/>
        </w:rPr>
        <w:t>de devolución</w:t>
      </w:r>
      <w:r w:rsidR="00BB7E6D" w:rsidRPr="009F6812">
        <w:rPr>
          <w:rFonts w:cs="Arial"/>
          <w:szCs w:val="24"/>
          <w:lang w:val="es-UY"/>
        </w:rPr>
        <w:t xml:space="preserve"> </w:t>
      </w:r>
      <w:r w:rsidR="000031A2">
        <w:rPr>
          <w:rFonts w:cs="Arial"/>
          <w:szCs w:val="24"/>
          <w:lang w:val="es-UY"/>
        </w:rPr>
        <w:t>(</w:t>
      </w:r>
      <w:r w:rsidR="00BB7E6D" w:rsidRPr="009F6812">
        <w:rPr>
          <w:rFonts w:cs="Arial"/>
          <w:szCs w:val="24"/>
          <w:lang w:val="es-UY"/>
        </w:rPr>
        <w:t xml:space="preserve">U$S </w:t>
      </w:r>
      <w:r w:rsidR="00FA694F" w:rsidRPr="00FA694F">
        <w:rPr>
          <w:rFonts w:cs="Arial"/>
          <w:szCs w:val="24"/>
          <w:lang w:val="es-UY"/>
        </w:rPr>
        <w:t>3.923.708</w:t>
      </w:r>
      <w:r w:rsidR="000031A2">
        <w:rPr>
          <w:rFonts w:cs="Arial"/>
          <w:szCs w:val="24"/>
          <w:lang w:val="es-UY"/>
        </w:rPr>
        <w:t>)</w:t>
      </w:r>
      <w:r w:rsidR="00BB7E6D" w:rsidRPr="009F6812">
        <w:rPr>
          <w:rFonts w:cs="Arial"/>
          <w:szCs w:val="24"/>
          <w:lang w:val="es-UY"/>
        </w:rPr>
        <w:t xml:space="preserve">. La información completa consta como </w:t>
      </w:r>
      <w:r w:rsidR="00A74E3C" w:rsidRPr="009F6812">
        <w:rPr>
          <w:rFonts w:cs="Arial"/>
          <w:b/>
          <w:szCs w:val="24"/>
          <w:lang w:val="es-UY"/>
        </w:rPr>
        <w:t>Anexo VIII</w:t>
      </w:r>
      <w:r w:rsidRPr="009F6812">
        <w:rPr>
          <w:rFonts w:cs="Arial"/>
          <w:szCs w:val="24"/>
          <w:lang w:val="es-UY"/>
        </w:rPr>
        <w:t>.</w:t>
      </w:r>
      <w:r w:rsidR="000031A2">
        <w:rPr>
          <w:rFonts w:cs="Arial"/>
          <w:szCs w:val="24"/>
          <w:lang w:val="es-UY"/>
        </w:rPr>
        <w:t xml:space="preserve"> </w:t>
      </w:r>
      <w:r w:rsidR="000031A2" w:rsidRPr="000031A2">
        <w:rPr>
          <w:rFonts w:cs="Arial"/>
          <w:szCs w:val="24"/>
          <w:lang w:val="es-UY"/>
        </w:rPr>
        <w:t>La</w:t>
      </w:r>
      <w:r w:rsidR="001374A9">
        <w:rPr>
          <w:rFonts w:cs="Arial"/>
          <w:szCs w:val="24"/>
          <w:lang w:val="es-UY"/>
        </w:rPr>
        <w:t xml:space="preserve"> UTF </w:t>
      </w:r>
      <w:r w:rsidR="000031A2" w:rsidRPr="000031A2">
        <w:rPr>
          <w:rFonts w:cs="Arial"/>
          <w:szCs w:val="24"/>
          <w:lang w:val="es-UY"/>
        </w:rPr>
        <w:t>reiter</w:t>
      </w:r>
      <w:r w:rsidR="001374A9">
        <w:rPr>
          <w:rFonts w:cs="Arial"/>
          <w:szCs w:val="24"/>
          <w:lang w:val="es-UY"/>
        </w:rPr>
        <w:t>ó</w:t>
      </w:r>
      <w:r w:rsidR="000031A2">
        <w:rPr>
          <w:rFonts w:cs="Arial"/>
          <w:szCs w:val="24"/>
          <w:lang w:val="es-UY"/>
        </w:rPr>
        <w:t xml:space="preserve"> </w:t>
      </w:r>
      <w:r w:rsidR="000031A2" w:rsidRPr="000031A2">
        <w:rPr>
          <w:rFonts w:cs="Arial"/>
          <w:szCs w:val="24"/>
          <w:lang w:val="es-UY"/>
        </w:rPr>
        <w:t xml:space="preserve">la necesidad de </w:t>
      </w:r>
      <w:r w:rsidR="001374A9">
        <w:rPr>
          <w:rFonts w:cs="Arial"/>
          <w:szCs w:val="24"/>
          <w:lang w:val="es-UY"/>
        </w:rPr>
        <w:t xml:space="preserve">contar con apoyo de las </w:t>
      </w:r>
      <w:proofErr w:type="spellStart"/>
      <w:r w:rsidR="000031A2" w:rsidRPr="000031A2">
        <w:rPr>
          <w:rFonts w:cs="Arial"/>
          <w:szCs w:val="24"/>
          <w:lang w:val="es-UY"/>
        </w:rPr>
        <w:t>UTNFs</w:t>
      </w:r>
      <w:proofErr w:type="spellEnd"/>
      <w:r w:rsidR="000031A2" w:rsidRPr="000031A2">
        <w:rPr>
          <w:rFonts w:cs="Arial"/>
          <w:szCs w:val="24"/>
          <w:lang w:val="es-UY"/>
        </w:rPr>
        <w:t xml:space="preserve"> para agilizar </w:t>
      </w:r>
      <w:r w:rsidR="001374A9">
        <w:rPr>
          <w:rFonts w:cs="Arial"/>
          <w:szCs w:val="24"/>
          <w:lang w:val="es-UY"/>
        </w:rPr>
        <w:t>los trámites internos para la</w:t>
      </w:r>
      <w:r w:rsidR="000031A2" w:rsidRPr="000031A2">
        <w:rPr>
          <w:rFonts w:cs="Arial"/>
          <w:szCs w:val="24"/>
          <w:lang w:val="es-UY"/>
        </w:rPr>
        <w:t xml:space="preserve"> devolución de los saldos FOCEM no utilizados y asegurar la disponibilidad de </w:t>
      </w:r>
      <w:r w:rsidR="000031A2">
        <w:rPr>
          <w:rFonts w:cs="Arial"/>
          <w:szCs w:val="24"/>
          <w:lang w:val="es-UY"/>
        </w:rPr>
        <w:t>esos</w:t>
      </w:r>
      <w:r w:rsidR="000031A2" w:rsidRPr="000031A2">
        <w:rPr>
          <w:rFonts w:cs="Arial"/>
          <w:szCs w:val="24"/>
          <w:lang w:val="es-UY"/>
        </w:rPr>
        <w:t xml:space="preserve"> fondos para nuevos proyectos.</w:t>
      </w:r>
    </w:p>
    <w:p w14:paraId="451C64F6" w14:textId="77777777" w:rsidR="000031A2" w:rsidRPr="000031A2" w:rsidRDefault="000031A2" w:rsidP="00543959">
      <w:pPr>
        <w:jc w:val="both"/>
        <w:rPr>
          <w:rFonts w:cs="Arial"/>
          <w:szCs w:val="24"/>
          <w:lang w:val="es-UY"/>
        </w:rPr>
      </w:pPr>
    </w:p>
    <w:p w14:paraId="6D5A14F2" w14:textId="77777777" w:rsidR="001374A9" w:rsidRPr="001374A9" w:rsidRDefault="000031A2" w:rsidP="00416E3B">
      <w:pPr>
        <w:tabs>
          <w:tab w:val="num" w:pos="2820"/>
        </w:tabs>
        <w:spacing w:line="240" w:lineRule="atLeast"/>
        <w:jc w:val="both"/>
        <w:rPr>
          <w:rFonts w:cs="Arial"/>
          <w:bCs/>
          <w:color w:val="000000"/>
          <w:szCs w:val="24"/>
          <w:lang w:val="es-UY"/>
        </w:rPr>
      </w:pPr>
      <w:r>
        <w:rPr>
          <w:rFonts w:cs="Arial"/>
          <w:color w:val="000000"/>
          <w:szCs w:val="24"/>
          <w:lang w:val="es-UY"/>
        </w:rPr>
        <w:t>Las</w:t>
      </w:r>
      <w:r w:rsidR="00BB7E6D" w:rsidRPr="009F6812">
        <w:rPr>
          <w:rFonts w:cs="Arial"/>
          <w:color w:val="000000"/>
          <w:szCs w:val="24"/>
          <w:lang w:val="es-UY"/>
        </w:rPr>
        <w:t xml:space="preserve"> delegaciones revisaron </w:t>
      </w:r>
      <w:r>
        <w:rPr>
          <w:rFonts w:cs="Arial"/>
          <w:color w:val="000000"/>
          <w:szCs w:val="24"/>
          <w:lang w:val="es-UY"/>
        </w:rPr>
        <w:t>también</w:t>
      </w:r>
      <w:r w:rsidR="00BB7E6D" w:rsidRPr="009F6812">
        <w:rPr>
          <w:rFonts w:cs="Arial"/>
          <w:color w:val="000000"/>
          <w:szCs w:val="24"/>
          <w:lang w:val="es-UY"/>
        </w:rPr>
        <w:t xml:space="preserve"> el grado de avance de los</w:t>
      </w:r>
      <w:r>
        <w:rPr>
          <w:rFonts w:cs="Arial"/>
          <w:color w:val="000000"/>
          <w:szCs w:val="24"/>
          <w:lang w:val="es-UY"/>
        </w:rPr>
        <w:t xml:space="preserve"> 13</w:t>
      </w:r>
      <w:r w:rsidR="00BB7E6D" w:rsidRPr="009F6812">
        <w:rPr>
          <w:rFonts w:cs="Arial"/>
          <w:color w:val="000000"/>
          <w:szCs w:val="24"/>
          <w:lang w:val="es-UY"/>
        </w:rPr>
        <w:t xml:space="preserve"> proyectos en ejecución</w:t>
      </w:r>
      <w:r w:rsidR="005E38C2" w:rsidRPr="009F6812">
        <w:rPr>
          <w:rFonts w:cs="Arial"/>
          <w:color w:val="000000"/>
          <w:szCs w:val="24"/>
          <w:lang w:val="es-UY"/>
        </w:rPr>
        <w:t xml:space="preserve"> (</w:t>
      </w:r>
      <w:r w:rsidR="00A74E3C" w:rsidRPr="009F6812">
        <w:rPr>
          <w:rFonts w:cs="Arial"/>
          <w:b/>
          <w:szCs w:val="24"/>
          <w:lang w:val="es-UY"/>
        </w:rPr>
        <w:t>Anexo I</w:t>
      </w:r>
      <w:r w:rsidR="005E38C2" w:rsidRPr="009F6812">
        <w:rPr>
          <w:rFonts w:cs="Arial"/>
          <w:b/>
          <w:color w:val="000000"/>
          <w:szCs w:val="24"/>
          <w:lang w:val="es-UY"/>
        </w:rPr>
        <w:t>X</w:t>
      </w:r>
      <w:r w:rsidR="005E38C2" w:rsidRPr="009F6812">
        <w:rPr>
          <w:rFonts w:cs="Arial"/>
          <w:bCs/>
          <w:color w:val="000000"/>
          <w:szCs w:val="24"/>
          <w:lang w:val="es-UY"/>
        </w:rPr>
        <w:t>)</w:t>
      </w:r>
      <w:r w:rsidR="00416E3B" w:rsidRPr="009F6812">
        <w:rPr>
          <w:rFonts w:cs="Arial"/>
          <w:bCs/>
          <w:color w:val="000000"/>
          <w:szCs w:val="24"/>
          <w:lang w:val="es-UY"/>
        </w:rPr>
        <w:t xml:space="preserve"> y </w:t>
      </w:r>
      <w:r w:rsidR="001374A9">
        <w:rPr>
          <w:rFonts w:cs="Arial"/>
          <w:bCs/>
          <w:color w:val="000000"/>
          <w:szCs w:val="24"/>
          <w:lang w:val="es-UY"/>
        </w:rPr>
        <w:t>solicitaron a la UTF</w:t>
      </w:r>
      <w:r w:rsidR="001374A9" w:rsidRPr="001374A9">
        <w:rPr>
          <w:lang w:val="es-UY"/>
        </w:rPr>
        <w:t xml:space="preserve"> </w:t>
      </w:r>
      <w:r w:rsidR="001374A9" w:rsidRPr="001374A9">
        <w:rPr>
          <w:rFonts w:cs="Arial"/>
          <w:bCs/>
          <w:color w:val="000000"/>
          <w:szCs w:val="24"/>
          <w:lang w:val="es-UY"/>
        </w:rPr>
        <w:t>que, en presentaciones futuras, incluya una comparación entre el avance físico y financiero registrado en el último GTF, con el fin de poder hacer un seguimiento más detallado de l</w:t>
      </w:r>
      <w:r w:rsidR="009D4FE7">
        <w:rPr>
          <w:rFonts w:cs="Arial"/>
          <w:bCs/>
          <w:color w:val="000000"/>
          <w:szCs w:val="24"/>
          <w:lang w:val="es-UY"/>
        </w:rPr>
        <w:t>a evolución</w:t>
      </w:r>
      <w:r w:rsidR="001374A9" w:rsidRPr="001374A9">
        <w:rPr>
          <w:rFonts w:cs="Arial"/>
          <w:bCs/>
          <w:color w:val="000000"/>
          <w:szCs w:val="24"/>
          <w:lang w:val="es-UY"/>
        </w:rPr>
        <w:t xml:space="preserve"> a lo largo del tiempo.</w:t>
      </w:r>
    </w:p>
    <w:p w14:paraId="33E2711D" w14:textId="77777777" w:rsidR="001374A9" w:rsidRDefault="001374A9" w:rsidP="00416E3B">
      <w:pPr>
        <w:tabs>
          <w:tab w:val="num" w:pos="2820"/>
        </w:tabs>
        <w:spacing w:line="240" w:lineRule="atLeast"/>
        <w:jc w:val="both"/>
        <w:rPr>
          <w:rFonts w:cs="Arial"/>
          <w:bCs/>
          <w:color w:val="000000"/>
          <w:szCs w:val="24"/>
          <w:lang w:val="es-UY"/>
        </w:rPr>
      </w:pPr>
    </w:p>
    <w:p w14:paraId="111A4047" w14:textId="77777777" w:rsidR="00A90CAB" w:rsidRPr="00540C43" w:rsidRDefault="00540C43" w:rsidP="00540C43">
      <w:pPr>
        <w:tabs>
          <w:tab w:val="num" w:pos="2820"/>
        </w:tabs>
        <w:spacing w:line="240" w:lineRule="atLeast"/>
        <w:jc w:val="both"/>
        <w:rPr>
          <w:rFonts w:cs="Arial"/>
          <w:bCs/>
          <w:color w:val="000000"/>
          <w:szCs w:val="24"/>
          <w:lang w:val="es-UY"/>
        </w:rPr>
      </w:pPr>
      <w:r w:rsidRPr="00540C43">
        <w:rPr>
          <w:rFonts w:cs="Arial"/>
          <w:bCs/>
          <w:color w:val="000000"/>
          <w:szCs w:val="24"/>
          <w:lang w:val="es-UY"/>
        </w:rPr>
        <w:t>En relación con los 38 proyectos FOCEM finalizados, la UTF presentó el cuadro que detalla los costos totales finales</w:t>
      </w:r>
      <w:r>
        <w:rPr>
          <w:rFonts w:cs="Arial"/>
          <w:bCs/>
          <w:color w:val="000000"/>
          <w:szCs w:val="24"/>
          <w:lang w:val="es-UY"/>
        </w:rPr>
        <w:t xml:space="preserve"> según </w:t>
      </w:r>
      <w:r w:rsidRPr="00540C43">
        <w:rPr>
          <w:rFonts w:cs="Arial"/>
          <w:bCs/>
          <w:color w:val="000000"/>
          <w:szCs w:val="24"/>
          <w:lang w:val="es-UY"/>
        </w:rPr>
        <w:t xml:space="preserve">cierres de auditoría </w:t>
      </w:r>
      <w:r w:rsidRPr="009F6812">
        <w:rPr>
          <w:rFonts w:cs="Arial"/>
          <w:bCs/>
          <w:color w:val="000000"/>
          <w:szCs w:val="24"/>
          <w:lang w:val="es-UY"/>
        </w:rPr>
        <w:t>(</w:t>
      </w:r>
      <w:r w:rsidRPr="009F6812">
        <w:rPr>
          <w:rFonts w:cs="Arial"/>
          <w:b/>
          <w:szCs w:val="24"/>
          <w:lang w:val="es-UY"/>
        </w:rPr>
        <w:t>Anexo X</w:t>
      </w:r>
      <w:r w:rsidRPr="009F6812">
        <w:rPr>
          <w:rFonts w:cs="Arial"/>
          <w:bCs/>
          <w:szCs w:val="24"/>
          <w:lang w:val="es-UY"/>
        </w:rPr>
        <w:t>).</w:t>
      </w:r>
    </w:p>
    <w:p w14:paraId="372095FF" w14:textId="77777777" w:rsidR="00540C43" w:rsidRPr="009F6812" w:rsidRDefault="00540C43" w:rsidP="00BD1659">
      <w:pPr>
        <w:tabs>
          <w:tab w:val="left" w:pos="1134"/>
        </w:tabs>
        <w:overflowPunct w:val="0"/>
        <w:autoSpaceDE w:val="0"/>
        <w:autoSpaceDN w:val="0"/>
        <w:adjustRightInd w:val="0"/>
        <w:spacing w:line="240" w:lineRule="atLeast"/>
        <w:ind w:left="2820"/>
        <w:rPr>
          <w:rFonts w:cs="Arial"/>
          <w:b/>
          <w:bCs/>
          <w:color w:val="000000"/>
          <w:szCs w:val="24"/>
          <w:lang w:val="es-UY"/>
        </w:rPr>
      </w:pPr>
    </w:p>
    <w:p w14:paraId="782725EF" w14:textId="77777777" w:rsidR="00C95752" w:rsidRPr="009F6812" w:rsidRDefault="00C95752" w:rsidP="00A74E3C">
      <w:pPr>
        <w:numPr>
          <w:ilvl w:val="1"/>
          <w:numId w:val="7"/>
        </w:numPr>
        <w:tabs>
          <w:tab w:val="left" w:pos="1134"/>
        </w:tabs>
        <w:overflowPunct w:val="0"/>
        <w:autoSpaceDE w:val="0"/>
        <w:autoSpaceDN w:val="0"/>
        <w:adjustRightInd w:val="0"/>
        <w:ind w:hanging="1563"/>
        <w:rPr>
          <w:rFonts w:cs="Arial"/>
          <w:b/>
          <w:szCs w:val="24"/>
          <w:lang w:val="es-UY"/>
        </w:rPr>
      </w:pPr>
      <w:r w:rsidRPr="009F6812">
        <w:rPr>
          <w:rFonts w:cs="Arial"/>
          <w:b/>
          <w:szCs w:val="24"/>
          <w:lang w:val="es-UY"/>
        </w:rPr>
        <w:t>Información relevante de algunos proyectos</w:t>
      </w:r>
    </w:p>
    <w:p w14:paraId="10E73AE9" w14:textId="77777777" w:rsidR="00C95752" w:rsidRPr="009F6812" w:rsidRDefault="00C95752" w:rsidP="00C95752">
      <w:pPr>
        <w:jc w:val="both"/>
        <w:rPr>
          <w:rFonts w:cs="Arial"/>
          <w:szCs w:val="24"/>
          <w:lang w:val="es-UY"/>
        </w:rPr>
      </w:pPr>
    </w:p>
    <w:p w14:paraId="11CBC481" w14:textId="77777777" w:rsidR="00540C43" w:rsidRDefault="00416E3B" w:rsidP="008A3752">
      <w:pPr>
        <w:jc w:val="both"/>
        <w:rPr>
          <w:rFonts w:cs="Arial"/>
          <w:b/>
          <w:bCs/>
          <w:szCs w:val="24"/>
          <w:lang w:val="es-UY"/>
        </w:rPr>
      </w:pPr>
      <w:r w:rsidRPr="009F6812">
        <w:rPr>
          <w:rFonts w:cs="Arial"/>
          <w:szCs w:val="24"/>
          <w:lang w:val="es-UY"/>
        </w:rPr>
        <w:t xml:space="preserve">Las delegaciones </w:t>
      </w:r>
      <w:r w:rsidR="008A3752" w:rsidRPr="009F6812">
        <w:rPr>
          <w:rFonts w:cs="Arial"/>
          <w:szCs w:val="24"/>
          <w:lang w:val="es-UY"/>
        </w:rPr>
        <w:t>conversaron</w:t>
      </w:r>
      <w:r w:rsidRPr="009F6812">
        <w:rPr>
          <w:rFonts w:cs="Arial"/>
          <w:szCs w:val="24"/>
          <w:lang w:val="es-UY"/>
        </w:rPr>
        <w:t xml:space="preserve"> con la UTF </w:t>
      </w:r>
      <w:r w:rsidR="008A3752" w:rsidRPr="009F6812">
        <w:rPr>
          <w:rFonts w:cs="Arial"/>
          <w:szCs w:val="24"/>
          <w:lang w:val="es-UY"/>
        </w:rPr>
        <w:t>sobre la</w:t>
      </w:r>
      <w:r w:rsidRPr="009F6812">
        <w:rPr>
          <w:rFonts w:cs="Arial"/>
          <w:szCs w:val="24"/>
          <w:lang w:val="es-UY"/>
        </w:rPr>
        <w:t xml:space="preserve"> </w:t>
      </w:r>
      <w:r w:rsidR="00540C43" w:rsidRPr="00540C43">
        <w:rPr>
          <w:rFonts w:cs="Arial"/>
          <w:szCs w:val="24"/>
          <w:lang w:val="es-UY"/>
        </w:rPr>
        <w:t xml:space="preserve">situación particular de los proyectos en ejecución, evaluando las dificultades específicas de cada caso y las acciones que se están implementando para abordarlas. La información proporcionada por la UTF se encuentra detallada en el </w:t>
      </w:r>
      <w:r w:rsidR="00540C43" w:rsidRPr="00540C43">
        <w:rPr>
          <w:rFonts w:cs="Arial"/>
          <w:b/>
          <w:bCs/>
          <w:szCs w:val="24"/>
          <w:lang w:val="es-UY"/>
        </w:rPr>
        <w:t>Anexo XI.</w:t>
      </w:r>
    </w:p>
    <w:p w14:paraId="513E43C2" w14:textId="77777777" w:rsidR="003A6256" w:rsidRDefault="003A6256" w:rsidP="003A6256">
      <w:pPr>
        <w:jc w:val="both"/>
        <w:rPr>
          <w:rFonts w:ascii="Gill Sans MT" w:hAnsi="Gill Sans MT" w:cs="Arial"/>
          <w:lang w:val="es-UY"/>
        </w:rPr>
      </w:pPr>
    </w:p>
    <w:p w14:paraId="5CBA3A79" w14:textId="77777777" w:rsidR="003A6256" w:rsidRDefault="003A6256" w:rsidP="003A6256">
      <w:pPr>
        <w:jc w:val="both"/>
        <w:rPr>
          <w:rFonts w:cs="Arial"/>
          <w:szCs w:val="24"/>
          <w:lang w:val="es-UY"/>
        </w:rPr>
      </w:pPr>
      <w:r w:rsidRPr="003A6256">
        <w:rPr>
          <w:rFonts w:cs="Arial"/>
          <w:szCs w:val="24"/>
          <w:lang w:val="es-UY"/>
        </w:rPr>
        <w:t xml:space="preserve">En relación con el proyecto "MERCOSUR Social: </w:t>
      </w:r>
      <w:r>
        <w:rPr>
          <w:rFonts w:cs="Arial"/>
          <w:szCs w:val="24"/>
          <w:lang w:val="es-UY"/>
        </w:rPr>
        <w:t>f</w:t>
      </w:r>
      <w:r w:rsidRPr="003A6256">
        <w:rPr>
          <w:rFonts w:cs="Arial"/>
          <w:szCs w:val="24"/>
          <w:lang w:val="es-UY"/>
        </w:rPr>
        <w:t>ortalecimiento del Instituto Social del MERCOSUR y consolidación del PEAS", el GTF expresó su apoyo a</w:t>
      </w:r>
      <w:r>
        <w:rPr>
          <w:rFonts w:cs="Arial"/>
          <w:szCs w:val="24"/>
          <w:lang w:val="es-UY"/>
        </w:rPr>
        <w:t>l criterio técnico de la UTF en el sentido</w:t>
      </w:r>
      <w:r w:rsidRPr="003A6256">
        <w:rPr>
          <w:rFonts w:cs="Arial"/>
          <w:szCs w:val="24"/>
          <w:lang w:val="es-UY"/>
        </w:rPr>
        <w:t xml:space="preserve"> que, </w:t>
      </w:r>
      <w:r>
        <w:rPr>
          <w:rFonts w:cs="Arial"/>
          <w:szCs w:val="24"/>
          <w:lang w:val="es-UY"/>
        </w:rPr>
        <w:t>de</w:t>
      </w:r>
      <w:r w:rsidRPr="003A6256">
        <w:rPr>
          <w:rFonts w:cs="Arial"/>
          <w:szCs w:val="24"/>
          <w:lang w:val="es-UY"/>
        </w:rPr>
        <w:t xml:space="preserve"> no ejecutarse las actividades pendientes durante el presente año </w:t>
      </w:r>
      <w:r>
        <w:rPr>
          <w:rFonts w:cs="Arial"/>
          <w:szCs w:val="24"/>
          <w:lang w:val="es-UY"/>
        </w:rPr>
        <w:t>se debería proceder</w:t>
      </w:r>
      <w:r w:rsidRPr="003A6256">
        <w:rPr>
          <w:rFonts w:cs="Arial"/>
          <w:szCs w:val="24"/>
          <w:lang w:val="es-UY"/>
        </w:rPr>
        <w:t xml:space="preserve"> al cierre</w:t>
      </w:r>
      <w:r>
        <w:rPr>
          <w:rFonts w:cs="Arial"/>
          <w:szCs w:val="24"/>
          <w:lang w:val="es-UY"/>
        </w:rPr>
        <w:t xml:space="preserve"> del proyecto</w:t>
      </w:r>
      <w:r w:rsidRPr="003A6256">
        <w:rPr>
          <w:rFonts w:cs="Arial"/>
          <w:szCs w:val="24"/>
          <w:lang w:val="es-UY"/>
        </w:rPr>
        <w:t>, con el reintegro de los recursos no utilizados.</w:t>
      </w:r>
    </w:p>
    <w:p w14:paraId="6F621B5B" w14:textId="77777777" w:rsidR="002B2CA1" w:rsidRPr="003A6256" w:rsidRDefault="00DF0361" w:rsidP="003A6256">
      <w:pPr>
        <w:jc w:val="both"/>
        <w:rPr>
          <w:rFonts w:cs="Arial"/>
          <w:szCs w:val="24"/>
          <w:lang w:val="es-UY"/>
        </w:rPr>
      </w:pPr>
      <w:r>
        <w:rPr>
          <w:rFonts w:cs="Arial"/>
          <w:szCs w:val="24"/>
          <w:lang w:val="es-UY"/>
        </w:rPr>
        <w:t xml:space="preserve">En cuanto al proyecto </w:t>
      </w:r>
      <w:r w:rsidR="002B2CA1" w:rsidRPr="002B2CA1">
        <w:rPr>
          <w:rFonts w:cs="Arial"/>
          <w:szCs w:val="24"/>
          <w:lang w:val="es-UY"/>
        </w:rPr>
        <w:t xml:space="preserve">"Saneamiento </w:t>
      </w:r>
      <w:r w:rsidR="002B2CA1">
        <w:rPr>
          <w:rFonts w:cs="Arial"/>
          <w:szCs w:val="24"/>
          <w:lang w:val="es-UY"/>
        </w:rPr>
        <w:t>u</w:t>
      </w:r>
      <w:r w:rsidR="002B2CA1" w:rsidRPr="002B2CA1">
        <w:rPr>
          <w:rFonts w:cs="Arial"/>
          <w:szCs w:val="24"/>
          <w:lang w:val="es-UY"/>
        </w:rPr>
        <w:t xml:space="preserve">rbano </w:t>
      </w:r>
      <w:r w:rsidR="002B2CA1">
        <w:rPr>
          <w:rFonts w:cs="Arial"/>
          <w:szCs w:val="24"/>
          <w:lang w:val="es-UY"/>
        </w:rPr>
        <w:t>i</w:t>
      </w:r>
      <w:r w:rsidR="002B2CA1" w:rsidRPr="002B2CA1">
        <w:rPr>
          <w:rFonts w:cs="Arial"/>
          <w:szCs w:val="24"/>
          <w:lang w:val="es-UY"/>
        </w:rPr>
        <w:t xml:space="preserve">ntegrado </w:t>
      </w:r>
      <w:proofErr w:type="spellStart"/>
      <w:r w:rsidR="002B2CA1" w:rsidRPr="002B2CA1">
        <w:rPr>
          <w:rFonts w:cs="Arial"/>
          <w:szCs w:val="24"/>
          <w:lang w:val="es-UY"/>
        </w:rPr>
        <w:t>Aceguá</w:t>
      </w:r>
      <w:proofErr w:type="spellEnd"/>
      <w:r w:rsidR="002B2CA1">
        <w:rPr>
          <w:rFonts w:cs="Arial"/>
          <w:szCs w:val="24"/>
          <w:lang w:val="es-UY"/>
        </w:rPr>
        <w:t>/</w:t>
      </w:r>
      <w:r w:rsidR="002B2CA1" w:rsidRPr="002B2CA1">
        <w:rPr>
          <w:rFonts w:cs="Arial"/>
          <w:szCs w:val="24"/>
          <w:lang w:val="es-UY"/>
        </w:rPr>
        <w:t xml:space="preserve">Brasil </w:t>
      </w:r>
      <w:r w:rsidR="002B2CA1">
        <w:rPr>
          <w:rFonts w:cs="Arial"/>
          <w:szCs w:val="24"/>
          <w:lang w:val="es-UY"/>
        </w:rPr>
        <w:t>–</w:t>
      </w:r>
      <w:r w:rsidR="002B2CA1" w:rsidRPr="002B2CA1">
        <w:rPr>
          <w:rFonts w:cs="Arial"/>
          <w:szCs w:val="24"/>
          <w:lang w:val="es-UY"/>
        </w:rPr>
        <w:t xml:space="preserve"> </w:t>
      </w:r>
      <w:proofErr w:type="spellStart"/>
      <w:r w:rsidR="002B2CA1" w:rsidRPr="002B2CA1">
        <w:rPr>
          <w:rFonts w:cs="Arial"/>
          <w:szCs w:val="24"/>
          <w:lang w:val="es-UY"/>
        </w:rPr>
        <w:t>Aceguá</w:t>
      </w:r>
      <w:proofErr w:type="spellEnd"/>
      <w:r w:rsidR="002B2CA1">
        <w:rPr>
          <w:rFonts w:cs="Arial"/>
          <w:szCs w:val="24"/>
          <w:lang w:val="es-UY"/>
        </w:rPr>
        <w:t>/</w:t>
      </w:r>
      <w:r w:rsidR="002B2CA1" w:rsidRPr="002B2CA1">
        <w:rPr>
          <w:rFonts w:cs="Arial"/>
          <w:szCs w:val="24"/>
          <w:lang w:val="es-UY"/>
        </w:rPr>
        <w:t>Uruguay"</w:t>
      </w:r>
      <w:r w:rsidR="002B2CA1">
        <w:rPr>
          <w:rFonts w:cs="Arial"/>
          <w:szCs w:val="24"/>
          <w:lang w:val="es-UY"/>
        </w:rPr>
        <w:t xml:space="preserve">, la UTF destacó </w:t>
      </w:r>
      <w:r w:rsidR="009D4FE7">
        <w:rPr>
          <w:rFonts w:cs="Arial"/>
          <w:szCs w:val="24"/>
          <w:lang w:val="es-UY"/>
        </w:rPr>
        <w:t>que</w:t>
      </w:r>
      <w:r w:rsidR="002B2CA1">
        <w:rPr>
          <w:rFonts w:cs="Arial"/>
          <w:szCs w:val="24"/>
          <w:lang w:val="es-UY"/>
        </w:rPr>
        <w:t xml:space="preserve"> </w:t>
      </w:r>
      <w:r w:rsidR="009D4FE7">
        <w:rPr>
          <w:rFonts w:cs="Arial"/>
          <w:szCs w:val="24"/>
          <w:lang w:val="es-UY"/>
        </w:rPr>
        <w:t>está pendiente</w:t>
      </w:r>
      <w:r w:rsidR="002B2CA1">
        <w:rPr>
          <w:rFonts w:cs="Arial"/>
          <w:szCs w:val="24"/>
          <w:lang w:val="es-UY"/>
        </w:rPr>
        <w:t xml:space="preserve"> la indicación de los representantes de </w:t>
      </w:r>
      <w:r w:rsidR="009D4FE7">
        <w:rPr>
          <w:rFonts w:cs="Arial"/>
          <w:szCs w:val="24"/>
          <w:lang w:val="es-UY"/>
        </w:rPr>
        <w:t>los</w:t>
      </w:r>
      <w:r w:rsidR="002B2CA1">
        <w:rPr>
          <w:rFonts w:cs="Arial"/>
          <w:szCs w:val="24"/>
          <w:lang w:val="es-UY"/>
        </w:rPr>
        <w:t xml:space="preserve"> Estado</w:t>
      </w:r>
      <w:r w:rsidR="009D4FE7">
        <w:rPr>
          <w:rFonts w:cs="Arial"/>
          <w:szCs w:val="24"/>
          <w:lang w:val="es-UY"/>
        </w:rPr>
        <w:t>s</w:t>
      </w:r>
      <w:r w:rsidR="002B2CA1">
        <w:rPr>
          <w:rFonts w:cs="Arial"/>
          <w:szCs w:val="24"/>
          <w:lang w:val="es-UY"/>
        </w:rPr>
        <w:t xml:space="preserve"> beneficiario</w:t>
      </w:r>
      <w:r w:rsidR="009D4FE7">
        <w:rPr>
          <w:rFonts w:cs="Arial"/>
          <w:szCs w:val="24"/>
          <w:lang w:val="es-UY"/>
        </w:rPr>
        <w:t xml:space="preserve">s y del OE de Brasil </w:t>
      </w:r>
      <w:r w:rsidR="002B2CA1">
        <w:rPr>
          <w:rFonts w:cs="Arial"/>
          <w:szCs w:val="24"/>
          <w:lang w:val="es-UY"/>
        </w:rPr>
        <w:t>para</w:t>
      </w:r>
      <w:r>
        <w:rPr>
          <w:rFonts w:cs="Arial"/>
          <w:szCs w:val="24"/>
          <w:lang w:val="es-UY"/>
        </w:rPr>
        <w:t xml:space="preserve"> concretar la firma del Adenda</w:t>
      </w:r>
      <w:r w:rsidR="002B2CA1">
        <w:rPr>
          <w:rFonts w:cs="Arial"/>
          <w:szCs w:val="24"/>
          <w:lang w:val="es-UY"/>
        </w:rPr>
        <w:t xml:space="preserve"> </w:t>
      </w:r>
      <w:proofErr w:type="spellStart"/>
      <w:r w:rsidR="002B2CA1">
        <w:rPr>
          <w:rFonts w:cs="Arial"/>
          <w:szCs w:val="24"/>
          <w:lang w:val="es-UY"/>
        </w:rPr>
        <w:t>N°</w:t>
      </w:r>
      <w:proofErr w:type="spellEnd"/>
      <w:r w:rsidR="002B2CA1">
        <w:rPr>
          <w:rFonts w:cs="Arial"/>
          <w:szCs w:val="24"/>
          <w:lang w:val="es-UY"/>
        </w:rPr>
        <w:t xml:space="preserve"> 02 </w:t>
      </w:r>
      <w:r>
        <w:rPr>
          <w:rFonts w:cs="Arial"/>
          <w:szCs w:val="24"/>
          <w:lang w:val="es-UY"/>
        </w:rPr>
        <w:t>autorizada por la CRPM en su Acta</w:t>
      </w:r>
      <w:r w:rsidR="002B2CA1">
        <w:rPr>
          <w:rFonts w:cs="Arial"/>
          <w:szCs w:val="24"/>
          <w:lang w:val="es-UY"/>
        </w:rPr>
        <w:t xml:space="preserve"> </w:t>
      </w:r>
      <w:proofErr w:type="spellStart"/>
      <w:r w:rsidR="002B2CA1">
        <w:rPr>
          <w:rFonts w:cs="Arial"/>
          <w:szCs w:val="24"/>
          <w:lang w:val="es-UY"/>
        </w:rPr>
        <w:t>N°</w:t>
      </w:r>
      <w:proofErr w:type="spellEnd"/>
      <w:r w:rsidR="002B2CA1">
        <w:rPr>
          <w:rFonts w:cs="Arial"/>
          <w:szCs w:val="24"/>
          <w:lang w:val="es-UY"/>
        </w:rPr>
        <w:t xml:space="preserve"> 13/24</w:t>
      </w:r>
      <w:r w:rsidR="009D4FE7">
        <w:rPr>
          <w:rFonts w:cs="Arial"/>
          <w:szCs w:val="24"/>
          <w:lang w:val="es-UY"/>
        </w:rPr>
        <w:t>.</w:t>
      </w:r>
    </w:p>
    <w:p w14:paraId="21C06560" w14:textId="77777777" w:rsidR="00F7092E" w:rsidRPr="009F6812" w:rsidRDefault="00F7092E" w:rsidP="00C95752">
      <w:pPr>
        <w:jc w:val="both"/>
        <w:rPr>
          <w:rFonts w:cs="Arial"/>
          <w:szCs w:val="24"/>
          <w:lang w:val="es-UY"/>
        </w:rPr>
      </w:pPr>
    </w:p>
    <w:p w14:paraId="6CFDDC54" w14:textId="77777777" w:rsidR="00BD1659" w:rsidRPr="009F6812" w:rsidRDefault="00BD1659" w:rsidP="00A74E3C">
      <w:pPr>
        <w:numPr>
          <w:ilvl w:val="1"/>
          <w:numId w:val="7"/>
        </w:numPr>
        <w:tabs>
          <w:tab w:val="left" w:pos="1134"/>
        </w:tabs>
        <w:overflowPunct w:val="0"/>
        <w:autoSpaceDE w:val="0"/>
        <w:autoSpaceDN w:val="0"/>
        <w:adjustRightInd w:val="0"/>
        <w:ind w:hanging="1563"/>
        <w:rPr>
          <w:rFonts w:cs="Arial"/>
          <w:b/>
          <w:szCs w:val="24"/>
          <w:lang w:val="es-UY"/>
        </w:rPr>
      </w:pPr>
      <w:r w:rsidRPr="009F6812">
        <w:rPr>
          <w:rFonts w:cs="Arial"/>
          <w:b/>
          <w:szCs w:val="24"/>
          <w:lang w:val="es-UY"/>
        </w:rPr>
        <w:t>Estado de presentación y análisis de informes semestrales</w:t>
      </w:r>
    </w:p>
    <w:p w14:paraId="61FA7527" w14:textId="77777777" w:rsidR="00BD1659" w:rsidRPr="009F6812" w:rsidRDefault="00BD1659" w:rsidP="00BD1659">
      <w:pPr>
        <w:tabs>
          <w:tab w:val="left" w:pos="1134"/>
        </w:tabs>
        <w:overflowPunct w:val="0"/>
        <w:autoSpaceDE w:val="0"/>
        <w:autoSpaceDN w:val="0"/>
        <w:adjustRightInd w:val="0"/>
        <w:ind w:left="2130"/>
        <w:rPr>
          <w:rFonts w:cs="Arial"/>
          <w:b/>
          <w:szCs w:val="24"/>
          <w:lang w:val="es-UY"/>
        </w:rPr>
      </w:pPr>
    </w:p>
    <w:p w14:paraId="606D5612" w14:textId="77777777" w:rsidR="00A60A39" w:rsidRDefault="00A60A39" w:rsidP="00A60A39">
      <w:pPr>
        <w:jc w:val="both"/>
        <w:rPr>
          <w:rFonts w:cs="Arial"/>
          <w:szCs w:val="24"/>
          <w:lang w:val="es-UY"/>
        </w:rPr>
      </w:pPr>
      <w:r w:rsidRPr="009F6812">
        <w:rPr>
          <w:rFonts w:cs="Arial"/>
          <w:szCs w:val="24"/>
          <w:lang w:val="es-UY"/>
        </w:rPr>
        <w:t xml:space="preserve">El GTF </w:t>
      </w:r>
      <w:r w:rsidR="00DC380B" w:rsidRPr="009F6812">
        <w:rPr>
          <w:rFonts w:cs="Arial"/>
          <w:szCs w:val="24"/>
          <w:lang w:val="es-UY"/>
        </w:rPr>
        <w:t>tomó nota de</w:t>
      </w:r>
      <w:r w:rsidRPr="009F6812">
        <w:rPr>
          <w:rFonts w:cs="Arial"/>
          <w:szCs w:val="24"/>
          <w:lang w:val="es-UY"/>
        </w:rPr>
        <w:t xml:space="preserve"> la información actualizada sobre el estado de situación de la presentación y aprobación de los informes semestrales de los proyectos FOCEM (</w:t>
      </w:r>
      <w:r w:rsidR="00F27561" w:rsidRPr="009F6812">
        <w:rPr>
          <w:rFonts w:cs="Arial"/>
          <w:b/>
          <w:szCs w:val="24"/>
          <w:lang w:val="es-UY"/>
        </w:rPr>
        <w:t xml:space="preserve">Anexo </w:t>
      </w:r>
      <w:r w:rsidR="00FD3D3F" w:rsidRPr="009F6812">
        <w:rPr>
          <w:rFonts w:cs="Arial"/>
          <w:b/>
          <w:szCs w:val="24"/>
          <w:lang w:val="es-UY"/>
        </w:rPr>
        <w:t>X</w:t>
      </w:r>
      <w:r w:rsidR="00CF5741" w:rsidRPr="009F6812">
        <w:rPr>
          <w:rFonts w:cs="Arial"/>
          <w:b/>
          <w:szCs w:val="24"/>
          <w:lang w:val="es-UY"/>
        </w:rPr>
        <w:t>I</w:t>
      </w:r>
      <w:r w:rsidR="00FD3D3F" w:rsidRPr="009F6812">
        <w:rPr>
          <w:rFonts w:cs="Arial"/>
          <w:b/>
          <w:szCs w:val="24"/>
          <w:lang w:val="es-UY"/>
        </w:rPr>
        <w:t>I</w:t>
      </w:r>
      <w:r w:rsidRPr="009F6812">
        <w:rPr>
          <w:rFonts w:cs="Arial"/>
          <w:bCs/>
          <w:szCs w:val="24"/>
          <w:lang w:val="es-UY"/>
        </w:rPr>
        <w:t>)</w:t>
      </w:r>
      <w:r w:rsidRPr="009F6812">
        <w:rPr>
          <w:rFonts w:cs="Arial"/>
          <w:szCs w:val="24"/>
          <w:lang w:val="es-UY"/>
        </w:rPr>
        <w:t xml:space="preserve">. </w:t>
      </w:r>
    </w:p>
    <w:p w14:paraId="5D8BE8DF" w14:textId="77777777" w:rsidR="00D96617" w:rsidRPr="009F6812" w:rsidRDefault="00D96617" w:rsidP="00A60A39">
      <w:pPr>
        <w:jc w:val="both"/>
        <w:rPr>
          <w:rFonts w:cs="Arial"/>
          <w:szCs w:val="24"/>
          <w:lang w:val="es-UY"/>
        </w:rPr>
      </w:pPr>
    </w:p>
    <w:p w14:paraId="5B71A846" w14:textId="77777777" w:rsidR="00A60A39" w:rsidRPr="009F6812" w:rsidRDefault="00A60A39" w:rsidP="00BD1659">
      <w:pPr>
        <w:tabs>
          <w:tab w:val="left" w:pos="1134"/>
        </w:tabs>
        <w:overflowPunct w:val="0"/>
        <w:autoSpaceDE w:val="0"/>
        <w:autoSpaceDN w:val="0"/>
        <w:adjustRightInd w:val="0"/>
        <w:ind w:left="2130"/>
        <w:rPr>
          <w:rFonts w:cs="Arial"/>
          <w:b/>
          <w:szCs w:val="24"/>
          <w:lang w:val="es-UY"/>
        </w:rPr>
      </w:pPr>
    </w:p>
    <w:p w14:paraId="32516989" w14:textId="77777777" w:rsidR="00BD1659" w:rsidRPr="009F6812" w:rsidRDefault="00F27561" w:rsidP="00A74E3C">
      <w:pPr>
        <w:numPr>
          <w:ilvl w:val="1"/>
          <w:numId w:val="7"/>
        </w:numPr>
        <w:tabs>
          <w:tab w:val="left" w:pos="1134"/>
        </w:tabs>
        <w:overflowPunct w:val="0"/>
        <w:autoSpaceDE w:val="0"/>
        <w:autoSpaceDN w:val="0"/>
        <w:adjustRightInd w:val="0"/>
        <w:ind w:hanging="1563"/>
        <w:rPr>
          <w:rFonts w:cs="Arial"/>
          <w:b/>
          <w:szCs w:val="24"/>
          <w:lang w:val="es-UY"/>
        </w:rPr>
      </w:pPr>
      <w:r w:rsidRPr="009F6812">
        <w:rPr>
          <w:rFonts w:cs="Arial"/>
          <w:b/>
          <w:szCs w:val="24"/>
          <w:lang w:val="es-UY"/>
        </w:rPr>
        <w:t>A</w:t>
      </w:r>
      <w:r w:rsidR="00BD1659" w:rsidRPr="009F6812">
        <w:rPr>
          <w:rFonts w:cs="Arial"/>
          <w:b/>
          <w:szCs w:val="24"/>
          <w:lang w:val="es-UY"/>
        </w:rPr>
        <w:t xml:space="preserve">uditorías externas </w:t>
      </w:r>
      <w:r w:rsidRPr="009F6812">
        <w:rPr>
          <w:rFonts w:cs="Arial"/>
          <w:b/>
          <w:szCs w:val="24"/>
          <w:lang w:val="es-UY"/>
        </w:rPr>
        <w:t>realizadas y en curso</w:t>
      </w:r>
    </w:p>
    <w:p w14:paraId="784A7A04" w14:textId="77777777" w:rsidR="00BD1659" w:rsidRPr="009F6812" w:rsidRDefault="00BD1659" w:rsidP="00BD1659">
      <w:pPr>
        <w:pStyle w:val="Prrafodelista"/>
        <w:rPr>
          <w:rFonts w:ascii="Arial" w:hAnsi="Arial" w:cs="Arial"/>
          <w:b/>
          <w:lang w:val="es-UY"/>
        </w:rPr>
      </w:pPr>
    </w:p>
    <w:p w14:paraId="5C37F612" w14:textId="77777777" w:rsidR="00FA7FFA" w:rsidRDefault="00041221" w:rsidP="00FA7FFA">
      <w:pPr>
        <w:shd w:val="clear" w:color="auto" w:fill="FFFFFF"/>
        <w:ind w:right="10"/>
        <w:jc w:val="both"/>
        <w:outlineLvl w:val="1"/>
        <w:rPr>
          <w:rFonts w:cs="Arial"/>
          <w:bCs/>
          <w:szCs w:val="24"/>
          <w:lang w:val="es-UY"/>
        </w:rPr>
      </w:pPr>
      <w:r>
        <w:rPr>
          <w:rFonts w:cs="Arial"/>
          <w:szCs w:val="24"/>
          <w:lang w:val="es-UY"/>
        </w:rPr>
        <w:t xml:space="preserve">El GTF tomó nota de las auditorías externas </w:t>
      </w:r>
      <w:r w:rsidR="009D4FE7">
        <w:rPr>
          <w:rFonts w:cs="Arial"/>
          <w:szCs w:val="24"/>
          <w:lang w:val="es-UY"/>
        </w:rPr>
        <w:t>aprobadas</w:t>
      </w:r>
      <w:r>
        <w:rPr>
          <w:rFonts w:cs="Arial"/>
          <w:szCs w:val="24"/>
          <w:lang w:val="es-UY"/>
        </w:rPr>
        <w:t xml:space="preserve"> y en curso </w:t>
      </w:r>
      <w:r w:rsidR="009D4FE7">
        <w:rPr>
          <w:rFonts w:cs="Arial"/>
          <w:szCs w:val="24"/>
          <w:lang w:val="es-UY"/>
        </w:rPr>
        <w:t xml:space="preserve">desde la pasada reunión </w:t>
      </w:r>
      <w:r>
        <w:rPr>
          <w:rFonts w:cs="Arial"/>
          <w:szCs w:val="24"/>
          <w:lang w:val="es-UY"/>
        </w:rPr>
        <w:t>(</w:t>
      </w:r>
      <w:r w:rsidRPr="009F6812">
        <w:rPr>
          <w:rFonts w:cs="Arial"/>
          <w:b/>
          <w:szCs w:val="24"/>
          <w:lang w:val="es-UY"/>
        </w:rPr>
        <w:t>Anexo XI</w:t>
      </w:r>
      <w:r>
        <w:rPr>
          <w:rFonts w:cs="Arial"/>
          <w:b/>
          <w:szCs w:val="24"/>
          <w:lang w:val="es-UY"/>
        </w:rPr>
        <w:t xml:space="preserve">II) </w:t>
      </w:r>
      <w:r>
        <w:rPr>
          <w:rFonts w:cs="Arial"/>
          <w:bCs/>
          <w:szCs w:val="24"/>
          <w:lang w:val="es-UY"/>
        </w:rPr>
        <w:t xml:space="preserve">y la </w:t>
      </w:r>
      <w:r w:rsidR="00FA7FFA" w:rsidRPr="009F6812">
        <w:rPr>
          <w:rFonts w:cs="Arial"/>
          <w:szCs w:val="24"/>
          <w:lang w:val="es-UY"/>
        </w:rPr>
        <w:t>información actualizada de los resultados y costos de las auditorías externas realizadas (</w:t>
      </w:r>
      <w:r w:rsidR="00F27561" w:rsidRPr="009F6812">
        <w:rPr>
          <w:rFonts w:cs="Arial"/>
          <w:b/>
          <w:szCs w:val="24"/>
          <w:lang w:val="es-UY"/>
        </w:rPr>
        <w:t xml:space="preserve">Anexo </w:t>
      </w:r>
      <w:r w:rsidR="00FA7FFA" w:rsidRPr="009F6812">
        <w:rPr>
          <w:rFonts w:cs="Arial"/>
          <w:b/>
          <w:szCs w:val="24"/>
          <w:lang w:val="es-UY"/>
        </w:rPr>
        <w:t>X</w:t>
      </w:r>
      <w:r>
        <w:rPr>
          <w:rFonts w:cs="Arial"/>
          <w:b/>
          <w:szCs w:val="24"/>
          <w:lang w:val="es-UY"/>
        </w:rPr>
        <w:t>I</w:t>
      </w:r>
      <w:r w:rsidR="00CF5741" w:rsidRPr="009F6812">
        <w:rPr>
          <w:rFonts w:cs="Arial"/>
          <w:b/>
          <w:szCs w:val="24"/>
          <w:lang w:val="es-UY"/>
        </w:rPr>
        <w:t>V</w:t>
      </w:r>
      <w:r w:rsidR="00A1672D" w:rsidRPr="009F6812">
        <w:rPr>
          <w:rFonts w:cs="Arial"/>
          <w:bCs/>
          <w:szCs w:val="24"/>
          <w:lang w:val="es-UY"/>
        </w:rPr>
        <w:t>)</w:t>
      </w:r>
      <w:r w:rsidR="000031A2">
        <w:rPr>
          <w:rFonts w:cs="Arial"/>
          <w:bCs/>
          <w:szCs w:val="24"/>
          <w:lang w:val="es-UY"/>
        </w:rPr>
        <w:t>.</w:t>
      </w:r>
    </w:p>
    <w:p w14:paraId="69E7EBE0" w14:textId="77777777" w:rsidR="000031A2" w:rsidRDefault="000031A2" w:rsidP="00FA7FFA">
      <w:pPr>
        <w:shd w:val="clear" w:color="auto" w:fill="FFFFFF"/>
        <w:ind w:right="10"/>
        <w:jc w:val="both"/>
        <w:outlineLvl w:val="1"/>
        <w:rPr>
          <w:rFonts w:cs="Arial"/>
          <w:bCs/>
          <w:szCs w:val="24"/>
          <w:lang w:val="es-UY"/>
        </w:rPr>
      </w:pPr>
    </w:p>
    <w:p w14:paraId="0150DA54" w14:textId="77777777" w:rsidR="009D4FE7" w:rsidRPr="009D4FE7" w:rsidRDefault="000031A2" w:rsidP="009D4FE7">
      <w:pPr>
        <w:shd w:val="clear" w:color="auto" w:fill="FFFFFF"/>
        <w:ind w:right="10"/>
        <w:jc w:val="both"/>
        <w:outlineLvl w:val="1"/>
        <w:rPr>
          <w:rFonts w:cs="Arial"/>
          <w:szCs w:val="24"/>
          <w:lang w:val="es-UY"/>
        </w:rPr>
      </w:pPr>
      <w:r>
        <w:rPr>
          <w:rFonts w:cs="Arial"/>
          <w:bCs/>
          <w:szCs w:val="24"/>
          <w:lang w:val="es-UY"/>
        </w:rPr>
        <w:t xml:space="preserve">En cuanto al </w:t>
      </w:r>
      <w:r w:rsidRPr="009F6812">
        <w:rPr>
          <w:rFonts w:cs="Arial"/>
          <w:szCs w:val="24"/>
          <w:lang w:val="es-UY"/>
        </w:rPr>
        <w:t>Registro de Auditores Externos de proyectos FOCEM</w:t>
      </w:r>
      <w:r>
        <w:rPr>
          <w:rFonts w:cs="Arial"/>
          <w:szCs w:val="24"/>
          <w:lang w:val="es-UY"/>
        </w:rPr>
        <w:t xml:space="preserve">, la UTF informó que no hubo cambios desde el último GTF y que dicho registro mantiene </w:t>
      </w:r>
      <w:r w:rsidR="00910F8B" w:rsidRPr="009F6812">
        <w:rPr>
          <w:rFonts w:cs="Arial"/>
          <w:szCs w:val="24"/>
          <w:lang w:val="es-UY"/>
        </w:rPr>
        <w:t>4</w:t>
      </w:r>
      <w:r w:rsidR="00F27561" w:rsidRPr="009F6812">
        <w:rPr>
          <w:rFonts w:cs="Arial"/>
          <w:szCs w:val="24"/>
          <w:lang w:val="es-UY"/>
        </w:rPr>
        <w:t>4</w:t>
      </w:r>
      <w:r w:rsidR="00FA7FFA" w:rsidRPr="009F6812">
        <w:rPr>
          <w:rFonts w:cs="Arial"/>
          <w:szCs w:val="24"/>
          <w:lang w:val="es-UY"/>
        </w:rPr>
        <w:t xml:space="preserve"> inscriptos</w:t>
      </w:r>
      <w:r>
        <w:rPr>
          <w:rFonts w:cs="Arial"/>
          <w:szCs w:val="24"/>
          <w:lang w:val="es-UY"/>
        </w:rPr>
        <w:t xml:space="preserve"> (</w:t>
      </w:r>
      <w:r w:rsidR="008A53F3" w:rsidRPr="009F6812">
        <w:rPr>
          <w:rFonts w:cs="Arial"/>
          <w:szCs w:val="24"/>
          <w:lang w:val="es-UY"/>
        </w:rPr>
        <w:t>1</w:t>
      </w:r>
      <w:r w:rsidR="00F27561" w:rsidRPr="009F6812">
        <w:rPr>
          <w:rFonts w:cs="Arial"/>
          <w:szCs w:val="24"/>
          <w:lang w:val="es-UY"/>
        </w:rPr>
        <w:t>9</w:t>
      </w:r>
      <w:r w:rsidR="008A53F3" w:rsidRPr="009F6812">
        <w:rPr>
          <w:rFonts w:cs="Arial"/>
          <w:szCs w:val="24"/>
          <w:lang w:val="es-UY"/>
        </w:rPr>
        <w:t xml:space="preserve"> auditores de </w:t>
      </w:r>
      <w:r w:rsidR="00FA7FFA" w:rsidRPr="009F6812">
        <w:rPr>
          <w:rFonts w:cs="Arial"/>
          <w:szCs w:val="24"/>
          <w:lang w:val="es-UY"/>
        </w:rPr>
        <w:t xml:space="preserve">Argentina, </w:t>
      </w:r>
      <w:r w:rsidR="00F27561" w:rsidRPr="009F6812">
        <w:rPr>
          <w:rFonts w:cs="Arial"/>
          <w:szCs w:val="24"/>
          <w:lang w:val="es-UY"/>
        </w:rPr>
        <w:t>4</w:t>
      </w:r>
      <w:r w:rsidR="00FA7FFA" w:rsidRPr="009F6812">
        <w:rPr>
          <w:rFonts w:cs="Arial"/>
          <w:szCs w:val="24"/>
          <w:lang w:val="es-UY"/>
        </w:rPr>
        <w:t xml:space="preserve"> </w:t>
      </w:r>
      <w:r w:rsidR="008A53F3" w:rsidRPr="009F6812">
        <w:rPr>
          <w:rFonts w:cs="Arial"/>
          <w:szCs w:val="24"/>
          <w:lang w:val="es-UY"/>
        </w:rPr>
        <w:t xml:space="preserve">de </w:t>
      </w:r>
      <w:r w:rsidR="00FA7FFA" w:rsidRPr="009F6812">
        <w:rPr>
          <w:rFonts w:cs="Arial"/>
          <w:szCs w:val="24"/>
          <w:lang w:val="es-UY"/>
        </w:rPr>
        <w:t xml:space="preserve">Brasil, </w:t>
      </w:r>
      <w:r w:rsidR="008A53F3" w:rsidRPr="009F6812">
        <w:rPr>
          <w:rFonts w:cs="Arial"/>
          <w:szCs w:val="24"/>
          <w:lang w:val="es-UY"/>
        </w:rPr>
        <w:t>5</w:t>
      </w:r>
      <w:r w:rsidR="00FA7FFA" w:rsidRPr="009F6812">
        <w:rPr>
          <w:rFonts w:cs="Arial"/>
          <w:szCs w:val="24"/>
          <w:lang w:val="es-UY"/>
        </w:rPr>
        <w:t xml:space="preserve"> </w:t>
      </w:r>
      <w:r w:rsidR="008A53F3" w:rsidRPr="009F6812">
        <w:rPr>
          <w:rFonts w:cs="Arial"/>
          <w:szCs w:val="24"/>
          <w:lang w:val="es-UY"/>
        </w:rPr>
        <w:t>de</w:t>
      </w:r>
      <w:r w:rsidR="00FA7FFA" w:rsidRPr="009F6812">
        <w:rPr>
          <w:rFonts w:cs="Arial"/>
          <w:szCs w:val="24"/>
          <w:lang w:val="es-UY"/>
        </w:rPr>
        <w:t xml:space="preserve"> Paraguay, </w:t>
      </w:r>
      <w:r w:rsidR="00910F8B" w:rsidRPr="009F6812">
        <w:rPr>
          <w:rFonts w:cs="Arial"/>
          <w:szCs w:val="24"/>
          <w:lang w:val="es-UY"/>
        </w:rPr>
        <w:t>1</w:t>
      </w:r>
      <w:r w:rsidR="00F27561" w:rsidRPr="009F6812">
        <w:rPr>
          <w:rFonts w:cs="Arial"/>
          <w:szCs w:val="24"/>
          <w:lang w:val="es-UY"/>
        </w:rPr>
        <w:t>3</w:t>
      </w:r>
      <w:r w:rsidR="00FA7FFA" w:rsidRPr="009F6812">
        <w:rPr>
          <w:rFonts w:cs="Arial"/>
          <w:szCs w:val="24"/>
          <w:lang w:val="es-UY"/>
        </w:rPr>
        <w:t xml:space="preserve"> de Uruguay y 3 de Venezuela</w:t>
      </w:r>
      <w:r>
        <w:rPr>
          <w:rFonts w:cs="Arial"/>
          <w:szCs w:val="24"/>
          <w:lang w:val="es-UY"/>
        </w:rPr>
        <w:t>).</w:t>
      </w:r>
      <w:r w:rsidR="009D4FE7">
        <w:rPr>
          <w:rFonts w:cs="Arial"/>
          <w:szCs w:val="24"/>
          <w:lang w:val="es-UY"/>
        </w:rPr>
        <w:t xml:space="preserve"> </w:t>
      </w:r>
      <w:r w:rsidR="009D4FE7">
        <w:rPr>
          <w:rFonts w:cs="Arial"/>
          <w:bCs/>
          <w:szCs w:val="24"/>
          <w:lang w:val="es-UY"/>
        </w:rPr>
        <w:t>La</w:t>
      </w:r>
      <w:r w:rsidR="009D4FE7" w:rsidRPr="009D4FE7">
        <w:rPr>
          <w:rFonts w:cs="Arial"/>
          <w:bCs/>
          <w:szCs w:val="24"/>
          <w:lang w:val="es-UY"/>
        </w:rPr>
        <w:t xml:space="preserve"> UTF </w:t>
      </w:r>
      <w:r w:rsidR="009D4FE7">
        <w:rPr>
          <w:rFonts w:cs="Arial"/>
          <w:bCs/>
          <w:szCs w:val="24"/>
          <w:lang w:val="es-UY"/>
        </w:rPr>
        <w:t xml:space="preserve">señaló también que, en cumplimiento de la normativa aplicable, se realizó </w:t>
      </w:r>
      <w:r w:rsidR="009D4FE7" w:rsidRPr="009D4FE7">
        <w:rPr>
          <w:rFonts w:cs="Arial"/>
          <w:bCs/>
          <w:szCs w:val="24"/>
          <w:lang w:val="es-UY"/>
        </w:rPr>
        <w:t xml:space="preserve">la actualización periódica </w:t>
      </w:r>
      <w:r w:rsidR="009D4FE7">
        <w:rPr>
          <w:rFonts w:cs="Arial"/>
          <w:bCs/>
          <w:szCs w:val="24"/>
          <w:lang w:val="es-UY"/>
        </w:rPr>
        <w:t xml:space="preserve">de </w:t>
      </w:r>
      <w:r w:rsidR="009D4FE7" w:rsidRPr="009D4FE7">
        <w:rPr>
          <w:rFonts w:cs="Arial"/>
          <w:bCs/>
          <w:szCs w:val="24"/>
          <w:lang w:val="es-UY"/>
        </w:rPr>
        <w:t xml:space="preserve">los datos de las empresas inscriptas en el Registro. </w:t>
      </w:r>
    </w:p>
    <w:p w14:paraId="15D475DA" w14:textId="77777777" w:rsidR="009D4FE7" w:rsidRPr="000031A2" w:rsidRDefault="009D4FE7" w:rsidP="00FA7FFA">
      <w:pPr>
        <w:shd w:val="clear" w:color="auto" w:fill="FFFFFF"/>
        <w:ind w:right="10"/>
        <w:jc w:val="both"/>
        <w:outlineLvl w:val="1"/>
        <w:rPr>
          <w:rFonts w:cs="Arial"/>
          <w:bCs/>
          <w:szCs w:val="24"/>
          <w:lang w:val="es-UY"/>
        </w:rPr>
      </w:pPr>
    </w:p>
    <w:p w14:paraId="12B9DB8E" w14:textId="77777777" w:rsidR="00235CAB" w:rsidRDefault="00235CAB" w:rsidP="00FA7FFA">
      <w:pPr>
        <w:shd w:val="clear" w:color="auto" w:fill="FFFFFF"/>
        <w:ind w:right="10"/>
        <w:jc w:val="both"/>
        <w:outlineLvl w:val="1"/>
        <w:rPr>
          <w:rFonts w:cs="Arial"/>
          <w:szCs w:val="24"/>
          <w:lang w:val="es-UY"/>
        </w:rPr>
      </w:pPr>
    </w:p>
    <w:p w14:paraId="7F288DC4" w14:textId="77777777" w:rsidR="00F27561" w:rsidRPr="009F6812" w:rsidRDefault="00F27561" w:rsidP="009F6812">
      <w:pPr>
        <w:numPr>
          <w:ilvl w:val="0"/>
          <w:numId w:val="7"/>
        </w:numPr>
        <w:tabs>
          <w:tab w:val="num" w:pos="426"/>
        </w:tabs>
        <w:overflowPunct w:val="0"/>
        <w:autoSpaceDE w:val="0"/>
        <w:autoSpaceDN w:val="0"/>
        <w:adjustRightInd w:val="0"/>
        <w:spacing w:line="240" w:lineRule="atLeast"/>
        <w:ind w:left="426" w:hanging="426"/>
        <w:jc w:val="both"/>
        <w:rPr>
          <w:rFonts w:cs="Arial"/>
          <w:b/>
          <w:color w:val="000000"/>
          <w:szCs w:val="24"/>
          <w:lang w:val="es-UY"/>
        </w:rPr>
      </w:pPr>
      <w:r w:rsidRPr="009F6812">
        <w:rPr>
          <w:rFonts w:cs="Arial"/>
          <w:b/>
          <w:color w:val="000000"/>
          <w:szCs w:val="24"/>
          <w:lang w:val="es-UY"/>
        </w:rPr>
        <w:t>PROYECTOS EN ETAPA DE ANÁLISIS TÉCNICO Y CRÉDITOS DISPONIBLES PARA NUEVOS PROYECTOS</w:t>
      </w:r>
    </w:p>
    <w:p w14:paraId="51D3A315" w14:textId="77777777" w:rsidR="00F27561" w:rsidRPr="009F6812" w:rsidRDefault="00F27561" w:rsidP="00F27561">
      <w:pPr>
        <w:overflowPunct w:val="0"/>
        <w:autoSpaceDE w:val="0"/>
        <w:autoSpaceDN w:val="0"/>
        <w:adjustRightInd w:val="0"/>
        <w:spacing w:line="240" w:lineRule="atLeast"/>
        <w:ind w:left="426"/>
        <w:rPr>
          <w:rFonts w:cs="Arial"/>
          <w:b/>
          <w:color w:val="000000"/>
          <w:szCs w:val="24"/>
          <w:lang w:val="es-UY"/>
        </w:rPr>
      </w:pPr>
    </w:p>
    <w:p w14:paraId="3F243D10" w14:textId="77777777" w:rsidR="006704CC" w:rsidRDefault="00DC0A44" w:rsidP="00DC0A44">
      <w:pPr>
        <w:shd w:val="clear" w:color="auto" w:fill="FFFFFF"/>
        <w:ind w:right="10"/>
        <w:jc w:val="both"/>
        <w:outlineLvl w:val="1"/>
        <w:rPr>
          <w:rFonts w:cs="Arial"/>
          <w:szCs w:val="24"/>
          <w:lang w:val="es-UY"/>
        </w:rPr>
      </w:pPr>
      <w:r>
        <w:rPr>
          <w:rFonts w:cs="Arial"/>
          <w:szCs w:val="24"/>
          <w:lang w:val="es-UY"/>
        </w:rPr>
        <w:t xml:space="preserve">El GTF repasó la situación de los proyectos en análisis técnico y en etapa de aprobación.  </w:t>
      </w:r>
    </w:p>
    <w:p w14:paraId="6C475FE2" w14:textId="77777777" w:rsidR="006704CC" w:rsidRDefault="006704CC" w:rsidP="00DC0A44">
      <w:pPr>
        <w:shd w:val="clear" w:color="auto" w:fill="FFFFFF"/>
        <w:ind w:right="10"/>
        <w:jc w:val="both"/>
        <w:outlineLvl w:val="1"/>
        <w:rPr>
          <w:rFonts w:cs="Arial"/>
          <w:szCs w:val="24"/>
          <w:lang w:val="es-UY"/>
        </w:rPr>
      </w:pPr>
    </w:p>
    <w:p w14:paraId="09364F7A" w14:textId="77777777" w:rsidR="006704CC" w:rsidRDefault="006704CC" w:rsidP="00DC0A44">
      <w:pPr>
        <w:shd w:val="clear" w:color="auto" w:fill="FFFFFF"/>
        <w:ind w:right="10"/>
        <w:jc w:val="both"/>
        <w:outlineLvl w:val="1"/>
        <w:rPr>
          <w:rFonts w:cs="Arial"/>
          <w:szCs w:val="24"/>
          <w:lang w:val="es-UY"/>
        </w:rPr>
      </w:pPr>
      <w:r>
        <w:rPr>
          <w:rFonts w:cs="Arial"/>
          <w:szCs w:val="24"/>
          <w:lang w:val="es-UY"/>
        </w:rPr>
        <w:t xml:space="preserve">En cuanto a los proyectos “Rehabilitación de la Ruta 6 Tramo I: 343k000 – Ruta 44, Departamento de Tacuarembó” y “Rehabilitación de la Ruta 6 Tramo II: Ruta 44 – Vichadero, Departamento de Rivera”, la UTF informó que se están coordinando las firmas para la aprobación de ambos proyectos por el mecanismo del artículo 6° de la Decisión CMC </w:t>
      </w:r>
      <w:proofErr w:type="spellStart"/>
      <w:r>
        <w:rPr>
          <w:rFonts w:cs="Arial"/>
          <w:szCs w:val="24"/>
          <w:lang w:val="es-UY"/>
        </w:rPr>
        <w:t>N°</w:t>
      </w:r>
      <w:proofErr w:type="spellEnd"/>
      <w:r>
        <w:rPr>
          <w:rFonts w:cs="Arial"/>
          <w:szCs w:val="24"/>
          <w:lang w:val="es-UY"/>
        </w:rPr>
        <w:t xml:space="preserve"> 20/02.</w:t>
      </w:r>
    </w:p>
    <w:p w14:paraId="03939DDE" w14:textId="77777777" w:rsidR="00235CAB" w:rsidRDefault="00235CAB" w:rsidP="00DC0A44">
      <w:pPr>
        <w:shd w:val="clear" w:color="auto" w:fill="FFFFFF"/>
        <w:ind w:right="10"/>
        <w:jc w:val="both"/>
        <w:outlineLvl w:val="1"/>
        <w:rPr>
          <w:rFonts w:cs="Arial"/>
          <w:szCs w:val="24"/>
          <w:lang w:val="es-UY"/>
        </w:rPr>
      </w:pPr>
    </w:p>
    <w:p w14:paraId="511BF702" w14:textId="77777777" w:rsidR="006704CC" w:rsidRPr="006704CC" w:rsidRDefault="006704CC" w:rsidP="006704CC">
      <w:pPr>
        <w:shd w:val="clear" w:color="auto" w:fill="FFFFFF"/>
        <w:ind w:right="10"/>
        <w:jc w:val="both"/>
        <w:outlineLvl w:val="1"/>
        <w:rPr>
          <w:szCs w:val="24"/>
          <w:lang w:val="es-UY"/>
        </w:rPr>
      </w:pPr>
      <w:r>
        <w:rPr>
          <w:rFonts w:cs="Arial"/>
          <w:szCs w:val="24"/>
          <w:lang w:val="es-UY"/>
        </w:rPr>
        <w:lastRenderedPageBreak/>
        <w:t xml:space="preserve">Respecto a los </w:t>
      </w:r>
      <w:r w:rsidR="00235CAB" w:rsidRPr="0056006E">
        <w:rPr>
          <w:szCs w:val="24"/>
          <w:lang w:val="es-UY"/>
        </w:rPr>
        <w:t xml:space="preserve">proyectos en etapa de análisis técnico, </w:t>
      </w:r>
      <w:r>
        <w:rPr>
          <w:szCs w:val="24"/>
          <w:lang w:val="es-UY"/>
        </w:rPr>
        <w:t>el GTF tomó nota de la situación en cada caso</w:t>
      </w:r>
      <w:r w:rsidR="00235CAB" w:rsidRPr="0056006E">
        <w:rPr>
          <w:szCs w:val="24"/>
          <w:lang w:val="es-UY"/>
        </w:rPr>
        <w:t>:</w:t>
      </w:r>
    </w:p>
    <w:p w14:paraId="38DFEBC2" w14:textId="77777777" w:rsidR="00235CAB" w:rsidRPr="006704CC" w:rsidRDefault="00235CAB" w:rsidP="00DC0A44">
      <w:pPr>
        <w:numPr>
          <w:ilvl w:val="0"/>
          <w:numId w:val="43"/>
        </w:numPr>
        <w:shd w:val="clear" w:color="auto" w:fill="FFFFFF"/>
        <w:ind w:right="10"/>
        <w:jc w:val="both"/>
        <w:outlineLvl w:val="1"/>
        <w:rPr>
          <w:rFonts w:cs="Arial"/>
          <w:szCs w:val="24"/>
          <w:lang w:val="es-UY"/>
        </w:rPr>
      </w:pPr>
      <w:r>
        <w:rPr>
          <w:rFonts w:cs="Arial"/>
          <w:szCs w:val="24"/>
          <w:lang w:val="es-UY"/>
        </w:rPr>
        <w:t xml:space="preserve">“Mejoramiento del Centro de frontera de Puerto Falcón, Distrito de José Falcón, Departamento </w:t>
      </w:r>
      <w:proofErr w:type="gramStart"/>
      <w:r>
        <w:rPr>
          <w:rFonts w:cs="Arial"/>
          <w:szCs w:val="24"/>
          <w:lang w:val="es-UY"/>
        </w:rPr>
        <w:t>Presidente</w:t>
      </w:r>
      <w:proofErr w:type="gramEnd"/>
      <w:r>
        <w:rPr>
          <w:rFonts w:cs="Arial"/>
          <w:szCs w:val="24"/>
          <w:lang w:val="es-UY"/>
        </w:rPr>
        <w:t xml:space="preserve"> Hayes 25.860 m</w:t>
      </w:r>
      <w:r w:rsidRPr="00235CAB">
        <w:rPr>
          <w:rFonts w:cs="Arial"/>
          <w:szCs w:val="24"/>
          <w:vertAlign w:val="superscript"/>
          <w:lang w:val="es-UY"/>
        </w:rPr>
        <w:t>2</w:t>
      </w:r>
      <w:r>
        <w:rPr>
          <w:rFonts w:cs="Arial"/>
          <w:szCs w:val="24"/>
          <w:lang w:val="es-UY"/>
        </w:rPr>
        <w:t xml:space="preserve">”: </w:t>
      </w:r>
      <w:r w:rsidR="009D4FE7">
        <w:rPr>
          <w:szCs w:val="24"/>
          <w:lang w:val="es-UY"/>
        </w:rPr>
        <w:t>en proceso final de consultas y elaboración del Dictamen Técnico.</w:t>
      </w:r>
    </w:p>
    <w:p w14:paraId="016437C3" w14:textId="77777777" w:rsidR="006704CC" w:rsidRDefault="006704CC" w:rsidP="006704CC">
      <w:pPr>
        <w:shd w:val="clear" w:color="auto" w:fill="FFFFFF"/>
        <w:ind w:left="720" w:right="10"/>
        <w:jc w:val="both"/>
        <w:outlineLvl w:val="1"/>
        <w:rPr>
          <w:rFonts w:cs="Arial"/>
          <w:szCs w:val="24"/>
          <w:lang w:val="es-UY"/>
        </w:rPr>
      </w:pPr>
    </w:p>
    <w:p w14:paraId="7CBBF5D9" w14:textId="77777777" w:rsidR="006704CC" w:rsidRPr="006704CC" w:rsidRDefault="00DC0A44" w:rsidP="006704CC">
      <w:pPr>
        <w:numPr>
          <w:ilvl w:val="0"/>
          <w:numId w:val="43"/>
        </w:numPr>
        <w:shd w:val="clear" w:color="auto" w:fill="FFFFFF"/>
        <w:ind w:right="10"/>
        <w:jc w:val="both"/>
        <w:outlineLvl w:val="1"/>
        <w:rPr>
          <w:rFonts w:cs="Arial"/>
          <w:szCs w:val="24"/>
          <w:lang w:val="es-UY"/>
        </w:rPr>
      </w:pPr>
      <w:r>
        <w:rPr>
          <w:rFonts w:cs="Arial"/>
          <w:szCs w:val="24"/>
          <w:lang w:val="es-UY"/>
        </w:rPr>
        <w:t xml:space="preserve">“Circunvalación del Municipio de </w:t>
      </w:r>
      <w:proofErr w:type="spellStart"/>
      <w:r>
        <w:rPr>
          <w:rFonts w:cs="Arial"/>
          <w:szCs w:val="24"/>
          <w:lang w:val="es-UY"/>
        </w:rPr>
        <w:t>Amambai</w:t>
      </w:r>
      <w:proofErr w:type="spellEnd"/>
      <w:r>
        <w:rPr>
          <w:rFonts w:cs="Arial"/>
          <w:szCs w:val="24"/>
          <w:lang w:val="es-UY"/>
        </w:rPr>
        <w:t xml:space="preserve"> (MS) – Avanzar </w:t>
      </w:r>
      <w:proofErr w:type="spellStart"/>
      <w:r>
        <w:rPr>
          <w:rFonts w:cs="Arial"/>
          <w:szCs w:val="24"/>
          <w:lang w:val="es-UY"/>
        </w:rPr>
        <w:t>Amambai</w:t>
      </w:r>
      <w:proofErr w:type="spellEnd"/>
      <w:r>
        <w:rPr>
          <w:rFonts w:cs="Arial"/>
          <w:szCs w:val="24"/>
          <w:lang w:val="es-UY"/>
        </w:rPr>
        <w:t>”</w:t>
      </w:r>
      <w:r w:rsidR="009D4FE7">
        <w:rPr>
          <w:rFonts w:cs="Arial"/>
          <w:szCs w:val="24"/>
          <w:lang w:val="es-UY"/>
        </w:rPr>
        <w:t>:</w:t>
      </w:r>
      <w:r w:rsidR="009D4FE7" w:rsidRPr="009D4FE7">
        <w:rPr>
          <w:rFonts w:cs="Arial"/>
          <w:szCs w:val="24"/>
          <w:lang w:val="es-UY"/>
        </w:rPr>
        <w:t xml:space="preserve"> </w:t>
      </w:r>
      <w:r w:rsidR="009D4FE7">
        <w:rPr>
          <w:szCs w:val="24"/>
          <w:lang w:val="es-UY"/>
        </w:rPr>
        <w:t>en proceso final de consultas y elaboración del Dictamen Técnico.</w:t>
      </w:r>
    </w:p>
    <w:p w14:paraId="51D38702" w14:textId="77777777" w:rsidR="006704CC" w:rsidRDefault="006704CC" w:rsidP="006704CC">
      <w:pPr>
        <w:shd w:val="clear" w:color="auto" w:fill="FFFFFF"/>
        <w:ind w:left="720" w:right="10"/>
        <w:jc w:val="both"/>
        <w:outlineLvl w:val="1"/>
        <w:rPr>
          <w:rFonts w:cs="Arial"/>
          <w:szCs w:val="24"/>
          <w:lang w:val="es-UY"/>
        </w:rPr>
      </w:pPr>
    </w:p>
    <w:p w14:paraId="3AEF42CD" w14:textId="77777777" w:rsidR="00D96617" w:rsidRPr="00235CAB" w:rsidRDefault="00235CAB" w:rsidP="00235CAB">
      <w:pPr>
        <w:numPr>
          <w:ilvl w:val="0"/>
          <w:numId w:val="43"/>
        </w:numPr>
        <w:shd w:val="clear" w:color="auto" w:fill="FFFFFF"/>
        <w:ind w:right="10"/>
        <w:jc w:val="both"/>
        <w:outlineLvl w:val="1"/>
        <w:rPr>
          <w:rFonts w:cs="Arial"/>
          <w:szCs w:val="24"/>
          <w:lang w:val="es-UY"/>
        </w:rPr>
      </w:pPr>
      <w:r>
        <w:rPr>
          <w:rFonts w:cs="Arial"/>
          <w:szCs w:val="24"/>
          <w:lang w:val="es-UY"/>
        </w:rPr>
        <w:t>“Fortalecer la gobernanza de las Especies Exóticas Invasoras (EEI) del MERCOSUR”</w:t>
      </w:r>
      <w:r w:rsidR="009D4FE7">
        <w:rPr>
          <w:rFonts w:cs="Arial"/>
          <w:szCs w:val="24"/>
          <w:lang w:val="es-UY"/>
        </w:rPr>
        <w:t>: aguardando nueva versión revisada del proyecto por parte del organismo proponente, en base a las reuniones mantenidas con la UTF.</w:t>
      </w:r>
    </w:p>
    <w:p w14:paraId="07E27B9B" w14:textId="77777777" w:rsidR="00D96617" w:rsidRPr="009F6812" w:rsidRDefault="00D96617" w:rsidP="006F5392">
      <w:pPr>
        <w:jc w:val="both"/>
        <w:rPr>
          <w:rFonts w:cs="Arial"/>
          <w:szCs w:val="24"/>
          <w:lang w:val="es-UY"/>
        </w:rPr>
      </w:pPr>
    </w:p>
    <w:p w14:paraId="16ACA794" w14:textId="77777777" w:rsidR="006F5392" w:rsidRPr="009F6812" w:rsidRDefault="006F5392" w:rsidP="006F5392">
      <w:pPr>
        <w:jc w:val="both"/>
        <w:rPr>
          <w:rFonts w:cs="Arial"/>
          <w:b/>
          <w:bCs/>
          <w:szCs w:val="24"/>
          <w:lang w:val="es-UY"/>
        </w:rPr>
      </w:pPr>
      <w:proofErr w:type="gramStart"/>
      <w:r w:rsidRPr="009F6812">
        <w:rPr>
          <w:rFonts w:cs="Arial"/>
          <w:szCs w:val="24"/>
          <w:lang w:val="es-UY"/>
        </w:rPr>
        <w:t>En relación al</w:t>
      </w:r>
      <w:proofErr w:type="gramEnd"/>
      <w:r w:rsidRPr="009F6812">
        <w:rPr>
          <w:rFonts w:cs="Arial"/>
          <w:szCs w:val="24"/>
          <w:lang w:val="es-UY"/>
        </w:rPr>
        <w:t xml:space="preserve"> crédito disponible para la presentación de nuevos proyectos, la UTF presentó la información que consta como </w:t>
      </w:r>
      <w:r w:rsidRPr="009F6812">
        <w:rPr>
          <w:rFonts w:cs="Arial"/>
          <w:b/>
          <w:bCs/>
          <w:szCs w:val="24"/>
          <w:lang w:val="es-UY"/>
        </w:rPr>
        <w:t>Anexo X</w:t>
      </w:r>
      <w:r w:rsidR="00CF5741" w:rsidRPr="009F6812">
        <w:rPr>
          <w:rFonts w:cs="Arial"/>
          <w:b/>
          <w:bCs/>
          <w:szCs w:val="24"/>
          <w:lang w:val="es-UY"/>
        </w:rPr>
        <w:t>V</w:t>
      </w:r>
      <w:r w:rsidRPr="009F6812">
        <w:rPr>
          <w:rFonts w:cs="Arial"/>
          <w:b/>
          <w:bCs/>
          <w:szCs w:val="24"/>
          <w:lang w:val="es-UY"/>
        </w:rPr>
        <w:t xml:space="preserve">. </w:t>
      </w:r>
    </w:p>
    <w:p w14:paraId="78A58A11" w14:textId="77777777" w:rsidR="006F5392" w:rsidRPr="009F6812" w:rsidRDefault="006F5392" w:rsidP="00F27561">
      <w:pPr>
        <w:pStyle w:val="Prrafodelista"/>
        <w:overflowPunct w:val="0"/>
        <w:autoSpaceDE w:val="0"/>
        <w:autoSpaceDN w:val="0"/>
        <w:adjustRightInd w:val="0"/>
        <w:spacing w:line="240" w:lineRule="atLeast"/>
        <w:ind w:left="2130"/>
        <w:rPr>
          <w:rFonts w:ascii="Arial" w:hAnsi="Arial" w:cs="Arial"/>
          <w:b/>
          <w:lang w:val="es-UY"/>
        </w:rPr>
      </w:pPr>
    </w:p>
    <w:p w14:paraId="01AE9BF3" w14:textId="77777777" w:rsidR="006F5392" w:rsidRPr="009F6812" w:rsidRDefault="006F5392" w:rsidP="00F27561">
      <w:pPr>
        <w:pStyle w:val="Prrafodelista"/>
        <w:overflowPunct w:val="0"/>
        <w:autoSpaceDE w:val="0"/>
        <w:autoSpaceDN w:val="0"/>
        <w:adjustRightInd w:val="0"/>
        <w:spacing w:line="240" w:lineRule="atLeast"/>
        <w:ind w:left="2130"/>
        <w:rPr>
          <w:rFonts w:ascii="Arial" w:hAnsi="Arial" w:cs="Arial"/>
          <w:b/>
          <w:lang w:val="es-UY"/>
        </w:rPr>
      </w:pPr>
    </w:p>
    <w:p w14:paraId="22A170CD" w14:textId="77777777" w:rsidR="00F27561" w:rsidRPr="009F6812" w:rsidRDefault="00F27561" w:rsidP="00F27561">
      <w:pPr>
        <w:numPr>
          <w:ilvl w:val="0"/>
          <w:numId w:val="7"/>
        </w:numPr>
        <w:tabs>
          <w:tab w:val="num" w:pos="426"/>
        </w:tabs>
        <w:overflowPunct w:val="0"/>
        <w:autoSpaceDE w:val="0"/>
        <w:autoSpaceDN w:val="0"/>
        <w:adjustRightInd w:val="0"/>
        <w:spacing w:line="240" w:lineRule="atLeast"/>
        <w:ind w:hanging="1080"/>
        <w:rPr>
          <w:rFonts w:cs="Arial"/>
          <w:b/>
          <w:szCs w:val="24"/>
          <w:lang w:val="es-ES_tradnl"/>
        </w:rPr>
      </w:pPr>
      <w:r w:rsidRPr="009F6812">
        <w:rPr>
          <w:rFonts w:cs="Arial"/>
          <w:b/>
          <w:szCs w:val="24"/>
          <w:lang w:val="es-ES_tradnl"/>
        </w:rPr>
        <w:t>INSTRUCTIVOS DE PROCEDIMIENTO</w:t>
      </w:r>
    </w:p>
    <w:p w14:paraId="267132CE" w14:textId="77777777" w:rsidR="00434E52" w:rsidRPr="009F6812" w:rsidRDefault="00434E52" w:rsidP="00A60A39">
      <w:pPr>
        <w:shd w:val="clear" w:color="auto" w:fill="FFFFFF"/>
        <w:ind w:right="10"/>
        <w:jc w:val="both"/>
        <w:outlineLvl w:val="1"/>
        <w:rPr>
          <w:rFonts w:cs="Arial"/>
          <w:szCs w:val="24"/>
          <w:lang w:val="es-UY"/>
        </w:rPr>
      </w:pPr>
    </w:p>
    <w:p w14:paraId="5FB6DA82" w14:textId="77777777" w:rsidR="00A90CAB" w:rsidRDefault="009965F3" w:rsidP="00A60A39">
      <w:pPr>
        <w:shd w:val="clear" w:color="auto" w:fill="FFFFFF"/>
        <w:ind w:right="10"/>
        <w:jc w:val="both"/>
        <w:outlineLvl w:val="1"/>
        <w:rPr>
          <w:rFonts w:cs="Arial"/>
          <w:szCs w:val="24"/>
          <w:lang w:val="es-UY"/>
        </w:rPr>
      </w:pPr>
      <w:r w:rsidRPr="00A90CAB">
        <w:rPr>
          <w:rFonts w:cs="Arial"/>
          <w:szCs w:val="24"/>
          <w:lang w:val="es-UY"/>
        </w:rPr>
        <w:t xml:space="preserve">En relación con los temas normativos y procedimentales, </w:t>
      </w:r>
      <w:r>
        <w:rPr>
          <w:rFonts w:cs="Arial"/>
          <w:szCs w:val="24"/>
          <w:lang w:val="es-UY"/>
        </w:rPr>
        <w:t>la UTF</w:t>
      </w:r>
      <w:r w:rsidRPr="00A90CAB">
        <w:rPr>
          <w:rFonts w:cs="Arial"/>
          <w:szCs w:val="24"/>
          <w:lang w:val="es-UY"/>
        </w:rPr>
        <w:t xml:space="preserve"> recordó a las </w:t>
      </w:r>
      <w:proofErr w:type="spellStart"/>
      <w:r w:rsidRPr="00A90CAB">
        <w:rPr>
          <w:rFonts w:cs="Arial"/>
          <w:szCs w:val="24"/>
          <w:lang w:val="es-UY"/>
        </w:rPr>
        <w:t>UTNFs</w:t>
      </w:r>
      <w:proofErr w:type="spellEnd"/>
      <w:r w:rsidRPr="00A90CAB">
        <w:rPr>
          <w:rFonts w:cs="Arial"/>
          <w:szCs w:val="24"/>
          <w:lang w:val="es-UY"/>
        </w:rPr>
        <w:t xml:space="preserve"> </w:t>
      </w:r>
      <w:r>
        <w:rPr>
          <w:rFonts w:cs="Arial"/>
          <w:szCs w:val="24"/>
          <w:lang w:val="es-UY"/>
        </w:rPr>
        <w:t>la aplicación de</w:t>
      </w:r>
      <w:r w:rsidRPr="00A90CAB">
        <w:rPr>
          <w:rFonts w:cs="Arial"/>
          <w:szCs w:val="24"/>
          <w:lang w:val="es-UY"/>
        </w:rPr>
        <w:t xml:space="preserve"> los nuevos </w:t>
      </w:r>
      <w:r w:rsidR="007566B3">
        <w:rPr>
          <w:rFonts w:cs="Arial"/>
          <w:szCs w:val="24"/>
          <w:lang w:val="es-UY"/>
        </w:rPr>
        <w:t>I</w:t>
      </w:r>
      <w:r w:rsidRPr="00A90CAB">
        <w:rPr>
          <w:rFonts w:cs="Arial"/>
          <w:szCs w:val="24"/>
          <w:lang w:val="es-UY"/>
        </w:rPr>
        <w:t xml:space="preserve">nstructivos de </w:t>
      </w:r>
      <w:r w:rsidR="007566B3">
        <w:rPr>
          <w:rFonts w:cs="Arial"/>
          <w:szCs w:val="24"/>
          <w:lang w:val="es-UY"/>
        </w:rPr>
        <w:t>P</w:t>
      </w:r>
      <w:r w:rsidRPr="00A90CAB">
        <w:rPr>
          <w:rFonts w:cs="Arial"/>
          <w:szCs w:val="24"/>
          <w:lang w:val="es-UY"/>
        </w:rPr>
        <w:t>rocedimiento</w:t>
      </w:r>
      <w:r w:rsidR="007566B3">
        <w:rPr>
          <w:rFonts w:cs="Arial"/>
          <w:szCs w:val="24"/>
          <w:lang w:val="es-UY"/>
        </w:rPr>
        <w:t xml:space="preserve"> </w:t>
      </w:r>
      <w:r w:rsidRPr="00A90CAB">
        <w:rPr>
          <w:rFonts w:cs="Arial"/>
          <w:szCs w:val="24"/>
          <w:lang w:val="es-UY"/>
        </w:rPr>
        <w:t xml:space="preserve">aprobados </w:t>
      </w:r>
      <w:r>
        <w:rPr>
          <w:rFonts w:cs="Arial"/>
          <w:szCs w:val="24"/>
          <w:lang w:val="es-UY"/>
        </w:rPr>
        <w:t xml:space="preserve">por la CRPM </w:t>
      </w:r>
      <w:r w:rsidR="006704CC">
        <w:rPr>
          <w:rFonts w:cs="Arial"/>
          <w:szCs w:val="24"/>
          <w:lang w:val="es-UY"/>
        </w:rPr>
        <w:t>en el trascurso del corriente año,</w:t>
      </w:r>
      <w:r>
        <w:rPr>
          <w:rFonts w:cs="Arial"/>
          <w:szCs w:val="24"/>
          <w:lang w:val="es-UY"/>
        </w:rPr>
        <w:t xml:space="preserve"> a saber</w:t>
      </w:r>
      <w:r w:rsidRPr="00A90CAB">
        <w:rPr>
          <w:rFonts w:cs="Arial"/>
          <w:szCs w:val="24"/>
          <w:lang w:val="es-UY"/>
        </w:rPr>
        <w:t>:</w:t>
      </w:r>
    </w:p>
    <w:p w14:paraId="04E9869F" w14:textId="77777777" w:rsidR="00D96617" w:rsidRPr="00D96617" w:rsidRDefault="00D96617" w:rsidP="00D96617">
      <w:pPr>
        <w:numPr>
          <w:ilvl w:val="0"/>
          <w:numId w:val="42"/>
        </w:numPr>
        <w:shd w:val="clear" w:color="auto" w:fill="FFFFFF"/>
        <w:ind w:right="10"/>
        <w:jc w:val="both"/>
        <w:outlineLvl w:val="1"/>
        <w:rPr>
          <w:rFonts w:cs="Arial"/>
          <w:szCs w:val="24"/>
          <w:lang w:val="es-UY"/>
        </w:rPr>
      </w:pPr>
      <w:r>
        <w:rPr>
          <w:rFonts w:cs="Arial"/>
          <w:szCs w:val="24"/>
          <w:lang w:val="es-UY"/>
        </w:rPr>
        <w:t xml:space="preserve">IP CRPM </w:t>
      </w:r>
      <w:proofErr w:type="spellStart"/>
      <w:r>
        <w:rPr>
          <w:rFonts w:cs="Arial"/>
          <w:szCs w:val="24"/>
          <w:lang w:val="es-UY"/>
        </w:rPr>
        <w:t>N°</w:t>
      </w:r>
      <w:proofErr w:type="spellEnd"/>
      <w:r>
        <w:rPr>
          <w:rFonts w:cs="Arial"/>
          <w:szCs w:val="24"/>
          <w:lang w:val="es-UY"/>
        </w:rPr>
        <w:t xml:space="preserve"> </w:t>
      </w:r>
      <w:r w:rsidRPr="00D96617">
        <w:rPr>
          <w:rFonts w:cs="Arial"/>
          <w:szCs w:val="24"/>
          <w:lang w:val="es-UY"/>
        </w:rPr>
        <w:t>01/24</w:t>
      </w:r>
      <w:r w:rsidRPr="00D96617">
        <w:rPr>
          <w:rFonts w:cs="Arial"/>
          <w:szCs w:val="24"/>
          <w:lang w:val="es-UY"/>
        </w:rPr>
        <w:tab/>
        <w:t>Actualización de la Guía de Administración Fiduciaria MERCOSUR-FONPLATA</w:t>
      </w:r>
    </w:p>
    <w:p w14:paraId="0DDE29A1" w14:textId="77777777" w:rsidR="00D96617" w:rsidRPr="00D96617" w:rsidRDefault="00D96617" w:rsidP="00D96617">
      <w:pPr>
        <w:numPr>
          <w:ilvl w:val="0"/>
          <w:numId w:val="42"/>
        </w:numPr>
        <w:shd w:val="clear" w:color="auto" w:fill="FFFFFF"/>
        <w:ind w:right="10"/>
        <w:jc w:val="both"/>
        <w:outlineLvl w:val="1"/>
        <w:rPr>
          <w:rFonts w:cs="Arial"/>
          <w:szCs w:val="24"/>
          <w:lang w:val="es-UY"/>
        </w:rPr>
      </w:pPr>
      <w:r>
        <w:rPr>
          <w:rFonts w:cs="Arial"/>
          <w:szCs w:val="24"/>
          <w:lang w:val="es-UY"/>
        </w:rPr>
        <w:t xml:space="preserve">IP CRPM </w:t>
      </w:r>
      <w:proofErr w:type="spellStart"/>
      <w:r>
        <w:rPr>
          <w:rFonts w:cs="Arial"/>
          <w:szCs w:val="24"/>
          <w:lang w:val="es-UY"/>
        </w:rPr>
        <w:t>N°</w:t>
      </w:r>
      <w:proofErr w:type="spellEnd"/>
      <w:r>
        <w:rPr>
          <w:rFonts w:cs="Arial"/>
          <w:szCs w:val="24"/>
          <w:lang w:val="es-UY"/>
        </w:rPr>
        <w:t xml:space="preserve"> </w:t>
      </w:r>
      <w:r w:rsidRPr="00D96617">
        <w:rPr>
          <w:rFonts w:cs="Arial"/>
          <w:szCs w:val="24"/>
          <w:lang w:val="es-UY"/>
        </w:rPr>
        <w:t>02/24</w:t>
      </w:r>
      <w:r w:rsidRPr="00D96617">
        <w:rPr>
          <w:rFonts w:cs="Arial"/>
          <w:szCs w:val="24"/>
          <w:lang w:val="es-UY"/>
        </w:rPr>
        <w:tab/>
        <w:t>Procedimiento para el inicio de un Proyecto FOCEM</w:t>
      </w:r>
    </w:p>
    <w:p w14:paraId="1EEFAAE1" w14:textId="77777777" w:rsidR="00D96617" w:rsidRPr="00D96617" w:rsidRDefault="00D96617" w:rsidP="00D96617">
      <w:pPr>
        <w:numPr>
          <w:ilvl w:val="0"/>
          <w:numId w:val="42"/>
        </w:numPr>
        <w:shd w:val="clear" w:color="auto" w:fill="FFFFFF"/>
        <w:ind w:right="10"/>
        <w:jc w:val="both"/>
        <w:outlineLvl w:val="1"/>
        <w:rPr>
          <w:rFonts w:cs="Arial"/>
          <w:szCs w:val="24"/>
          <w:lang w:val="es-UY"/>
        </w:rPr>
      </w:pPr>
      <w:r>
        <w:rPr>
          <w:rFonts w:cs="Arial"/>
          <w:szCs w:val="24"/>
          <w:lang w:val="es-UY"/>
        </w:rPr>
        <w:t xml:space="preserve">IP CRPM </w:t>
      </w:r>
      <w:r w:rsidRPr="00D96617">
        <w:rPr>
          <w:rFonts w:cs="Arial"/>
          <w:szCs w:val="24"/>
          <w:lang w:val="es-UY"/>
        </w:rPr>
        <w:t>03/24</w:t>
      </w:r>
      <w:r w:rsidR="00235CAB">
        <w:rPr>
          <w:rFonts w:cs="Arial"/>
          <w:szCs w:val="24"/>
          <w:lang w:val="es-UY"/>
        </w:rPr>
        <w:t xml:space="preserve"> </w:t>
      </w:r>
      <w:r w:rsidRPr="00D96617">
        <w:rPr>
          <w:rFonts w:cs="Arial"/>
          <w:szCs w:val="24"/>
          <w:lang w:val="es-UY"/>
        </w:rPr>
        <w:t>Requerimientos de Visibilidad y Comunicación para la ejecución de Proyectos Financiados por el FOCEM</w:t>
      </w:r>
    </w:p>
    <w:p w14:paraId="6B7B45B7" w14:textId="77777777" w:rsidR="00D96617" w:rsidRPr="00235CAB" w:rsidRDefault="00D96617" w:rsidP="00235CAB">
      <w:pPr>
        <w:numPr>
          <w:ilvl w:val="0"/>
          <w:numId w:val="42"/>
        </w:numPr>
        <w:shd w:val="clear" w:color="auto" w:fill="FFFFFF"/>
        <w:ind w:right="10"/>
        <w:jc w:val="both"/>
        <w:outlineLvl w:val="1"/>
        <w:rPr>
          <w:rFonts w:cs="Arial"/>
          <w:szCs w:val="24"/>
          <w:lang w:val="es-UY"/>
        </w:rPr>
      </w:pPr>
      <w:r>
        <w:rPr>
          <w:rFonts w:cs="Arial"/>
          <w:szCs w:val="24"/>
          <w:lang w:val="es-UY"/>
        </w:rPr>
        <w:t xml:space="preserve">IP CRPM </w:t>
      </w:r>
      <w:r w:rsidRPr="00D96617">
        <w:rPr>
          <w:rFonts w:cs="Arial"/>
          <w:szCs w:val="24"/>
          <w:lang w:val="es-UY"/>
        </w:rPr>
        <w:t>04/24</w:t>
      </w:r>
      <w:r w:rsidR="00235CAB">
        <w:rPr>
          <w:rFonts w:cs="Arial"/>
          <w:szCs w:val="24"/>
          <w:lang w:val="es-UY"/>
        </w:rPr>
        <w:t xml:space="preserve"> </w:t>
      </w:r>
      <w:r w:rsidRPr="00235CAB">
        <w:rPr>
          <w:rFonts w:cs="Arial"/>
          <w:szCs w:val="24"/>
          <w:lang w:val="es-UY"/>
        </w:rPr>
        <w:t>Pautas para el cumplimiento de las funciones de los Organismos Ejecutores de los Proyectos FOCEM</w:t>
      </w:r>
    </w:p>
    <w:p w14:paraId="732E5E5C" w14:textId="77777777" w:rsidR="00D96617" w:rsidRPr="009F6812" w:rsidRDefault="00D96617" w:rsidP="00A60A39">
      <w:pPr>
        <w:shd w:val="clear" w:color="auto" w:fill="FFFFFF"/>
        <w:ind w:right="10"/>
        <w:jc w:val="both"/>
        <w:outlineLvl w:val="1"/>
        <w:rPr>
          <w:rFonts w:cs="Arial"/>
          <w:szCs w:val="24"/>
          <w:lang w:val="es-UY"/>
        </w:rPr>
      </w:pPr>
    </w:p>
    <w:p w14:paraId="54E6EA61" w14:textId="77777777" w:rsidR="00034387" w:rsidRPr="009F6812" w:rsidRDefault="00034387" w:rsidP="00A60A39">
      <w:pPr>
        <w:shd w:val="clear" w:color="auto" w:fill="FFFFFF"/>
        <w:ind w:right="10"/>
        <w:jc w:val="both"/>
        <w:outlineLvl w:val="1"/>
        <w:rPr>
          <w:rFonts w:cs="Arial"/>
          <w:szCs w:val="24"/>
          <w:lang w:val="es-UY"/>
        </w:rPr>
      </w:pPr>
    </w:p>
    <w:p w14:paraId="39BA67ED" w14:textId="77777777" w:rsidR="00034387" w:rsidRPr="009F6812" w:rsidRDefault="00034387" w:rsidP="00034387">
      <w:pPr>
        <w:numPr>
          <w:ilvl w:val="0"/>
          <w:numId w:val="7"/>
        </w:numPr>
        <w:tabs>
          <w:tab w:val="num" w:pos="426"/>
        </w:tabs>
        <w:overflowPunct w:val="0"/>
        <w:autoSpaceDE w:val="0"/>
        <w:autoSpaceDN w:val="0"/>
        <w:adjustRightInd w:val="0"/>
        <w:spacing w:line="240" w:lineRule="atLeast"/>
        <w:ind w:hanging="1080"/>
        <w:rPr>
          <w:rFonts w:cs="Arial"/>
          <w:b/>
          <w:szCs w:val="24"/>
          <w:lang w:val="es-ES_tradnl"/>
        </w:rPr>
      </w:pPr>
      <w:r w:rsidRPr="009F6812">
        <w:rPr>
          <w:rFonts w:cs="Arial"/>
          <w:b/>
          <w:szCs w:val="24"/>
          <w:lang w:val="es-ES_tradnl"/>
        </w:rPr>
        <w:t>OTROS ASUNTOS</w:t>
      </w:r>
    </w:p>
    <w:p w14:paraId="3F31BD06" w14:textId="77777777" w:rsidR="00034387" w:rsidRPr="009F6812" w:rsidRDefault="00034387" w:rsidP="00034387">
      <w:pPr>
        <w:overflowPunct w:val="0"/>
        <w:autoSpaceDE w:val="0"/>
        <w:autoSpaceDN w:val="0"/>
        <w:adjustRightInd w:val="0"/>
        <w:spacing w:line="240" w:lineRule="atLeast"/>
        <w:ind w:left="1080"/>
        <w:rPr>
          <w:rFonts w:cs="Arial"/>
          <w:b/>
          <w:szCs w:val="24"/>
          <w:lang w:val="es-ES_tradnl"/>
        </w:rPr>
      </w:pPr>
    </w:p>
    <w:p w14:paraId="722D656B" w14:textId="77777777" w:rsidR="009F6812" w:rsidRPr="00041221" w:rsidRDefault="00041221" w:rsidP="00041221">
      <w:pPr>
        <w:pStyle w:val="Encabezado"/>
        <w:jc w:val="both"/>
        <w:rPr>
          <w:rFonts w:cs="Arial"/>
          <w:szCs w:val="24"/>
          <w:lang w:val="es-UY"/>
        </w:rPr>
      </w:pPr>
      <w:r w:rsidRPr="00041221">
        <w:rPr>
          <w:rFonts w:cs="Arial"/>
          <w:szCs w:val="24"/>
          <w:lang w:val="es-UY"/>
        </w:rPr>
        <w:t xml:space="preserve">La UTF </w:t>
      </w:r>
      <w:r w:rsidR="00E46170">
        <w:rPr>
          <w:rFonts w:cs="Arial"/>
          <w:szCs w:val="24"/>
          <w:lang w:val="es-UY"/>
        </w:rPr>
        <w:t xml:space="preserve">comunicó la toma de posesión de </w:t>
      </w:r>
      <w:r w:rsidRPr="00041221">
        <w:rPr>
          <w:rFonts w:cs="Arial"/>
          <w:szCs w:val="24"/>
          <w:lang w:val="es-UY"/>
        </w:rPr>
        <w:t>Inés Millán como Técnico Senior</w:t>
      </w:r>
      <w:r w:rsidR="00E46170">
        <w:rPr>
          <w:rFonts w:cs="Arial"/>
          <w:szCs w:val="24"/>
          <w:lang w:val="es-UY"/>
        </w:rPr>
        <w:t xml:space="preserve"> de nacionalidad uruguaya e informó de los procesos de selección actualmente en curso para los cargos de Analista de proyectos de nacionalidad uruguaya y Asistente técnico de nacionalidad paraguaya.</w:t>
      </w:r>
    </w:p>
    <w:p w14:paraId="5298BCB2" w14:textId="77777777" w:rsidR="00041221" w:rsidRPr="009F6812" w:rsidRDefault="00041221" w:rsidP="00A60A39">
      <w:pPr>
        <w:shd w:val="clear" w:color="auto" w:fill="FFFFFF"/>
        <w:ind w:right="10"/>
        <w:jc w:val="both"/>
        <w:outlineLvl w:val="1"/>
        <w:rPr>
          <w:rFonts w:cs="Arial"/>
          <w:szCs w:val="24"/>
          <w:lang w:val="es-UY"/>
        </w:rPr>
      </w:pPr>
    </w:p>
    <w:p w14:paraId="488BD833" w14:textId="77777777" w:rsidR="00A1672D" w:rsidRPr="009F6812" w:rsidRDefault="00A1672D" w:rsidP="00125D9A">
      <w:pPr>
        <w:overflowPunct w:val="0"/>
        <w:autoSpaceDE w:val="0"/>
        <w:autoSpaceDN w:val="0"/>
        <w:adjustRightInd w:val="0"/>
        <w:ind w:left="1080"/>
        <w:rPr>
          <w:rFonts w:cs="Arial"/>
          <w:b/>
          <w:color w:val="000000"/>
          <w:szCs w:val="24"/>
          <w:lang w:val="es-UY"/>
        </w:rPr>
      </w:pPr>
    </w:p>
    <w:p w14:paraId="37F1E6B5" w14:textId="77777777" w:rsidR="007F6514" w:rsidRPr="00DD39D3" w:rsidRDefault="007F6514" w:rsidP="00D00F2D">
      <w:pPr>
        <w:jc w:val="both"/>
        <w:rPr>
          <w:rFonts w:cs="Arial"/>
          <w:b/>
          <w:szCs w:val="24"/>
          <w:lang w:val="es-UY"/>
        </w:rPr>
      </w:pPr>
      <w:r w:rsidRPr="00DD39D3">
        <w:rPr>
          <w:rFonts w:cs="Arial"/>
          <w:b/>
          <w:szCs w:val="24"/>
          <w:lang w:val="es-UY"/>
        </w:rPr>
        <w:t>ANEXOS:</w:t>
      </w:r>
      <w:r w:rsidRPr="00DD39D3">
        <w:rPr>
          <w:rFonts w:cs="Arial"/>
          <w:b/>
          <w:szCs w:val="24"/>
          <w:lang w:val="es-UY"/>
        </w:rPr>
        <w:tab/>
      </w:r>
    </w:p>
    <w:p w14:paraId="562C80D9" w14:textId="77777777" w:rsidR="007F6514" w:rsidRPr="00DD39D3" w:rsidRDefault="007F6514" w:rsidP="00D00F2D">
      <w:pPr>
        <w:pStyle w:val="Encabezado"/>
        <w:jc w:val="both"/>
        <w:rPr>
          <w:rFonts w:cs="Arial"/>
          <w:szCs w:val="24"/>
          <w:lang w:val="es-UY"/>
        </w:rPr>
      </w:pPr>
    </w:p>
    <w:p w14:paraId="0457EF89" w14:textId="77777777" w:rsidR="00471E49" w:rsidRPr="009F6812" w:rsidRDefault="007F6514" w:rsidP="00D00F2D">
      <w:pPr>
        <w:pStyle w:val="Encabezado"/>
        <w:jc w:val="both"/>
        <w:rPr>
          <w:rFonts w:cs="Arial"/>
          <w:szCs w:val="24"/>
          <w:lang w:val="es-UY"/>
        </w:rPr>
      </w:pPr>
      <w:r w:rsidRPr="009F6812">
        <w:rPr>
          <w:rFonts w:cs="Arial"/>
          <w:szCs w:val="24"/>
          <w:lang w:val="es-UY"/>
        </w:rPr>
        <w:t>Los Anexos que forman parte de la presente Acta son los siguientes:</w:t>
      </w:r>
    </w:p>
    <w:p w14:paraId="3C8D010F" w14:textId="77777777" w:rsidR="00471E49" w:rsidRPr="009F6812" w:rsidRDefault="00471E49" w:rsidP="00D00F2D">
      <w:pPr>
        <w:pStyle w:val="Encabezado"/>
        <w:jc w:val="both"/>
        <w:rPr>
          <w:rFonts w:cs="Arial"/>
          <w:szCs w:val="24"/>
          <w:lang w:val="es-U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452"/>
      </w:tblGrid>
      <w:tr w:rsidR="00471E49" w:rsidRPr="009F6812" w14:paraId="25859725" w14:textId="77777777" w:rsidTr="00561EDD">
        <w:tc>
          <w:tcPr>
            <w:tcW w:w="1728" w:type="dxa"/>
          </w:tcPr>
          <w:p w14:paraId="086E6F53" w14:textId="77777777" w:rsidR="00471E49" w:rsidRPr="009F6812" w:rsidRDefault="00471E49" w:rsidP="00471E49">
            <w:pPr>
              <w:jc w:val="both"/>
              <w:rPr>
                <w:rFonts w:cs="Arial"/>
                <w:b/>
                <w:szCs w:val="24"/>
                <w:lang w:val="es-UY"/>
              </w:rPr>
            </w:pPr>
            <w:r w:rsidRPr="009F6812">
              <w:rPr>
                <w:rFonts w:cs="Arial"/>
                <w:b/>
                <w:szCs w:val="24"/>
                <w:lang w:val="es-UY"/>
              </w:rPr>
              <w:t>ANEXO I</w:t>
            </w:r>
          </w:p>
        </w:tc>
        <w:tc>
          <w:tcPr>
            <w:tcW w:w="7452" w:type="dxa"/>
          </w:tcPr>
          <w:p w14:paraId="0FB17296" w14:textId="77777777" w:rsidR="00471E49" w:rsidRPr="009F6812" w:rsidRDefault="00471E49" w:rsidP="00471E49">
            <w:pPr>
              <w:jc w:val="both"/>
              <w:rPr>
                <w:rFonts w:cs="Arial"/>
                <w:szCs w:val="24"/>
                <w:lang w:val="es-UY"/>
              </w:rPr>
            </w:pPr>
            <w:r w:rsidRPr="009F6812">
              <w:rPr>
                <w:rFonts w:cs="Arial"/>
                <w:szCs w:val="24"/>
                <w:lang w:val="es-UY"/>
              </w:rPr>
              <w:t>Lista de Participantes</w:t>
            </w:r>
          </w:p>
        </w:tc>
      </w:tr>
      <w:tr w:rsidR="00471E49" w:rsidRPr="009F6812" w14:paraId="2DA38137" w14:textId="77777777" w:rsidTr="00561EDD">
        <w:tc>
          <w:tcPr>
            <w:tcW w:w="1728" w:type="dxa"/>
          </w:tcPr>
          <w:p w14:paraId="11043831" w14:textId="77777777" w:rsidR="00471E49" w:rsidRPr="009F6812" w:rsidRDefault="00471E49" w:rsidP="00471E49">
            <w:pPr>
              <w:jc w:val="both"/>
              <w:rPr>
                <w:rFonts w:cs="Arial"/>
                <w:b/>
                <w:szCs w:val="24"/>
                <w:lang w:val="es-UY"/>
              </w:rPr>
            </w:pPr>
            <w:r w:rsidRPr="009F6812">
              <w:rPr>
                <w:rFonts w:cs="Arial"/>
                <w:b/>
                <w:szCs w:val="24"/>
                <w:lang w:val="es-UY"/>
              </w:rPr>
              <w:t>ANEXO II</w:t>
            </w:r>
          </w:p>
        </w:tc>
        <w:tc>
          <w:tcPr>
            <w:tcW w:w="7452" w:type="dxa"/>
          </w:tcPr>
          <w:p w14:paraId="69EC69CB" w14:textId="77777777" w:rsidR="00471E49" w:rsidRPr="009F6812" w:rsidRDefault="00471E49" w:rsidP="00471E49">
            <w:pPr>
              <w:jc w:val="both"/>
              <w:rPr>
                <w:rFonts w:cs="Arial"/>
                <w:szCs w:val="24"/>
                <w:lang w:val="es-UY"/>
              </w:rPr>
            </w:pPr>
            <w:r w:rsidRPr="009F6812">
              <w:rPr>
                <w:rFonts w:cs="Arial"/>
                <w:szCs w:val="24"/>
                <w:lang w:val="es-UY"/>
              </w:rPr>
              <w:t>Agenda</w:t>
            </w:r>
          </w:p>
        </w:tc>
      </w:tr>
      <w:tr w:rsidR="006F5392" w:rsidRPr="00DD39D3" w14:paraId="2B4C1DD8" w14:textId="77777777" w:rsidTr="00561EDD">
        <w:tc>
          <w:tcPr>
            <w:tcW w:w="1728" w:type="dxa"/>
          </w:tcPr>
          <w:p w14:paraId="74A0E71B" w14:textId="77777777" w:rsidR="006F5392" w:rsidRPr="009F6812" w:rsidRDefault="006F5392" w:rsidP="006F5392">
            <w:pPr>
              <w:jc w:val="both"/>
              <w:rPr>
                <w:rFonts w:cs="Arial"/>
                <w:b/>
                <w:szCs w:val="24"/>
                <w:lang w:val="es-UY"/>
              </w:rPr>
            </w:pPr>
            <w:r w:rsidRPr="009F6812">
              <w:rPr>
                <w:rFonts w:cs="Arial"/>
                <w:b/>
                <w:szCs w:val="24"/>
                <w:lang w:val="es-UY"/>
              </w:rPr>
              <w:t>ANEXO III</w:t>
            </w:r>
          </w:p>
        </w:tc>
        <w:tc>
          <w:tcPr>
            <w:tcW w:w="7452" w:type="dxa"/>
          </w:tcPr>
          <w:p w14:paraId="5BCEE5A0" w14:textId="77777777" w:rsidR="006F5392" w:rsidRPr="009F6812" w:rsidRDefault="006F5392" w:rsidP="006F5392">
            <w:pPr>
              <w:jc w:val="both"/>
              <w:rPr>
                <w:rFonts w:cs="Arial"/>
                <w:szCs w:val="24"/>
                <w:lang w:val="es-UY"/>
              </w:rPr>
            </w:pPr>
            <w:r w:rsidRPr="009F6812">
              <w:rPr>
                <w:rFonts w:cs="Arial"/>
                <w:szCs w:val="24"/>
                <w:lang w:val="es-UY"/>
              </w:rPr>
              <w:t xml:space="preserve">Disponibilidades bancarias e inversiones a plazo fijo al </w:t>
            </w:r>
            <w:r w:rsidR="00D96617">
              <w:rPr>
                <w:rFonts w:cs="Arial"/>
                <w:szCs w:val="24"/>
                <w:lang w:val="es-UY"/>
              </w:rPr>
              <w:t>30</w:t>
            </w:r>
            <w:r w:rsidRPr="009F6812">
              <w:rPr>
                <w:rFonts w:cs="Arial"/>
                <w:szCs w:val="24"/>
                <w:lang w:val="es-UY"/>
              </w:rPr>
              <w:t>/0</w:t>
            </w:r>
            <w:r w:rsidR="00D96617">
              <w:rPr>
                <w:rFonts w:cs="Arial"/>
                <w:szCs w:val="24"/>
                <w:lang w:val="es-UY"/>
              </w:rPr>
              <w:t>9</w:t>
            </w:r>
            <w:r w:rsidRPr="009F6812">
              <w:rPr>
                <w:rFonts w:cs="Arial"/>
                <w:szCs w:val="24"/>
                <w:lang w:val="es-UY"/>
              </w:rPr>
              <w:t>/24</w:t>
            </w:r>
          </w:p>
        </w:tc>
      </w:tr>
      <w:tr w:rsidR="006F5392" w:rsidRPr="00DD39D3" w14:paraId="05174FBF" w14:textId="77777777" w:rsidTr="00561EDD">
        <w:tc>
          <w:tcPr>
            <w:tcW w:w="1728" w:type="dxa"/>
          </w:tcPr>
          <w:p w14:paraId="22219E78" w14:textId="77777777" w:rsidR="006F5392" w:rsidRPr="009F6812" w:rsidRDefault="006F5392" w:rsidP="006F5392">
            <w:pPr>
              <w:jc w:val="both"/>
              <w:rPr>
                <w:rFonts w:cs="Arial"/>
                <w:b/>
                <w:szCs w:val="24"/>
                <w:lang w:val="es-UY"/>
              </w:rPr>
            </w:pPr>
            <w:r w:rsidRPr="009F6812">
              <w:rPr>
                <w:rFonts w:cs="Arial"/>
                <w:b/>
                <w:szCs w:val="24"/>
                <w:lang w:val="es-UY"/>
              </w:rPr>
              <w:t>ANEXO IV</w:t>
            </w:r>
          </w:p>
        </w:tc>
        <w:tc>
          <w:tcPr>
            <w:tcW w:w="7452" w:type="dxa"/>
          </w:tcPr>
          <w:p w14:paraId="7EC92181" w14:textId="77777777" w:rsidR="006F5392" w:rsidRPr="009F6812" w:rsidRDefault="006F5392" w:rsidP="006F5392">
            <w:pPr>
              <w:jc w:val="both"/>
              <w:rPr>
                <w:rFonts w:cs="Arial"/>
                <w:szCs w:val="24"/>
                <w:lang w:val="es-UY"/>
              </w:rPr>
            </w:pPr>
            <w:r w:rsidRPr="009F6812">
              <w:rPr>
                <w:rFonts w:cs="Arial"/>
                <w:szCs w:val="24"/>
                <w:lang w:val="es-UY"/>
              </w:rPr>
              <w:t xml:space="preserve">Resultados financieros obtenidos por cuentas gestionadas por UTF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r w:rsidR="006F5392" w:rsidRPr="00DD39D3" w14:paraId="318467A6" w14:textId="77777777" w:rsidTr="00561EDD">
        <w:tc>
          <w:tcPr>
            <w:tcW w:w="1728" w:type="dxa"/>
          </w:tcPr>
          <w:p w14:paraId="6A5B0BDB" w14:textId="77777777" w:rsidR="006F5392" w:rsidRPr="009F6812" w:rsidRDefault="006F5392" w:rsidP="006F5392">
            <w:pPr>
              <w:jc w:val="both"/>
              <w:rPr>
                <w:rFonts w:cs="Arial"/>
                <w:b/>
                <w:szCs w:val="24"/>
                <w:lang w:val="es-UY"/>
              </w:rPr>
            </w:pPr>
            <w:r w:rsidRPr="009F6812">
              <w:rPr>
                <w:rFonts w:cs="Arial"/>
                <w:b/>
                <w:szCs w:val="24"/>
                <w:lang w:val="es-UY"/>
              </w:rPr>
              <w:t>ANEXO V</w:t>
            </w:r>
          </w:p>
        </w:tc>
        <w:tc>
          <w:tcPr>
            <w:tcW w:w="7452" w:type="dxa"/>
          </w:tcPr>
          <w:p w14:paraId="41E2B69C" w14:textId="77777777" w:rsidR="006F5392" w:rsidRPr="009F6812" w:rsidRDefault="006F5392" w:rsidP="006F5392">
            <w:pPr>
              <w:tabs>
                <w:tab w:val="left" w:pos="1134"/>
                <w:tab w:val="num" w:pos="2130"/>
              </w:tabs>
              <w:jc w:val="both"/>
              <w:rPr>
                <w:rFonts w:cs="Arial"/>
                <w:szCs w:val="24"/>
                <w:lang w:val="es-UY"/>
              </w:rPr>
            </w:pPr>
            <w:r w:rsidRPr="009F6812">
              <w:rPr>
                <w:rFonts w:cs="Arial"/>
                <w:szCs w:val="24"/>
                <w:lang w:val="es-UY"/>
              </w:rPr>
              <w:t xml:space="preserve">Situación de los recursos bajo administración fiduciaria de FONPLATA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r w:rsidR="006F5392" w:rsidRPr="00DD39D3" w14:paraId="6519971E" w14:textId="77777777" w:rsidTr="00561EDD">
        <w:tc>
          <w:tcPr>
            <w:tcW w:w="1728" w:type="dxa"/>
          </w:tcPr>
          <w:p w14:paraId="3F891123" w14:textId="77777777" w:rsidR="006F5392" w:rsidRPr="009F6812" w:rsidRDefault="006F5392" w:rsidP="006F5392">
            <w:pPr>
              <w:jc w:val="both"/>
              <w:rPr>
                <w:rFonts w:cs="Arial"/>
                <w:b/>
                <w:szCs w:val="24"/>
                <w:lang w:val="es-UY"/>
              </w:rPr>
            </w:pPr>
            <w:r w:rsidRPr="009F6812">
              <w:rPr>
                <w:rFonts w:cs="Arial"/>
                <w:b/>
                <w:szCs w:val="24"/>
                <w:lang w:val="es-UY"/>
              </w:rPr>
              <w:lastRenderedPageBreak/>
              <w:t>ANEXO VI</w:t>
            </w:r>
          </w:p>
        </w:tc>
        <w:tc>
          <w:tcPr>
            <w:tcW w:w="7452" w:type="dxa"/>
          </w:tcPr>
          <w:p w14:paraId="086350A6" w14:textId="77777777" w:rsidR="006F5392" w:rsidRPr="009F6812" w:rsidRDefault="006F5392" w:rsidP="006F5392">
            <w:pPr>
              <w:jc w:val="both"/>
              <w:rPr>
                <w:rFonts w:cs="Arial"/>
                <w:szCs w:val="24"/>
                <w:lang w:val="es-UY"/>
              </w:rPr>
            </w:pPr>
            <w:r w:rsidRPr="009F6812">
              <w:rPr>
                <w:rFonts w:cs="Arial"/>
                <w:szCs w:val="24"/>
                <w:lang w:val="es-UY"/>
              </w:rPr>
              <w:t>Proyección de desembolsos y disponibilidades para el período 2024-202</w:t>
            </w:r>
            <w:r w:rsidR="00D96617">
              <w:rPr>
                <w:rFonts w:cs="Arial"/>
                <w:szCs w:val="24"/>
                <w:lang w:val="es-UY"/>
              </w:rPr>
              <w:t>8</w:t>
            </w:r>
          </w:p>
        </w:tc>
      </w:tr>
      <w:tr w:rsidR="006F5392" w:rsidRPr="00DD39D3" w14:paraId="0818BC3E" w14:textId="77777777" w:rsidTr="00561EDD">
        <w:tc>
          <w:tcPr>
            <w:tcW w:w="1728" w:type="dxa"/>
          </w:tcPr>
          <w:p w14:paraId="21C73730" w14:textId="77777777" w:rsidR="006F5392" w:rsidRPr="009F6812" w:rsidRDefault="006F5392" w:rsidP="006F5392">
            <w:pPr>
              <w:jc w:val="both"/>
              <w:rPr>
                <w:rFonts w:cs="Arial"/>
                <w:b/>
                <w:szCs w:val="24"/>
                <w:lang w:val="es-UY"/>
              </w:rPr>
            </w:pPr>
            <w:r w:rsidRPr="009F6812">
              <w:rPr>
                <w:rFonts w:cs="Arial"/>
                <w:b/>
                <w:szCs w:val="24"/>
                <w:lang w:val="es-UY"/>
              </w:rPr>
              <w:t>ANEXO VII</w:t>
            </w:r>
          </w:p>
        </w:tc>
        <w:tc>
          <w:tcPr>
            <w:tcW w:w="7452" w:type="dxa"/>
          </w:tcPr>
          <w:p w14:paraId="729CE561" w14:textId="77777777" w:rsidR="006F5392" w:rsidRPr="009F6812" w:rsidRDefault="006F5392" w:rsidP="006F5392">
            <w:pPr>
              <w:jc w:val="both"/>
              <w:rPr>
                <w:rFonts w:cs="Arial"/>
                <w:szCs w:val="24"/>
                <w:lang w:val="es-UY"/>
              </w:rPr>
            </w:pPr>
            <w:r w:rsidRPr="009F6812">
              <w:rPr>
                <w:rFonts w:cs="Arial"/>
                <w:szCs w:val="24"/>
                <w:lang w:val="es-UY"/>
              </w:rPr>
              <w:t>Cuadro síntesis de la cartera de proyectos FOCEM</w:t>
            </w:r>
            <w:r w:rsidR="003A6256">
              <w:rPr>
                <w:rFonts w:cs="Arial"/>
                <w:szCs w:val="24"/>
                <w:lang w:val="es-UY"/>
              </w:rPr>
              <w:t xml:space="preserve"> </w:t>
            </w:r>
          </w:p>
        </w:tc>
      </w:tr>
      <w:tr w:rsidR="006F5392" w:rsidRPr="00DD39D3" w14:paraId="04E21691" w14:textId="77777777" w:rsidTr="00561EDD">
        <w:tc>
          <w:tcPr>
            <w:tcW w:w="1728" w:type="dxa"/>
          </w:tcPr>
          <w:p w14:paraId="37FA4FB2" w14:textId="77777777" w:rsidR="006F5392" w:rsidRPr="009F6812" w:rsidRDefault="006F5392" w:rsidP="006F5392">
            <w:pPr>
              <w:jc w:val="both"/>
              <w:rPr>
                <w:rFonts w:cs="Arial"/>
                <w:b/>
                <w:szCs w:val="24"/>
                <w:lang w:val="es-UY"/>
              </w:rPr>
            </w:pPr>
            <w:r w:rsidRPr="009F6812">
              <w:rPr>
                <w:rFonts w:cs="Arial"/>
                <w:b/>
                <w:szCs w:val="24"/>
                <w:lang w:val="es-UY"/>
              </w:rPr>
              <w:t>ANEXO VIII</w:t>
            </w:r>
          </w:p>
        </w:tc>
        <w:tc>
          <w:tcPr>
            <w:tcW w:w="7452" w:type="dxa"/>
          </w:tcPr>
          <w:p w14:paraId="18D029D9" w14:textId="77777777" w:rsidR="006F5392" w:rsidRPr="009F6812" w:rsidRDefault="006F5392" w:rsidP="006F5392">
            <w:pPr>
              <w:jc w:val="both"/>
              <w:rPr>
                <w:rFonts w:cs="Arial"/>
                <w:szCs w:val="24"/>
                <w:lang w:val="es-UY"/>
              </w:rPr>
            </w:pPr>
            <w:r w:rsidRPr="009F6812">
              <w:rPr>
                <w:rFonts w:cs="Arial"/>
                <w:szCs w:val="24"/>
                <w:lang w:val="es-UY"/>
              </w:rPr>
              <w:t xml:space="preserve">Avance financiero global de la cartera de proyectos FOCEM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r w:rsidR="006F5392" w:rsidRPr="00DD39D3" w14:paraId="48C653F8" w14:textId="77777777" w:rsidTr="00561EDD">
        <w:tc>
          <w:tcPr>
            <w:tcW w:w="1728" w:type="dxa"/>
          </w:tcPr>
          <w:p w14:paraId="70887D02" w14:textId="77777777" w:rsidR="006F5392" w:rsidRPr="009F6812" w:rsidRDefault="006F5392" w:rsidP="006F5392">
            <w:pPr>
              <w:jc w:val="both"/>
              <w:rPr>
                <w:rFonts w:cs="Arial"/>
                <w:b/>
                <w:szCs w:val="24"/>
                <w:lang w:val="es-UY"/>
              </w:rPr>
            </w:pPr>
            <w:r w:rsidRPr="009F6812">
              <w:rPr>
                <w:rFonts w:cs="Arial"/>
                <w:b/>
                <w:szCs w:val="24"/>
                <w:lang w:val="es-UY"/>
              </w:rPr>
              <w:t>ANEXO IX</w:t>
            </w:r>
          </w:p>
        </w:tc>
        <w:tc>
          <w:tcPr>
            <w:tcW w:w="7452" w:type="dxa"/>
          </w:tcPr>
          <w:p w14:paraId="3F30A8BE" w14:textId="77777777" w:rsidR="006F5392" w:rsidRPr="009F6812" w:rsidRDefault="006F5392" w:rsidP="006F5392">
            <w:pPr>
              <w:jc w:val="both"/>
              <w:rPr>
                <w:rFonts w:cs="Arial"/>
                <w:szCs w:val="24"/>
                <w:lang w:val="es-UY"/>
              </w:rPr>
            </w:pPr>
            <w:r w:rsidRPr="009F6812">
              <w:rPr>
                <w:rFonts w:cs="Arial"/>
                <w:szCs w:val="24"/>
                <w:lang w:val="es-UY"/>
              </w:rPr>
              <w:t xml:space="preserve">Proyectos según grado de avance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r w:rsidR="006F5392" w:rsidRPr="009F6812" w14:paraId="49C3D756" w14:textId="77777777" w:rsidTr="00561EDD">
        <w:tc>
          <w:tcPr>
            <w:tcW w:w="1728" w:type="dxa"/>
          </w:tcPr>
          <w:p w14:paraId="7B902DDA" w14:textId="77777777" w:rsidR="006F5392" w:rsidRPr="009F6812" w:rsidRDefault="006F5392" w:rsidP="006F5392">
            <w:pPr>
              <w:jc w:val="both"/>
              <w:rPr>
                <w:rFonts w:cs="Arial"/>
                <w:b/>
                <w:szCs w:val="24"/>
                <w:lang w:val="es-UY"/>
              </w:rPr>
            </w:pPr>
            <w:r w:rsidRPr="009F6812">
              <w:rPr>
                <w:rFonts w:cs="Arial"/>
                <w:b/>
                <w:szCs w:val="24"/>
                <w:lang w:val="es-UY"/>
              </w:rPr>
              <w:t>ANEXO X</w:t>
            </w:r>
          </w:p>
        </w:tc>
        <w:tc>
          <w:tcPr>
            <w:tcW w:w="7452" w:type="dxa"/>
          </w:tcPr>
          <w:p w14:paraId="653BFF73" w14:textId="77777777" w:rsidR="006F5392" w:rsidRPr="009F6812" w:rsidRDefault="006F5392" w:rsidP="006F5392">
            <w:pPr>
              <w:jc w:val="both"/>
              <w:rPr>
                <w:rFonts w:cs="Arial"/>
                <w:szCs w:val="24"/>
                <w:lang w:val="es-UY"/>
              </w:rPr>
            </w:pPr>
            <w:r w:rsidRPr="009F6812">
              <w:rPr>
                <w:rFonts w:cs="Arial"/>
                <w:szCs w:val="24"/>
                <w:lang w:val="es-UY"/>
              </w:rPr>
              <w:t xml:space="preserve">Montos totales de proyectos FOCEM concluidos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r w:rsidR="00CF5741" w:rsidRPr="00DD39D3" w14:paraId="09ADB9E6" w14:textId="77777777" w:rsidTr="00561EDD">
        <w:tc>
          <w:tcPr>
            <w:tcW w:w="1728" w:type="dxa"/>
          </w:tcPr>
          <w:p w14:paraId="7928E20B" w14:textId="77777777" w:rsidR="00CF5741" w:rsidRPr="009F6812" w:rsidRDefault="00CF5741" w:rsidP="00CF5741">
            <w:pPr>
              <w:jc w:val="both"/>
              <w:rPr>
                <w:rFonts w:cs="Arial"/>
                <w:b/>
                <w:szCs w:val="24"/>
                <w:lang w:val="es-UY"/>
              </w:rPr>
            </w:pPr>
            <w:r w:rsidRPr="009F6812">
              <w:rPr>
                <w:rFonts w:cs="Arial"/>
                <w:b/>
                <w:szCs w:val="24"/>
                <w:lang w:val="es-UY"/>
              </w:rPr>
              <w:t>ANEXO XI</w:t>
            </w:r>
          </w:p>
        </w:tc>
        <w:tc>
          <w:tcPr>
            <w:tcW w:w="7452" w:type="dxa"/>
          </w:tcPr>
          <w:p w14:paraId="3074BE1A" w14:textId="77777777" w:rsidR="00CF5741" w:rsidRPr="009F6812" w:rsidRDefault="00CF5741" w:rsidP="00CF5741">
            <w:pPr>
              <w:jc w:val="both"/>
              <w:rPr>
                <w:rFonts w:cs="Arial"/>
                <w:szCs w:val="24"/>
                <w:lang w:val="es-UY"/>
              </w:rPr>
            </w:pPr>
            <w:r w:rsidRPr="009F6812">
              <w:rPr>
                <w:rFonts w:cs="Arial"/>
                <w:szCs w:val="24"/>
                <w:lang w:val="es-UY"/>
              </w:rPr>
              <w:t xml:space="preserve">Información </w:t>
            </w:r>
            <w:r w:rsidR="009F6812" w:rsidRPr="009F6812">
              <w:rPr>
                <w:rFonts w:cs="Arial"/>
                <w:szCs w:val="24"/>
                <w:lang w:val="es-UY"/>
              </w:rPr>
              <w:t>relevante sobre proyectos en ejecución proporcionada por la UTF</w:t>
            </w:r>
          </w:p>
        </w:tc>
      </w:tr>
      <w:tr w:rsidR="00CF5741" w:rsidRPr="00DD39D3" w14:paraId="5A8E7F34" w14:textId="77777777" w:rsidTr="00561EDD">
        <w:tc>
          <w:tcPr>
            <w:tcW w:w="1728" w:type="dxa"/>
          </w:tcPr>
          <w:p w14:paraId="68C166D9" w14:textId="77777777" w:rsidR="00CF5741" w:rsidRPr="009F6812" w:rsidRDefault="00CF5741" w:rsidP="00CF5741">
            <w:pPr>
              <w:jc w:val="both"/>
              <w:rPr>
                <w:rFonts w:cs="Arial"/>
                <w:b/>
                <w:szCs w:val="24"/>
                <w:lang w:val="es-UY"/>
              </w:rPr>
            </w:pPr>
            <w:r w:rsidRPr="009F6812">
              <w:rPr>
                <w:rFonts w:cs="Arial"/>
                <w:b/>
                <w:szCs w:val="24"/>
                <w:lang w:val="es-UY"/>
              </w:rPr>
              <w:t>ANEXO XII</w:t>
            </w:r>
          </w:p>
        </w:tc>
        <w:tc>
          <w:tcPr>
            <w:tcW w:w="7452" w:type="dxa"/>
          </w:tcPr>
          <w:p w14:paraId="5E9378CF" w14:textId="77777777" w:rsidR="00CF5741" w:rsidRPr="009F6812" w:rsidRDefault="00041221" w:rsidP="00CF5741">
            <w:pPr>
              <w:jc w:val="both"/>
              <w:rPr>
                <w:rFonts w:cs="Arial"/>
                <w:szCs w:val="24"/>
                <w:lang w:val="es-UY"/>
              </w:rPr>
            </w:pPr>
            <w:r w:rsidRPr="009F6812">
              <w:rPr>
                <w:rFonts w:cs="Arial"/>
                <w:szCs w:val="24"/>
                <w:lang w:val="es-UY"/>
              </w:rPr>
              <w:t xml:space="preserve">Estado de situación de la presentación y aprobación de los informes semestrales de los proyectos FOCEM al </w:t>
            </w:r>
            <w:r>
              <w:rPr>
                <w:rFonts w:cs="Arial"/>
                <w:szCs w:val="24"/>
                <w:lang w:val="es-UY"/>
              </w:rPr>
              <w:t>30</w:t>
            </w:r>
            <w:r w:rsidRPr="009F6812">
              <w:rPr>
                <w:rFonts w:cs="Arial"/>
                <w:szCs w:val="24"/>
                <w:lang w:val="es-UY"/>
              </w:rPr>
              <w:t>/0</w:t>
            </w:r>
            <w:r>
              <w:rPr>
                <w:rFonts w:cs="Arial"/>
                <w:szCs w:val="24"/>
                <w:lang w:val="es-UY"/>
              </w:rPr>
              <w:t>9</w:t>
            </w:r>
            <w:r w:rsidRPr="009F6812">
              <w:rPr>
                <w:rFonts w:cs="Arial"/>
                <w:szCs w:val="24"/>
                <w:lang w:val="es-UY"/>
              </w:rPr>
              <w:t>/24</w:t>
            </w:r>
          </w:p>
        </w:tc>
      </w:tr>
      <w:tr w:rsidR="00CF5741" w:rsidRPr="00DD39D3" w14:paraId="64B184E5" w14:textId="77777777" w:rsidTr="00561EDD">
        <w:tc>
          <w:tcPr>
            <w:tcW w:w="1728" w:type="dxa"/>
          </w:tcPr>
          <w:p w14:paraId="27B2DE36" w14:textId="77777777" w:rsidR="00CF5741" w:rsidRPr="009F6812" w:rsidRDefault="00CF5741" w:rsidP="00CF5741">
            <w:pPr>
              <w:jc w:val="both"/>
              <w:rPr>
                <w:rFonts w:cs="Arial"/>
                <w:b/>
                <w:szCs w:val="24"/>
                <w:lang w:val="es-UY"/>
              </w:rPr>
            </w:pPr>
            <w:r w:rsidRPr="009F6812">
              <w:rPr>
                <w:rFonts w:cs="Arial"/>
                <w:b/>
                <w:szCs w:val="24"/>
                <w:lang w:val="es-UY"/>
              </w:rPr>
              <w:t>ANEXO XIII</w:t>
            </w:r>
          </w:p>
        </w:tc>
        <w:tc>
          <w:tcPr>
            <w:tcW w:w="7452" w:type="dxa"/>
          </w:tcPr>
          <w:p w14:paraId="14037BD0" w14:textId="77777777" w:rsidR="00CF5741" w:rsidRPr="009F6812" w:rsidRDefault="00041221" w:rsidP="00CF5741">
            <w:pPr>
              <w:jc w:val="both"/>
              <w:rPr>
                <w:rFonts w:cs="Arial"/>
                <w:szCs w:val="24"/>
                <w:lang w:val="es-UY"/>
              </w:rPr>
            </w:pPr>
            <w:r>
              <w:rPr>
                <w:rFonts w:cs="Arial"/>
                <w:szCs w:val="24"/>
                <w:lang w:val="es-UY"/>
              </w:rPr>
              <w:t>A</w:t>
            </w:r>
            <w:r w:rsidRPr="009F6812">
              <w:rPr>
                <w:rFonts w:cs="Arial"/>
                <w:szCs w:val="24"/>
                <w:lang w:val="es-UY"/>
              </w:rPr>
              <w:t>uditorías</w:t>
            </w:r>
            <w:r>
              <w:rPr>
                <w:rFonts w:cs="Arial"/>
                <w:szCs w:val="24"/>
                <w:lang w:val="es-UY"/>
              </w:rPr>
              <w:t xml:space="preserve"> externas realizadas y en curso</w:t>
            </w:r>
          </w:p>
        </w:tc>
      </w:tr>
      <w:tr w:rsidR="00CF5741" w:rsidRPr="00DD39D3" w14:paraId="7C7C990E" w14:textId="77777777" w:rsidTr="00561EDD">
        <w:tc>
          <w:tcPr>
            <w:tcW w:w="1728" w:type="dxa"/>
          </w:tcPr>
          <w:p w14:paraId="09443716" w14:textId="77777777" w:rsidR="00CF5741" w:rsidRPr="009F6812" w:rsidRDefault="00CF5741" w:rsidP="00CF5741">
            <w:pPr>
              <w:jc w:val="both"/>
              <w:rPr>
                <w:rFonts w:cs="Arial"/>
                <w:b/>
                <w:szCs w:val="24"/>
                <w:lang w:val="es-UY"/>
              </w:rPr>
            </w:pPr>
            <w:r w:rsidRPr="009F6812">
              <w:rPr>
                <w:rFonts w:cs="Arial"/>
                <w:b/>
                <w:szCs w:val="24"/>
                <w:lang w:val="es-UY"/>
              </w:rPr>
              <w:t>ANEXO XIV</w:t>
            </w:r>
          </w:p>
        </w:tc>
        <w:tc>
          <w:tcPr>
            <w:tcW w:w="7452" w:type="dxa"/>
          </w:tcPr>
          <w:p w14:paraId="1901FE11" w14:textId="77777777" w:rsidR="00CF5741" w:rsidRPr="009F6812" w:rsidRDefault="00CF5741" w:rsidP="00CF5741">
            <w:pPr>
              <w:jc w:val="both"/>
              <w:rPr>
                <w:rFonts w:cs="Arial"/>
                <w:szCs w:val="24"/>
                <w:lang w:val="es-UY"/>
              </w:rPr>
            </w:pPr>
            <w:r w:rsidRPr="009F6812">
              <w:rPr>
                <w:rFonts w:cs="Arial"/>
                <w:szCs w:val="24"/>
                <w:lang w:val="es-UY"/>
              </w:rPr>
              <w:t xml:space="preserve">Información sobre auditorías realizadas, resultados y sus costos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r w:rsidR="00CF5741" w:rsidRPr="00DD39D3" w14:paraId="5FE3543F" w14:textId="77777777" w:rsidTr="00561EDD">
        <w:tc>
          <w:tcPr>
            <w:tcW w:w="1728" w:type="dxa"/>
          </w:tcPr>
          <w:p w14:paraId="5308A7D8" w14:textId="77777777" w:rsidR="00CF5741" w:rsidRPr="009F6812" w:rsidRDefault="00CF5741" w:rsidP="00CF5741">
            <w:pPr>
              <w:jc w:val="both"/>
              <w:rPr>
                <w:rFonts w:cs="Arial"/>
                <w:b/>
                <w:szCs w:val="24"/>
                <w:lang w:val="es-UY"/>
              </w:rPr>
            </w:pPr>
            <w:r w:rsidRPr="009F6812">
              <w:rPr>
                <w:rFonts w:cs="Arial"/>
                <w:b/>
                <w:szCs w:val="24"/>
                <w:lang w:val="es-UY"/>
              </w:rPr>
              <w:t>ANEXO XV</w:t>
            </w:r>
          </w:p>
        </w:tc>
        <w:tc>
          <w:tcPr>
            <w:tcW w:w="7452" w:type="dxa"/>
          </w:tcPr>
          <w:p w14:paraId="0E1BE9C1" w14:textId="77777777" w:rsidR="00CF5741" w:rsidRPr="009F6812" w:rsidRDefault="00CF5741" w:rsidP="00CF5741">
            <w:pPr>
              <w:jc w:val="both"/>
              <w:rPr>
                <w:rFonts w:cs="Arial"/>
                <w:szCs w:val="24"/>
                <w:lang w:val="es-UY"/>
              </w:rPr>
            </w:pPr>
            <w:r w:rsidRPr="009F6812">
              <w:rPr>
                <w:rFonts w:cs="Arial"/>
                <w:szCs w:val="24"/>
                <w:lang w:val="es-UY"/>
              </w:rPr>
              <w:t xml:space="preserve">Crédito disponible para la presentación de nuevos proyectos al </w:t>
            </w:r>
            <w:r w:rsidR="00D96617">
              <w:rPr>
                <w:rFonts w:cs="Arial"/>
                <w:szCs w:val="24"/>
                <w:lang w:val="es-UY"/>
              </w:rPr>
              <w:t>30</w:t>
            </w:r>
            <w:r w:rsidR="00D96617" w:rsidRPr="009F6812">
              <w:rPr>
                <w:rFonts w:cs="Arial"/>
                <w:szCs w:val="24"/>
                <w:lang w:val="es-UY"/>
              </w:rPr>
              <w:t>/0</w:t>
            </w:r>
            <w:r w:rsidR="00D96617">
              <w:rPr>
                <w:rFonts w:cs="Arial"/>
                <w:szCs w:val="24"/>
                <w:lang w:val="es-UY"/>
              </w:rPr>
              <w:t>9</w:t>
            </w:r>
            <w:r w:rsidR="00D96617" w:rsidRPr="009F6812">
              <w:rPr>
                <w:rFonts w:cs="Arial"/>
                <w:szCs w:val="24"/>
                <w:lang w:val="es-UY"/>
              </w:rPr>
              <w:t>/24</w:t>
            </w:r>
          </w:p>
        </w:tc>
      </w:tr>
    </w:tbl>
    <w:p w14:paraId="2F23EB80" w14:textId="77777777" w:rsidR="00074213" w:rsidRPr="009F6812" w:rsidRDefault="00074213" w:rsidP="00D00F2D">
      <w:pPr>
        <w:pStyle w:val="Encabezado"/>
        <w:jc w:val="both"/>
        <w:rPr>
          <w:rFonts w:cs="Arial"/>
          <w:szCs w:val="24"/>
          <w:lang w:val="es-UY"/>
        </w:rPr>
      </w:pPr>
      <w:r w:rsidRPr="009F6812">
        <w:rPr>
          <w:rFonts w:cs="Arial"/>
          <w:szCs w:val="24"/>
          <w:lang w:val="es-UY"/>
        </w:rPr>
        <w:t xml:space="preserve"> </w:t>
      </w:r>
    </w:p>
    <w:p w14:paraId="100E5596" w14:textId="77777777" w:rsidR="00A60A39" w:rsidRPr="009F6812" w:rsidRDefault="00A60A39" w:rsidP="00A60A39">
      <w:pPr>
        <w:jc w:val="both"/>
        <w:rPr>
          <w:rFonts w:cs="Arial"/>
          <w:szCs w:val="24"/>
          <w:lang w:val="es-UY"/>
        </w:rPr>
      </w:pPr>
    </w:p>
    <w:p w14:paraId="10F604EE" w14:textId="77777777" w:rsidR="00A60A39" w:rsidRPr="009F6812" w:rsidRDefault="00A60A39" w:rsidP="00A60A39">
      <w:pPr>
        <w:jc w:val="both"/>
        <w:rPr>
          <w:rFonts w:cs="Arial"/>
          <w:szCs w:val="24"/>
          <w:lang w:val="es-UY"/>
        </w:rPr>
      </w:pPr>
    </w:p>
    <w:p w14:paraId="4927E318" w14:textId="77777777" w:rsidR="00A60A39" w:rsidRPr="009F6812" w:rsidRDefault="00A60A39" w:rsidP="00A60A39">
      <w:pPr>
        <w:jc w:val="both"/>
        <w:rPr>
          <w:rFonts w:cs="Arial"/>
          <w:szCs w:val="24"/>
          <w:lang w:val="es-UY"/>
        </w:rPr>
      </w:pPr>
    </w:p>
    <w:p w14:paraId="1A3FF83F" w14:textId="77777777" w:rsidR="00A60A39" w:rsidRPr="009F6812" w:rsidRDefault="00A60A39" w:rsidP="00A60A39">
      <w:pPr>
        <w:jc w:val="both"/>
        <w:rPr>
          <w:rFonts w:cs="Arial"/>
          <w:szCs w:val="24"/>
          <w:lang w:val="es-UY"/>
        </w:rPr>
      </w:pPr>
    </w:p>
    <w:tbl>
      <w:tblPr>
        <w:tblW w:w="0" w:type="auto"/>
        <w:tblCellMar>
          <w:left w:w="70" w:type="dxa"/>
          <w:right w:w="70" w:type="dxa"/>
        </w:tblCellMar>
        <w:tblLook w:val="04A0" w:firstRow="1" w:lastRow="0" w:firstColumn="1" w:lastColumn="0" w:noHBand="0" w:noVBand="1"/>
      </w:tblPr>
      <w:tblGrid>
        <w:gridCol w:w="8431"/>
        <w:gridCol w:w="214"/>
      </w:tblGrid>
      <w:tr w:rsidR="00A60A39" w:rsidRPr="00DD39D3" w14:paraId="3FFA7C9B" w14:textId="77777777" w:rsidTr="00C23991">
        <w:trPr>
          <w:trHeight w:val="1565"/>
        </w:trPr>
        <w:tc>
          <w:tcPr>
            <w:tcW w:w="8431" w:type="dxa"/>
            <w:hideMark/>
          </w:tcPr>
          <w:tbl>
            <w:tblPr>
              <w:tblW w:w="0" w:type="auto"/>
              <w:tblCellMar>
                <w:left w:w="70" w:type="dxa"/>
                <w:right w:w="70" w:type="dxa"/>
              </w:tblCellMar>
              <w:tblLook w:val="04A0" w:firstRow="1" w:lastRow="0" w:firstColumn="1" w:lastColumn="0" w:noHBand="0" w:noVBand="1"/>
            </w:tblPr>
            <w:tblGrid>
              <w:gridCol w:w="4145"/>
              <w:gridCol w:w="4145"/>
            </w:tblGrid>
            <w:tr w:rsidR="00A60A39" w:rsidRPr="00DD39D3" w14:paraId="4E100959" w14:textId="77777777" w:rsidTr="00C23991">
              <w:trPr>
                <w:trHeight w:val="1565"/>
              </w:trPr>
              <w:tc>
                <w:tcPr>
                  <w:tcW w:w="4145" w:type="dxa"/>
                </w:tcPr>
                <w:p w14:paraId="23234B46" w14:textId="77777777" w:rsidR="00A60A39" w:rsidRPr="009F6812" w:rsidRDefault="00A60A39" w:rsidP="00C23991">
                  <w:pPr>
                    <w:tabs>
                      <w:tab w:val="left" w:pos="1418"/>
                      <w:tab w:val="center" w:pos="4819"/>
                      <w:tab w:val="right" w:pos="9071"/>
                    </w:tabs>
                    <w:jc w:val="both"/>
                    <w:rPr>
                      <w:rFonts w:cs="Arial"/>
                      <w:b/>
                      <w:szCs w:val="24"/>
                      <w:lang w:val="es-UY"/>
                    </w:rPr>
                  </w:pPr>
                  <w:r w:rsidRPr="009F6812">
                    <w:rPr>
                      <w:rFonts w:cs="Arial"/>
                      <w:szCs w:val="24"/>
                      <w:lang w:val="es-UY"/>
                    </w:rPr>
                    <w:br w:type="page"/>
                  </w:r>
                  <w:r w:rsidRPr="009F6812">
                    <w:rPr>
                      <w:rFonts w:cs="Arial"/>
                      <w:b/>
                      <w:szCs w:val="24"/>
                      <w:lang w:val="es-UY"/>
                    </w:rPr>
                    <w:t>_____________________________</w:t>
                  </w:r>
                </w:p>
                <w:p w14:paraId="1C0B93B9" w14:textId="77777777" w:rsidR="00A60A39" w:rsidRPr="009F6812" w:rsidRDefault="00A60A39" w:rsidP="00C23991">
                  <w:pPr>
                    <w:tabs>
                      <w:tab w:val="center" w:pos="4819"/>
                      <w:tab w:val="right" w:pos="9071"/>
                    </w:tabs>
                    <w:jc w:val="center"/>
                    <w:rPr>
                      <w:rFonts w:cs="Arial"/>
                      <w:szCs w:val="24"/>
                      <w:lang w:val="es-UY"/>
                    </w:rPr>
                  </w:pPr>
                  <w:r w:rsidRPr="009F6812">
                    <w:rPr>
                      <w:rFonts w:cs="Arial"/>
                      <w:szCs w:val="24"/>
                      <w:lang w:val="es-UY"/>
                    </w:rPr>
                    <w:t>Por la Delegación de Argentina</w:t>
                  </w:r>
                </w:p>
                <w:p w14:paraId="032EEB24" w14:textId="77777777" w:rsidR="00A60A39" w:rsidRPr="009F6812" w:rsidRDefault="00A60A39" w:rsidP="00C23991">
                  <w:pPr>
                    <w:tabs>
                      <w:tab w:val="left" w:pos="3015"/>
                    </w:tabs>
                    <w:jc w:val="center"/>
                    <w:rPr>
                      <w:rFonts w:cs="Arial"/>
                      <w:b/>
                      <w:szCs w:val="24"/>
                      <w:lang w:val="es-UY"/>
                    </w:rPr>
                  </w:pPr>
                  <w:r w:rsidRPr="009F6812">
                    <w:rPr>
                      <w:rFonts w:cs="Arial"/>
                      <w:b/>
                      <w:szCs w:val="24"/>
                      <w:lang w:val="es-UY"/>
                    </w:rPr>
                    <w:t xml:space="preserve">Victorio </w:t>
                  </w:r>
                  <w:proofErr w:type="spellStart"/>
                  <w:r w:rsidRPr="009F6812">
                    <w:rPr>
                      <w:rFonts w:cs="Arial"/>
                      <w:b/>
                      <w:szCs w:val="24"/>
                      <w:lang w:val="es-UY"/>
                    </w:rPr>
                    <w:t>Carpintieri</w:t>
                  </w:r>
                  <w:proofErr w:type="spellEnd"/>
                </w:p>
                <w:p w14:paraId="39FF69C5" w14:textId="77777777" w:rsidR="00A60A39" w:rsidRPr="009F6812" w:rsidRDefault="00A60A39" w:rsidP="00C23991">
                  <w:pPr>
                    <w:tabs>
                      <w:tab w:val="left" w:pos="3015"/>
                    </w:tabs>
                    <w:jc w:val="both"/>
                    <w:rPr>
                      <w:rFonts w:cs="Arial"/>
                      <w:b/>
                      <w:szCs w:val="24"/>
                      <w:lang w:val="es-UY"/>
                    </w:rPr>
                  </w:pPr>
                </w:p>
                <w:p w14:paraId="16896C0F" w14:textId="77777777" w:rsidR="00A60A39" w:rsidRPr="009F6812" w:rsidRDefault="00A60A39" w:rsidP="00C23991">
                  <w:pPr>
                    <w:tabs>
                      <w:tab w:val="left" w:pos="3015"/>
                    </w:tabs>
                    <w:jc w:val="both"/>
                    <w:rPr>
                      <w:rFonts w:cs="Arial"/>
                      <w:b/>
                      <w:szCs w:val="24"/>
                      <w:lang w:val="es-UY"/>
                    </w:rPr>
                  </w:pPr>
                </w:p>
                <w:p w14:paraId="31033C7D" w14:textId="77777777" w:rsidR="00A60A39" w:rsidRPr="009F6812" w:rsidRDefault="00A60A39" w:rsidP="00C23991">
                  <w:pPr>
                    <w:tabs>
                      <w:tab w:val="left" w:pos="3015"/>
                    </w:tabs>
                    <w:jc w:val="both"/>
                    <w:rPr>
                      <w:rFonts w:cs="Arial"/>
                      <w:b/>
                      <w:szCs w:val="24"/>
                      <w:lang w:val="es-UY"/>
                    </w:rPr>
                  </w:pPr>
                </w:p>
                <w:p w14:paraId="6434545C" w14:textId="77777777" w:rsidR="00A60A39" w:rsidRPr="009F6812" w:rsidRDefault="00A60A39" w:rsidP="00C23991">
                  <w:pPr>
                    <w:tabs>
                      <w:tab w:val="left" w:pos="3015"/>
                    </w:tabs>
                    <w:jc w:val="both"/>
                    <w:rPr>
                      <w:rFonts w:cs="Arial"/>
                      <w:b/>
                      <w:szCs w:val="24"/>
                      <w:lang w:val="es-UY"/>
                    </w:rPr>
                  </w:pPr>
                </w:p>
                <w:p w14:paraId="46953C2A" w14:textId="77777777" w:rsidR="00A60A39" w:rsidRPr="009F6812" w:rsidRDefault="00A60A39" w:rsidP="00C23991">
                  <w:pPr>
                    <w:tabs>
                      <w:tab w:val="left" w:pos="3015"/>
                    </w:tabs>
                    <w:jc w:val="both"/>
                    <w:rPr>
                      <w:rFonts w:cs="Arial"/>
                      <w:b/>
                      <w:szCs w:val="24"/>
                      <w:lang w:val="es-UY"/>
                    </w:rPr>
                  </w:pPr>
                </w:p>
              </w:tc>
              <w:tc>
                <w:tcPr>
                  <w:tcW w:w="4145" w:type="dxa"/>
                  <w:hideMark/>
                </w:tcPr>
                <w:p w14:paraId="663202EE" w14:textId="77777777" w:rsidR="00A60A39" w:rsidRPr="009F6812" w:rsidRDefault="00A60A39" w:rsidP="00C23991">
                  <w:pPr>
                    <w:tabs>
                      <w:tab w:val="left" w:pos="1418"/>
                      <w:tab w:val="center" w:pos="4819"/>
                      <w:tab w:val="right" w:pos="9071"/>
                    </w:tabs>
                    <w:jc w:val="both"/>
                    <w:rPr>
                      <w:rFonts w:cs="Arial"/>
                      <w:b/>
                      <w:szCs w:val="24"/>
                      <w:lang w:val="es-UY"/>
                    </w:rPr>
                  </w:pPr>
                  <w:r w:rsidRPr="009F6812">
                    <w:rPr>
                      <w:rFonts w:cs="Arial"/>
                      <w:b/>
                      <w:szCs w:val="24"/>
                      <w:lang w:val="es-UY"/>
                    </w:rPr>
                    <w:t>______________________________</w:t>
                  </w:r>
                </w:p>
                <w:p w14:paraId="27A73EFA" w14:textId="77777777" w:rsidR="00A60A39" w:rsidRPr="009F6812" w:rsidRDefault="00A60A39" w:rsidP="00C23991">
                  <w:pPr>
                    <w:tabs>
                      <w:tab w:val="center" w:pos="4819"/>
                      <w:tab w:val="right" w:pos="9071"/>
                    </w:tabs>
                    <w:jc w:val="center"/>
                    <w:rPr>
                      <w:rFonts w:cs="Arial"/>
                      <w:szCs w:val="24"/>
                      <w:lang w:val="es-UY"/>
                    </w:rPr>
                  </w:pPr>
                  <w:r w:rsidRPr="009F6812">
                    <w:rPr>
                      <w:rFonts w:cs="Arial"/>
                      <w:szCs w:val="24"/>
                      <w:lang w:val="es-UY"/>
                    </w:rPr>
                    <w:t>Por la Delegación de Brasil</w:t>
                  </w:r>
                </w:p>
                <w:p w14:paraId="5627C07B" w14:textId="77777777" w:rsidR="00A60A39" w:rsidRPr="009F6812" w:rsidRDefault="00B048DB" w:rsidP="00C23991">
                  <w:pPr>
                    <w:tabs>
                      <w:tab w:val="left" w:pos="1418"/>
                      <w:tab w:val="center" w:pos="4819"/>
                      <w:tab w:val="right" w:pos="9071"/>
                    </w:tabs>
                    <w:jc w:val="center"/>
                    <w:rPr>
                      <w:rFonts w:cs="Arial"/>
                      <w:b/>
                      <w:szCs w:val="24"/>
                      <w:lang w:val="es-UY"/>
                    </w:rPr>
                  </w:pPr>
                  <w:r w:rsidRPr="009F6812">
                    <w:rPr>
                      <w:rFonts w:cs="Arial"/>
                      <w:b/>
                      <w:szCs w:val="24"/>
                      <w:lang w:val="es-UY"/>
                    </w:rPr>
                    <w:t>Pedro Andrade</w:t>
                  </w:r>
                </w:p>
              </w:tc>
            </w:tr>
            <w:tr w:rsidR="00A60A39" w:rsidRPr="00DD39D3" w14:paraId="1EDBED36" w14:textId="77777777" w:rsidTr="00C23991">
              <w:trPr>
                <w:trHeight w:val="1506"/>
              </w:trPr>
              <w:tc>
                <w:tcPr>
                  <w:tcW w:w="4145" w:type="dxa"/>
                </w:tcPr>
                <w:p w14:paraId="58436CEE" w14:textId="77777777" w:rsidR="00A60A39" w:rsidRPr="009F6812" w:rsidRDefault="00A60A39" w:rsidP="00C23991">
                  <w:pPr>
                    <w:tabs>
                      <w:tab w:val="left" w:pos="1418"/>
                      <w:tab w:val="center" w:pos="4819"/>
                      <w:tab w:val="right" w:pos="9071"/>
                    </w:tabs>
                    <w:jc w:val="both"/>
                    <w:rPr>
                      <w:rFonts w:cs="Arial"/>
                      <w:b/>
                      <w:szCs w:val="24"/>
                      <w:lang w:val="es-UY"/>
                    </w:rPr>
                  </w:pPr>
                  <w:r w:rsidRPr="009F6812">
                    <w:rPr>
                      <w:rFonts w:cs="Arial"/>
                      <w:b/>
                      <w:szCs w:val="24"/>
                      <w:lang w:val="es-UY"/>
                    </w:rPr>
                    <w:t>______________________________</w:t>
                  </w:r>
                </w:p>
                <w:p w14:paraId="2DB6B8E2" w14:textId="77777777" w:rsidR="00A60A39" w:rsidRPr="009F6812" w:rsidRDefault="00A60A39" w:rsidP="00C23991">
                  <w:pPr>
                    <w:tabs>
                      <w:tab w:val="center" w:pos="4819"/>
                      <w:tab w:val="right" w:pos="9071"/>
                    </w:tabs>
                    <w:jc w:val="center"/>
                    <w:rPr>
                      <w:rFonts w:cs="Arial"/>
                      <w:szCs w:val="24"/>
                      <w:lang w:val="es-UY"/>
                    </w:rPr>
                  </w:pPr>
                  <w:r w:rsidRPr="009F6812">
                    <w:rPr>
                      <w:rFonts w:cs="Arial"/>
                      <w:szCs w:val="24"/>
                      <w:lang w:val="es-UY"/>
                    </w:rPr>
                    <w:t>Por la Delegación de Paraguay</w:t>
                  </w:r>
                </w:p>
                <w:p w14:paraId="55DF8872" w14:textId="77777777" w:rsidR="00A60A39" w:rsidRPr="009F6812" w:rsidRDefault="00B048DB" w:rsidP="00C23991">
                  <w:pPr>
                    <w:jc w:val="center"/>
                    <w:rPr>
                      <w:rFonts w:cs="Arial"/>
                      <w:b/>
                      <w:szCs w:val="24"/>
                      <w:lang w:val="es-UY"/>
                    </w:rPr>
                  </w:pPr>
                  <w:r w:rsidRPr="009F6812">
                    <w:rPr>
                      <w:rFonts w:cs="Arial"/>
                      <w:b/>
                      <w:szCs w:val="24"/>
                      <w:lang w:val="es-UY"/>
                    </w:rPr>
                    <w:t>Hugo Ferreira</w:t>
                  </w:r>
                </w:p>
                <w:p w14:paraId="7B826F27" w14:textId="77777777" w:rsidR="00A60A39" w:rsidRPr="009F6812" w:rsidRDefault="00A60A39" w:rsidP="00C23991">
                  <w:pPr>
                    <w:jc w:val="center"/>
                    <w:rPr>
                      <w:rFonts w:eastAsia="Calibri" w:cs="Arial"/>
                      <w:b/>
                      <w:bCs/>
                      <w:szCs w:val="24"/>
                      <w:lang w:val="es-UY"/>
                    </w:rPr>
                  </w:pPr>
                </w:p>
                <w:p w14:paraId="55EF2107" w14:textId="77777777" w:rsidR="00A60A39" w:rsidRPr="009F6812" w:rsidRDefault="00A60A39" w:rsidP="00C23991">
                  <w:pPr>
                    <w:jc w:val="center"/>
                    <w:rPr>
                      <w:rFonts w:eastAsia="Calibri" w:cs="Arial"/>
                      <w:b/>
                      <w:bCs/>
                      <w:szCs w:val="24"/>
                      <w:lang w:val="es-UY"/>
                    </w:rPr>
                  </w:pPr>
                </w:p>
                <w:p w14:paraId="51D2FF1B" w14:textId="77777777" w:rsidR="00A60A39" w:rsidRPr="009F6812" w:rsidRDefault="00A60A39" w:rsidP="00C23991">
                  <w:pPr>
                    <w:jc w:val="center"/>
                    <w:rPr>
                      <w:rFonts w:eastAsia="Calibri" w:cs="Arial"/>
                      <w:b/>
                      <w:bCs/>
                      <w:szCs w:val="24"/>
                      <w:lang w:val="es-UY"/>
                    </w:rPr>
                  </w:pPr>
                </w:p>
                <w:p w14:paraId="2691886D" w14:textId="77777777" w:rsidR="00A60A39" w:rsidRPr="009F6812" w:rsidRDefault="00A60A39" w:rsidP="00C23991">
                  <w:pPr>
                    <w:jc w:val="center"/>
                    <w:rPr>
                      <w:rFonts w:eastAsia="Calibri" w:cs="Arial"/>
                      <w:b/>
                      <w:bCs/>
                      <w:szCs w:val="24"/>
                      <w:lang w:val="es-UY"/>
                    </w:rPr>
                  </w:pPr>
                </w:p>
                <w:p w14:paraId="382B7A5E" w14:textId="77777777" w:rsidR="00A60A39" w:rsidRPr="009F6812" w:rsidRDefault="00A60A39" w:rsidP="00C23991">
                  <w:pPr>
                    <w:jc w:val="center"/>
                    <w:rPr>
                      <w:rFonts w:eastAsia="Calibri" w:cs="Arial"/>
                      <w:b/>
                      <w:bCs/>
                      <w:szCs w:val="24"/>
                      <w:lang w:val="es-UY"/>
                    </w:rPr>
                  </w:pPr>
                </w:p>
                <w:p w14:paraId="77022789" w14:textId="77777777" w:rsidR="00A60A39" w:rsidRPr="009F6812" w:rsidRDefault="00A60A39" w:rsidP="00C91F38">
                  <w:pPr>
                    <w:tabs>
                      <w:tab w:val="center" w:pos="4819"/>
                      <w:tab w:val="right" w:pos="9071"/>
                    </w:tabs>
                    <w:jc w:val="center"/>
                    <w:rPr>
                      <w:rFonts w:cs="Arial"/>
                      <w:b/>
                      <w:bCs/>
                      <w:szCs w:val="24"/>
                      <w:lang w:val="es-UY"/>
                    </w:rPr>
                  </w:pPr>
                </w:p>
              </w:tc>
              <w:tc>
                <w:tcPr>
                  <w:tcW w:w="4145" w:type="dxa"/>
                </w:tcPr>
                <w:p w14:paraId="28B3A63C" w14:textId="77777777" w:rsidR="00A60A39" w:rsidRPr="009F6812" w:rsidRDefault="00A60A39" w:rsidP="00C23991">
                  <w:pPr>
                    <w:tabs>
                      <w:tab w:val="left" w:pos="1418"/>
                      <w:tab w:val="center" w:pos="4819"/>
                      <w:tab w:val="right" w:pos="9071"/>
                    </w:tabs>
                    <w:jc w:val="both"/>
                    <w:rPr>
                      <w:rFonts w:cs="Arial"/>
                      <w:b/>
                      <w:szCs w:val="24"/>
                      <w:lang w:val="es-UY"/>
                    </w:rPr>
                  </w:pPr>
                  <w:r w:rsidRPr="009F6812">
                    <w:rPr>
                      <w:rFonts w:cs="Arial"/>
                      <w:b/>
                      <w:szCs w:val="24"/>
                      <w:lang w:val="es-UY"/>
                    </w:rPr>
                    <w:t>_____________________________</w:t>
                  </w:r>
                </w:p>
                <w:p w14:paraId="0EFD2231" w14:textId="77777777" w:rsidR="00A60A39" w:rsidRPr="009F6812" w:rsidRDefault="00A60A39" w:rsidP="00C23991">
                  <w:pPr>
                    <w:tabs>
                      <w:tab w:val="center" w:pos="4819"/>
                      <w:tab w:val="right" w:pos="9071"/>
                    </w:tabs>
                    <w:jc w:val="center"/>
                    <w:rPr>
                      <w:rFonts w:cs="Arial"/>
                      <w:szCs w:val="24"/>
                      <w:lang w:val="es-UY"/>
                    </w:rPr>
                  </w:pPr>
                  <w:r w:rsidRPr="009F6812">
                    <w:rPr>
                      <w:rFonts w:cs="Arial"/>
                      <w:szCs w:val="24"/>
                      <w:lang w:val="es-UY"/>
                    </w:rPr>
                    <w:t>Por la Delegación de Uruguay</w:t>
                  </w:r>
                </w:p>
                <w:p w14:paraId="201575D7" w14:textId="77777777" w:rsidR="00A60A39" w:rsidRPr="009F6812" w:rsidRDefault="00A60A39" w:rsidP="00C23991">
                  <w:pPr>
                    <w:tabs>
                      <w:tab w:val="center" w:pos="4819"/>
                      <w:tab w:val="right" w:pos="9071"/>
                    </w:tabs>
                    <w:jc w:val="center"/>
                    <w:rPr>
                      <w:rFonts w:cs="Arial"/>
                      <w:b/>
                      <w:szCs w:val="24"/>
                      <w:lang w:val="es-UY"/>
                    </w:rPr>
                  </w:pPr>
                  <w:r w:rsidRPr="009F6812">
                    <w:rPr>
                      <w:rFonts w:cs="Arial"/>
                      <w:b/>
                      <w:szCs w:val="24"/>
                      <w:lang w:val="es-UY"/>
                    </w:rPr>
                    <w:t xml:space="preserve">Matías </w:t>
                  </w:r>
                  <w:proofErr w:type="spellStart"/>
                  <w:r w:rsidRPr="009F6812">
                    <w:rPr>
                      <w:rFonts w:cs="Arial"/>
                      <w:b/>
                      <w:szCs w:val="24"/>
                      <w:lang w:val="es-UY"/>
                    </w:rPr>
                    <w:t>Vain</w:t>
                  </w:r>
                  <w:proofErr w:type="spellEnd"/>
                </w:p>
                <w:p w14:paraId="725669E2" w14:textId="77777777" w:rsidR="00A60A39" w:rsidRPr="009F6812" w:rsidRDefault="00A60A39" w:rsidP="00C23991">
                  <w:pPr>
                    <w:tabs>
                      <w:tab w:val="center" w:pos="4819"/>
                      <w:tab w:val="right" w:pos="9071"/>
                    </w:tabs>
                    <w:jc w:val="center"/>
                    <w:rPr>
                      <w:rFonts w:cs="Arial"/>
                      <w:b/>
                      <w:szCs w:val="24"/>
                      <w:lang w:val="es-UY"/>
                    </w:rPr>
                  </w:pPr>
                </w:p>
                <w:p w14:paraId="7828E674" w14:textId="77777777" w:rsidR="00A60A39" w:rsidRPr="009F6812" w:rsidRDefault="00A60A39" w:rsidP="00C23991">
                  <w:pPr>
                    <w:tabs>
                      <w:tab w:val="center" w:pos="4819"/>
                      <w:tab w:val="right" w:pos="9071"/>
                    </w:tabs>
                    <w:jc w:val="center"/>
                    <w:rPr>
                      <w:rFonts w:cs="Arial"/>
                      <w:b/>
                      <w:szCs w:val="24"/>
                      <w:lang w:val="es-UY"/>
                    </w:rPr>
                  </w:pPr>
                </w:p>
                <w:p w14:paraId="541DEAF2" w14:textId="77777777" w:rsidR="00A60A39" w:rsidRPr="009F6812" w:rsidRDefault="00A60A39" w:rsidP="00C23991">
                  <w:pPr>
                    <w:tabs>
                      <w:tab w:val="center" w:pos="4819"/>
                      <w:tab w:val="right" w:pos="9071"/>
                    </w:tabs>
                    <w:jc w:val="center"/>
                    <w:rPr>
                      <w:rFonts w:cs="Arial"/>
                      <w:b/>
                      <w:szCs w:val="24"/>
                      <w:lang w:val="es-UY"/>
                    </w:rPr>
                  </w:pPr>
                </w:p>
                <w:p w14:paraId="1ACB3B08" w14:textId="77777777" w:rsidR="00A60A39" w:rsidRPr="009F6812" w:rsidRDefault="00A60A39" w:rsidP="00C23991">
                  <w:pPr>
                    <w:tabs>
                      <w:tab w:val="center" w:pos="4819"/>
                      <w:tab w:val="right" w:pos="9071"/>
                    </w:tabs>
                    <w:jc w:val="center"/>
                    <w:rPr>
                      <w:rFonts w:cs="Arial"/>
                      <w:b/>
                      <w:szCs w:val="24"/>
                      <w:lang w:val="es-UY"/>
                    </w:rPr>
                  </w:pPr>
                </w:p>
                <w:p w14:paraId="01A451B7" w14:textId="77777777" w:rsidR="00A60A39" w:rsidRPr="009F6812" w:rsidRDefault="00A60A39" w:rsidP="00C23991">
                  <w:pPr>
                    <w:tabs>
                      <w:tab w:val="center" w:pos="4819"/>
                      <w:tab w:val="right" w:pos="9071"/>
                    </w:tabs>
                    <w:jc w:val="center"/>
                    <w:rPr>
                      <w:rFonts w:cs="Arial"/>
                      <w:b/>
                      <w:szCs w:val="24"/>
                      <w:lang w:val="es-UY"/>
                    </w:rPr>
                  </w:pPr>
                </w:p>
                <w:p w14:paraId="17DF889D" w14:textId="77777777" w:rsidR="00A60A39" w:rsidRPr="009F6812" w:rsidRDefault="00A60A39" w:rsidP="00C23991">
                  <w:pPr>
                    <w:tabs>
                      <w:tab w:val="center" w:pos="4819"/>
                      <w:tab w:val="right" w:pos="9071"/>
                    </w:tabs>
                    <w:jc w:val="center"/>
                    <w:rPr>
                      <w:rFonts w:cs="Arial"/>
                      <w:b/>
                      <w:szCs w:val="24"/>
                      <w:lang w:val="es-UY"/>
                    </w:rPr>
                  </w:pPr>
                </w:p>
                <w:p w14:paraId="7588AC2D" w14:textId="77777777" w:rsidR="00A60A39" w:rsidRPr="009F6812" w:rsidRDefault="00A60A39" w:rsidP="00C23991">
                  <w:pPr>
                    <w:tabs>
                      <w:tab w:val="center" w:pos="4819"/>
                      <w:tab w:val="right" w:pos="9071"/>
                    </w:tabs>
                    <w:jc w:val="center"/>
                    <w:rPr>
                      <w:rFonts w:cs="Arial"/>
                      <w:b/>
                      <w:szCs w:val="24"/>
                      <w:lang w:val="es-UY"/>
                    </w:rPr>
                  </w:pPr>
                </w:p>
                <w:p w14:paraId="17422815" w14:textId="77777777" w:rsidR="00A60A39" w:rsidRPr="009F6812" w:rsidRDefault="00A60A39" w:rsidP="00C23991">
                  <w:pPr>
                    <w:tabs>
                      <w:tab w:val="center" w:pos="4819"/>
                      <w:tab w:val="right" w:pos="9071"/>
                    </w:tabs>
                    <w:jc w:val="center"/>
                    <w:rPr>
                      <w:rFonts w:cs="Arial"/>
                      <w:b/>
                      <w:szCs w:val="24"/>
                      <w:lang w:val="es-UY"/>
                    </w:rPr>
                  </w:pPr>
                </w:p>
                <w:p w14:paraId="600874E2" w14:textId="77777777" w:rsidR="00A60A39" w:rsidRPr="009F6812" w:rsidRDefault="00A60A39" w:rsidP="00C23991">
                  <w:pPr>
                    <w:tabs>
                      <w:tab w:val="center" w:pos="4819"/>
                      <w:tab w:val="right" w:pos="9071"/>
                    </w:tabs>
                    <w:jc w:val="center"/>
                    <w:rPr>
                      <w:rFonts w:cs="Arial"/>
                      <w:b/>
                      <w:szCs w:val="24"/>
                      <w:lang w:val="es-UY"/>
                    </w:rPr>
                  </w:pPr>
                </w:p>
                <w:p w14:paraId="3F78F857" w14:textId="77777777" w:rsidR="00A60A39" w:rsidRPr="009F6812" w:rsidRDefault="00A60A39" w:rsidP="00FA7FFA">
                  <w:pPr>
                    <w:tabs>
                      <w:tab w:val="center" w:pos="4819"/>
                      <w:tab w:val="right" w:pos="9071"/>
                    </w:tabs>
                    <w:rPr>
                      <w:rFonts w:cs="Arial"/>
                      <w:b/>
                      <w:szCs w:val="24"/>
                      <w:lang w:val="es-UY"/>
                    </w:rPr>
                  </w:pPr>
                </w:p>
              </w:tc>
            </w:tr>
          </w:tbl>
          <w:p w14:paraId="7627EEA8" w14:textId="77777777" w:rsidR="00A60A39" w:rsidRPr="009F6812" w:rsidRDefault="00A60A39" w:rsidP="00C23991">
            <w:pPr>
              <w:jc w:val="both"/>
              <w:rPr>
                <w:rFonts w:cs="Arial"/>
                <w:szCs w:val="24"/>
                <w:lang w:val="es-UY"/>
              </w:rPr>
            </w:pPr>
          </w:p>
        </w:tc>
        <w:tc>
          <w:tcPr>
            <w:tcW w:w="214" w:type="dxa"/>
          </w:tcPr>
          <w:p w14:paraId="74FB8C27" w14:textId="77777777" w:rsidR="00A60A39" w:rsidRPr="009F6812" w:rsidRDefault="00A60A39" w:rsidP="00C23991">
            <w:pPr>
              <w:tabs>
                <w:tab w:val="left" w:pos="1418"/>
                <w:tab w:val="center" w:pos="4819"/>
                <w:tab w:val="right" w:pos="9071"/>
              </w:tabs>
              <w:jc w:val="both"/>
              <w:rPr>
                <w:rFonts w:cs="Arial"/>
                <w:b/>
                <w:szCs w:val="24"/>
                <w:lang w:val="es-UY"/>
              </w:rPr>
            </w:pPr>
          </w:p>
          <w:p w14:paraId="713CAE60" w14:textId="77777777" w:rsidR="00A60A39" w:rsidRPr="009F6812" w:rsidRDefault="00A60A39" w:rsidP="00C23991">
            <w:pPr>
              <w:tabs>
                <w:tab w:val="left" w:pos="1418"/>
                <w:tab w:val="center" w:pos="4819"/>
                <w:tab w:val="right" w:pos="9071"/>
              </w:tabs>
              <w:jc w:val="both"/>
              <w:rPr>
                <w:rFonts w:cs="Arial"/>
                <w:b/>
                <w:szCs w:val="24"/>
                <w:lang w:val="es-UY"/>
              </w:rPr>
            </w:pPr>
          </w:p>
        </w:tc>
      </w:tr>
    </w:tbl>
    <w:p w14:paraId="078B1729" w14:textId="77777777" w:rsidR="00B06A58" w:rsidRPr="009F6812" w:rsidRDefault="00B06A58" w:rsidP="00B06A58">
      <w:pPr>
        <w:rPr>
          <w:rFonts w:cs="Arial"/>
          <w:vanish/>
          <w:szCs w:val="24"/>
          <w:lang w:val="es-UY"/>
        </w:rPr>
      </w:pPr>
    </w:p>
    <w:sectPr w:rsidR="00B06A58" w:rsidRPr="009F6812" w:rsidSect="00E540AC">
      <w:headerReference w:type="even" r:id="rId8"/>
      <w:headerReference w:type="default" r:id="rId9"/>
      <w:footerReference w:type="default" r:id="rId10"/>
      <w:headerReference w:type="first" r:id="rId11"/>
      <w:pgSz w:w="11907" w:h="16840" w:code="9"/>
      <w:pgMar w:top="1417" w:right="1417" w:bottom="1417" w:left="1418"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AC1EC" w14:textId="77777777" w:rsidR="009D1C97" w:rsidRDefault="009D1C97">
      <w:r>
        <w:separator/>
      </w:r>
    </w:p>
  </w:endnote>
  <w:endnote w:type="continuationSeparator" w:id="0">
    <w:p w14:paraId="283EDCBE" w14:textId="77777777" w:rsidR="009D1C97" w:rsidRDefault="009D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37D0" w14:textId="77777777" w:rsidR="0089432D" w:rsidRDefault="0089432D">
    <w:pPr>
      <w:pStyle w:val="Piedepgina"/>
      <w:jc w:val="right"/>
    </w:pPr>
    <w:r>
      <w:fldChar w:fldCharType="begin"/>
    </w:r>
    <w:r>
      <w:instrText>PAGE   \* MERGEFORMAT</w:instrText>
    </w:r>
    <w:r>
      <w:fldChar w:fldCharType="separate"/>
    </w:r>
    <w:r w:rsidR="0080338A" w:rsidRPr="0080338A">
      <w:rPr>
        <w:noProof/>
        <w:lang w:val="es-ES"/>
      </w:rPr>
      <w:t>2</w:t>
    </w:r>
    <w:r>
      <w:fldChar w:fldCharType="end"/>
    </w:r>
  </w:p>
  <w:p w14:paraId="5DF6F888" w14:textId="77777777" w:rsidR="00BA6424" w:rsidRPr="00A81730" w:rsidRDefault="00BA6424" w:rsidP="00F44C43">
    <w:pPr>
      <w:pStyle w:val="Piedepgina"/>
      <w:rPr>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535D6" w14:textId="77777777" w:rsidR="009D1C97" w:rsidRDefault="009D1C97">
      <w:r>
        <w:separator/>
      </w:r>
    </w:p>
  </w:footnote>
  <w:footnote w:type="continuationSeparator" w:id="0">
    <w:p w14:paraId="4F36C350" w14:textId="77777777" w:rsidR="009D1C97" w:rsidRDefault="009D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B952" w14:textId="77777777" w:rsidR="00BA6424" w:rsidRDefault="00DD39D3">
    <w:pPr>
      <w:pStyle w:val="Encabezado"/>
    </w:pPr>
    <w:r>
      <w:rPr>
        <w:noProof/>
        <w:snapToGrid/>
        <w:lang w:val="es-UY" w:eastAsia="es-UY"/>
      </w:rPr>
      <w:pict w14:anchorId="3DD1D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2062" type="#_x0000_t75" style="position:absolute;margin-left:0;margin-top:0;width:510.2pt;height:309.3pt;z-index:-251659264;mso-position-horizontal:center;mso-position-horizontal-relative:margin;mso-position-vertical:center;mso-position-vertical-relative:margin"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F8A6" w14:textId="77777777" w:rsidR="00BA6424" w:rsidRDefault="00BA6424" w:rsidP="00F825F3">
    <w:pPr>
      <w:pStyle w:val="Encabezado"/>
      <w:ind w:left="-284"/>
    </w:pPr>
    <w:r>
      <w:t xml:space="preserve"> </w:t>
    </w:r>
  </w:p>
  <w:p w14:paraId="36F3AC88" w14:textId="77777777" w:rsidR="00BA6424" w:rsidRDefault="00BA64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7A3B" w14:textId="77777777" w:rsidR="0062100D" w:rsidRDefault="0080338A" w:rsidP="0062100D">
    <w:pPr>
      <w:pStyle w:val="Encabezado"/>
      <w:ind w:left="-284"/>
    </w:pPr>
    <w:r>
      <w:rPr>
        <w:noProof/>
        <w:lang w:val="pt-BR" w:eastAsia="pt-BR"/>
      </w:rPr>
      <w:drawing>
        <wp:anchor distT="0" distB="0" distL="114300" distR="114300" simplePos="0" relativeHeight="251658240" behindDoc="0" locked="0" layoutInCell="0" allowOverlap="1" wp14:anchorId="3757ABF9" wp14:editId="396D3A3C">
          <wp:simplePos x="0" y="0"/>
          <wp:positionH relativeFrom="column">
            <wp:posOffset>4208780</wp:posOffset>
          </wp:positionH>
          <wp:positionV relativeFrom="paragraph">
            <wp:posOffset>-635</wp:posOffset>
          </wp:positionV>
          <wp:extent cx="1186180" cy="748030"/>
          <wp:effectExtent l="0" t="0" r="0" b="0"/>
          <wp:wrapTopAndBottom/>
          <wp:docPr id="15" name="Imagen 2" descr="MERCOS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RCOS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9264" behindDoc="1" locked="0" layoutInCell="1" allowOverlap="1" wp14:anchorId="2E5FF447" wp14:editId="322B1186">
          <wp:simplePos x="0" y="0"/>
          <wp:positionH relativeFrom="margin">
            <wp:posOffset>-5715</wp:posOffset>
          </wp:positionH>
          <wp:positionV relativeFrom="paragraph">
            <wp:posOffset>-635</wp:posOffset>
          </wp:positionV>
          <wp:extent cx="1184910" cy="752475"/>
          <wp:effectExtent l="0" t="0" r="0" b="0"/>
          <wp:wrapTight wrapText="bothSides">
            <wp:wrapPolygon edited="0">
              <wp:start x="0" y="0"/>
              <wp:lineTo x="0" y="21327"/>
              <wp:lineTo x="21183" y="21327"/>
              <wp:lineTo x="21183" y="0"/>
              <wp:lineTo x="0" y="0"/>
            </wp:wrapPolygon>
          </wp:wrapTight>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9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8D052" w14:textId="77777777" w:rsidR="0062100D" w:rsidRDefault="0062100D" w:rsidP="0062100D">
    <w:pPr>
      <w:pStyle w:val="Encabezado"/>
      <w:ind w:left="-284"/>
    </w:pPr>
  </w:p>
  <w:p w14:paraId="688CBE0A" w14:textId="77777777" w:rsidR="0062100D" w:rsidRDefault="0062100D" w:rsidP="0062100D">
    <w:pPr>
      <w:pStyle w:val="Encabezado"/>
      <w:ind w:left="-284"/>
    </w:pPr>
  </w:p>
  <w:p w14:paraId="7A638755" w14:textId="77777777" w:rsidR="0062100D" w:rsidRDefault="0062100D" w:rsidP="0062100D">
    <w:pPr>
      <w:pStyle w:val="Encabezado"/>
      <w:ind w:left="-284"/>
    </w:pPr>
  </w:p>
  <w:p w14:paraId="574BB1D4" w14:textId="77777777" w:rsidR="00E540AC" w:rsidRDefault="0062100D">
    <w:pPr>
      <w:pStyle w:val="Encabezado"/>
    </w:pPr>
    <w:r>
      <w:t xml:space="preserve">   </w:t>
    </w:r>
  </w:p>
  <w:p w14:paraId="0DF1E5DD" w14:textId="77777777" w:rsidR="00BA6424" w:rsidRDefault="00DD39D3">
    <w:pPr>
      <w:pStyle w:val="Encabezado"/>
    </w:pPr>
    <w:r>
      <w:rPr>
        <w:noProof/>
        <w:snapToGrid/>
        <w:lang w:val="es-UY" w:eastAsia="es-UY"/>
      </w:rPr>
      <w:pict w14:anchorId="394C1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2061" type="#_x0000_t75" style="position:absolute;margin-left:0;margin-top:0;width:510.2pt;height:309.3pt;z-index:-251660288;mso-position-horizontal:center;mso-position-horizontal-relative:margin;mso-position-vertical:center;mso-position-vertical-relative:margin" o:allowincell="f">
          <v:imagedata r:id="rId3"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0863CF1"/>
    <w:multiLevelType w:val="hybridMultilevel"/>
    <w:tmpl w:val="3322FA26"/>
    <w:lvl w:ilvl="0" w:tplc="39A83DA6">
      <w:start w:val="1"/>
      <w:numFmt w:val="bullet"/>
      <w:lvlText w:val="•"/>
      <w:lvlJc w:val="left"/>
      <w:pPr>
        <w:tabs>
          <w:tab w:val="num" w:pos="720"/>
        </w:tabs>
        <w:ind w:left="720" w:hanging="360"/>
      </w:pPr>
      <w:rPr>
        <w:rFonts w:ascii="Arial" w:hAnsi="Arial" w:hint="default"/>
      </w:rPr>
    </w:lvl>
    <w:lvl w:ilvl="1" w:tplc="72B03804" w:tentative="1">
      <w:start w:val="1"/>
      <w:numFmt w:val="bullet"/>
      <w:lvlText w:val="•"/>
      <w:lvlJc w:val="left"/>
      <w:pPr>
        <w:tabs>
          <w:tab w:val="num" w:pos="1440"/>
        </w:tabs>
        <w:ind w:left="1440" w:hanging="360"/>
      </w:pPr>
      <w:rPr>
        <w:rFonts w:ascii="Arial" w:hAnsi="Arial" w:hint="default"/>
      </w:rPr>
    </w:lvl>
    <w:lvl w:ilvl="2" w:tplc="77BE4E0C" w:tentative="1">
      <w:start w:val="1"/>
      <w:numFmt w:val="bullet"/>
      <w:lvlText w:val="•"/>
      <w:lvlJc w:val="left"/>
      <w:pPr>
        <w:tabs>
          <w:tab w:val="num" w:pos="2160"/>
        </w:tabs>
        <w:ind w:left="2160" w:hanging="360"/>
      </w:pPr>
      <w:rPr>
        <w:rFonts w:ascii="Arial" w:hAnsi="Arial" w:hint="default"/>
      </w:rPr>
    </w:lvl>
    <w:lvl w:ilvl="3" w:tplc="8856D254" w:tentative="1">
      <w:start w:val="1"/>
      <w:numFmt w:val="bullet"/>
      <w:lvlText w:val="•"/>
      <w:lvlJc w:val="left"/>
      <w:pPr>
        <w:tabs>
          <w:tab w:val="num" w:pos="2880"/>
        </w:tabs>
        <w:ind w:left="2880" w:hanging="360"/>
      </w:pPr>
      <w:rPr>
        <w:rFonts w:ascii="Arial" w:hAnsi="Arial" w:hint="default"/>
      </w:rPr>
    </w:lvl>
    <w:lvl w:ilvl="4" w:tplc="8AF8D4E4" w:tentative="1">
      <w:start w:val="1"/>
      <w:numFmt w:val="bullet"/>
      <w:lvlText w:val="•"/>
      <w:lvlJc w:val="left"/>
      <w:pPr>
        <w:tabs>
          <w:tab w:val="num" w:pos="3600"/>
        </w:tabs>
        <w:ind w:left="3600" w:hanging="360"/>
      </w:pPr>
      <w:rPr>
        <w:rFonts w:ascii="Arial" w:hAnsi="Arial" w:hint="default"/>
      </w:rPr>
    </w:lvl>
    <w:lvl w:ilvl="5" w:tplc="A862356E" w:tentative="1">
      <w:start w:val="1"/>
      <w:numFmt w:val="bullet"/>
      <w:lvlText w:val="•"/>
      <w:lvlJc w:val="left"/>
      <w:pPr>
        <w:tabs>
          <w:tab w:val="num" w:pos="4320"/>
        </w:tabs>
        <w:ind w:left="4320" w:hanging="360"/>
      </w:pPr>
      <w:rPr>
        <w:rFonts w:ascii="Arial" w:hAnsi="Arial" w:hint="default"/>
      </w:rPr>
    </w:lvl>
    <w:lvl w:ilvl="6" w:tplc="36A01968" w:tentative="1">
      <w:start w:val="1"/>
      <w:numFmt w:val="bullet"/>
      <w:lvlText w:val="•"/>
      <w:lvlJc w:val="left"/>
      <w:pPr>
        <w:tabs>
          <w:tab w:val="num" w:pos="5040"/>
        </w:tabs>
        <w:ind w:left="5040" w:hanging="360"/>
      </w:pPr>
      <w:rPr>
        <w:rFonts w:ascii="Arial" w:hAnsi="Arial" w:hint="default"/>
      </w:rPr>
    </w:lvl>
    <w:lvl w:ilvl="7" w:tplc="FEBADD34" w:tentative="1">
      <w:start w:val="1"/>
      <w:numFmt w:val="bullet"/>
      <w:lvlText w:val="•"/>
      <w:lvlJc w:val="left"/>
      <w:pPr>
        <w:tabs>
          <w:tab w:val="num" w:pos="5760"/>
        </w:tabs>
        <w:ind w:left="5760" w:hanging="360"/>
      </w:pPr>
      <w:rPr>
        <w:rFonts w:ascii="Arial" w:hAnsi="Arial" w:hint="default"/>
      </w:rPr>
    </w:lvl>
    <w:lvl w:ilvl="8" w:tplc="98624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C062C8"/>
    <w:multiLevelType w:val="hybridMultilevel"/>
    <w:tmpl w:val="A18CEDAC"/>
    <w:lvl w:ilvl="0" w:tplc="E28E0B36">
      <w:start w:val="18"/>
      <w:numFmt w:val="bullet"/>
      <w:lvlText w:val="-"/>
      <w:lvlJc w:val="left"/>
      <w:pPr>
        <w:ind w:left="720" w:hanging="360"/>
      </w:pPr>
      <w:rPr>
        <w:rFonts w:ascii="Gill Sans MT" w:eastAsia="Times New Roman" w:hAnsi="Gill Sans MT" w:cs="Verdana"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02AF2949"/>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4" w15:restartNumberingAfterBreak="0">
    <w:nsid w:val="038411D6"/>
    <w:multiLevelType w:val="hybridMultilevel"/>
    <w:tmpl w:val="C1D0DE32"/>
    <w:lvl w:ilvl="0" w:tplc="4BE63BDA">
      <w:start w:val="1"/>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04D5116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6" w15:restartNumberingAfterBreak="0">
    <w:nsid w:val="07CF3688"/>
    <w:multiLevelType w:val="multilevel"/>
    <w:tmpl w:val="6BD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4075D"/>
    <w:multiLevelType w:val="hybridMultilevel"/>
    <w:tmpl w:val="AD984EEA"/>
    <w:lvl w:ilvl="0" w:tplc="901C26BC">
      <w:start w:val="1"/>
      <w:numFmt w:val="bullet"/>
      <w:lvlText w:val=""/>
      <w:lvlJc w:val="left"/>
      <w:pPr>
        <w:ind w:left="783" w:hanging="360"/>
      </w:pPr>
      <w:rPr>
        <w:rFonts w:ascii="Symbol" w:hAnsi="Symbol" w:hint="default"/>
      </w:rPr>
    </w:lvl>
    <w:lvl w:ilvl="1" w:tplc="380A0003" w:tentative="1">
      <w:start w:val="1"/>
      <w:numFmt w:val="bullet"/>
      <w:lvlText w:val="o"/>
      <w:lvlJc w:val="left"/>
      <w:pPr>
        <w:ind w:left="1503" w:hanging="360"/>
      </w:pPr>
      <w:rPr>
        <w:rFonts w:ascii="Courier New" w:hAnsi="Courier New" w:cs="Courier New" w:hint="default"/>
      </w:rPr>
    </w:lvl>
    <w:lvl w:ilvl="2" w:tplc="380A0005" w:tentative="1">
      <w:start w:val="1"/>
      <w:numFmt w:val="bullet"/>
      <w:lvlText w:val=""/>
      <w:lvlJc w:val="left"/>
      <w:pPr>
        <w:ind w:left="2223" w:hanging="360"/>
      </w:pPr>
      <w:rPr>
        <w:rFonts w:ascii="Wingdings" w:hAnsi="Wingdings" w:hint="default"/>
      </w:rPr>
    </w:lvl>
    <w:lvl w:ilvl="3" w:tplc="380A0001" w:tentative="1">
      <w:start w:val="1"/>
      <w:numFmt w:val="bullet"/>
      <w:lvlText w:val=""/>
      <w:lvlJc w:val="left"/>
      <w:pPr>
        <w:ind w:left="2943" w:hanging="360"/>
      </w:pPr>
      <w:rPr>
        <w:rFonts w:ascii="Symbol" w:hAnsi="Symbol" w:hint="default"/>
      </w:rPr>
    </w:lvl>
    <w:lvl w:ilvl="4" w:tplc="380A0003" w:tentative="1">
      <w:start w:val="1"/>
      <w:numFmt w:val="bullet"/>
      <w:lvlText w:val="o"/>
      <w:lvlJc w:val="left"/>
      <w:pPr>
        <w:ind w:left="3663" w:hanging="360"/>
      </w:pPr>
      <w:rPr>
        <w:rFonts w:ascii="Courier New" w:hAnsi="Courier New" w:cs="Courier New" w:hint="default"/>
      </w:rPr>
    </w:lvl>
    <w:lvl w:ilvl="5" w:tplc="380A0005" w:tentative="1">
      <w:start w:val="1"/>
      <w:numFmt w:val="bullet"/>
      <w:lvlText w:val=""/>
      <w:lvlJc w:val="left"/>
      <w:pPr>
        <w:ind w:left="4383" w:hanging="360"/>
      </w:pPr>
      <w:rPr>
        <w:rFonts w:ascii="Wingdings" w:hAnsi="Wingdings" w:hint="default"/>
      </w:rPr>
    </w:lvl>
    <w:lvl w:ilvl="6" w:tplc="380A0001" w:tentative="1">
      <w:start w:val="1"/>
      <w:numFmt w:val="bullet"/>
      <w:lvlText w:val=""/>
      <w:lvlJc w:val="left"/>
      <w:pPr>
        <w:ind w:left="5103" w:hanging="360"/>
      </w:pPr>
      <w:rPr>
        <w:rFonts w:ascii="Symbol" w:hAnsi="Symbol" w:hint="default"/>
      </w:rPr>
    </w:lvl>
    <w:lvl w:ilvl="7" w:tplc="380A0003" w:tentative="1">
      <w:start w:val="1"/>
      <w:numFmt w:val="bullet"/>
      <w:lvlText w:val="o"/>
      <w:lvlJc w:val="left"/>
      <w:pPr>
        <w:ind w:left="5823" w:hanging="360"/>
      </w:pPr>
      <w:rPr>
        <w:rFonts w:ascii="Courier New" w:hAnsi="Courier New" w:cs="Courier New" w:hint="default"/>
      </w:rPr>
    </w:lvl>
    <w:lvl w:ilvl="8" w:tplc="380A0005" w:tentative="1">
      <w:start w:val="1"/>
      <w:numFmt w:val="bullet"/>
      <w:lvlText w:val=""/>
      <w:lvlJc w:val="left"/>
      <w:pPr>
        <w:ind w:left="6543" w:hanging="360"/>
      </w:pPr>
      <w:rPr>
        <w:rFonts w:ascii="Wingdings" w:hAnsi="Wingdings" w:hint="default"/>
      </w:rPr>
    </w:lvl>
  </w:abstractNum>
  <w:abstractNum w:abstractNumId="8" w15:restartNumberingAfterBreak="0">
    <w:nsid w:val="0BF90D88"/>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9" w15:restartNumberingAfterBreak="0">
    <w:nsid w:val="0D9A0254"/>
    <w:multiLevelType w:val="hybridMultilevel"/>
    <w:tmpl w:val="D1B48636"/>
    <w:lvl w:ilvl="0" w:tplc="F5729828">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0E75623F"/>
    <w:multiLevelType w:val="hybridMultilevel"/>
    <w:tmpl w:val="1960D6FA"/>
    <w:lvl w:ilvl="0" w:tplc="997EE510">
      <w:start w:val="4"/>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2" w15:restartNumberingAfterBreak="0">
    <w:nsid w:val="14AB298E"/>
    <w:multiLevelType w:val="hybridMultilevel"/>
    <w:tmpl w:val="E8EE9020"/>
    <w:lvl w:ilvl="0" w:tplc="C494FB0E">
      <w:start w:val="1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19021C"/>
    <w:multiLevelType w:val="hybridMultilevel"/>
    <w:tmpl w:val="FB90489C"/>
    <w:lvl w:ilvl="0" w:tplc="0C0A000F">
      <w:start w:val="1"/>
      <w:numFmt w:val="decimal"/>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9AA373D"/>
    <w:multiLevelType w:val="multilevel"/>
    <w:tmpl w:val="9B9E7654"/>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C373BA"/>
    <w:multiLevelType w:val="hybridMultilevel"/>
    <w:tmpl w:val="0772218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1D405F03"/>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7" w15:restartNumberingAfterBreak="0">
    <w:nsid w:val="1DA17311"/>
    <w:multiLevelType w:val="hybridMultilevel"/>
    <w:tmpl w:val="16D0B050"/>
    <w:lvl w:ilvl="0" w:tplc="5C1E47E4">
      <w:start w:val="1"/>
      <w:numFmt w:val="decimal"/>
      <w:lvlText w:val="%1."/>
      <w:lvlJc w:val="left"/>
      <w:pPr>
        <w:ind w:left="720" w:hanging="360"/>
      </w:pPr>
      <w:rPr>
        <w:rFonts w:ascii="Gill Sans MT" w:eastAsia="Calibri" w:hAnsi="Gill Sans MT" w:cs="Times New Roman"/>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1E78268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19" w15:restartNumberingAfterBreak="0">
    <w:nsid w:val="1EA55C5A"/>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0" w15:restartNumberingAfterBreak="0">
    <w:nsid w:val="1F5E144C"/>
    <w:multiLevelType w:val="multilevel"/>
    <w:tmpl w:val="8F6CA68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12C3B8D"/>
    <w:multiLevelType w:val="hybridMultilevel"/>
    <w:tmpl w:val="7A8A93C4"/>
    <w:lvl w:ilvl="0" w:tplc="0ADA908A">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265B1C18"/>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3" w15:restartNumberingAfterBreak="0">
    <w:nsid w:val="2B272704"/>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4" w15:restartNumberingAfterBreak="0">
    <w:nsid w:val="34684A52"/>
    <w:multiLevelType w:val="hybridMultilevel"/>
    <w:tmpl w:val="A2CC18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35BA539F"/>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6" w15:restartNumberingAfterBreak="0">
    <w:nsid w:val="37962326"/>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7" w15:restartNumberingAfterBreak="0">
    <w:nsid w:val="3814076B"/>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8" w15:restartNumberingAfterBreak="0">
    <w:nsid w:val="4008259D"/>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29" w15:restartNumberingAfterBreak="0">
    <w:nsid w:val="44AC4A8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0" w15:restartNumberingAfterBreak="0">
    <w:nsid w:val="4BA65B00"/>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1" w15:restartNumberingAfterBreak="0">
    <w:nsid w:val="53D02333"/>
    <w:multiLevelType w:val="hybridMultilevel"/>
    <w:tmpl w:val="A99EC07A"/>
    <w:lvl w:ilvl="0" w:tplc="4BE63BDA">
      <w:start w:val="1"/>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15:restartNumberingAfterBreak="0">
    <w:nsid w:val="5B2A2B91"/>
    <w:multiLevelType w:val="hybridMultilevel"/>
    <w:tmpl w:val="39DE815C"/>
    <w:lvl w:ilvl="0" w:tplc="FCBC58C0">
      <w:numFmt w:val="bullet"/>
      <w:lvlText w:val="-"/>
      <w:lvlJc w:val="left"/>
      <w:pPr>
        <w:ind w:left="720" w:hanging="360"/>
      </w:pPr>
      <w:rPr>
        <w:rFonts w:ascii="Arial" w:eastAsia="Arial Unicode MS" w:hAnsi="Arial" w:cs="Aria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15:restartNumberingAfterBreak="0">
    <w:nsid w:val="5B7F6952"/>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4" w15:restartNumberingAfterBreak="0">
    <w:nsid w:val="60B55137"/>
    <w:multiLevelType w:val="multilevel"/>
    <w:tmpl w:val="77849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174778"/>
    <w:multiLevelType w:val="hybridMultilevel"/>
    <w:tmpl w:val="3D66C61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6" w15:restartNumberingAfterBreak="0">
    <w:nsid w:val="638532D1"/>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7" w15:restartNumberingAfterBreak="0">
    <w:nsid w:val="6A26067C"/>
    <w:multiLevelType w:val="multilevel"/>
    <w:tmpl w:val="DAAA28D2"/>
    <w:lvl w:ilvl="0">
      <w:start w:val="1"/>
      <w:numFmt w:val="decimal"/>
      <w:lvlText w:val="%1."/>
      <w:lvlJc w:val="left"/>
      <w:pPr>
        <w:tabs>
          <w:tab w:val="num" w:pos="1080"/>
        </w:tabs>
        <w:ind w:left="1080" w:hanging="360"/>
      </w:pPr>
      <w:rPr>
        <w:b/>
      </w:rPr>
    </w:lvl>
    <w:lvl w:ilvl="1">
      <w:start w:val="1"/>
      <w:numFmt w:val="decimal"/>
      <w:isLgl/>
      <w:lvlText w:val="%1.%2."/>
      <w:lvlJc w:val="left"/>
      <w:pPr>
        <w:tabs>
          <w:tab w:val="num" w:pos="2130"/>
        </w:tabs>
        <w:ind w:left="2130" w:hanging="720"/>
      </w:pPr>
      <w:rPr>
        <w:rFonts w:hint="default"/>
        <w:b/>
      </w:rPr>
    </w:lvl>
    <w:lvl w:ilvl="2">
      <w:start w:val="1"/>
      <w:numFmt w:val="decimal"/>
      <w:isLgl/>
      <w:lvlText w:val="%1.%2.%3."/>
      <w:lvlJc w:val="left"/>
      <w:pPr>
        <w:tabs>
          <w:tab w:val="num" w:pos="2820"/>
        </w:tabs>
        <w:ind w:left="2820" w:hanging="720"/>
      </w:pPr>
      <w:rPr>
        <w:rFonts w:hint="default"/>
        <w:b/>
      </w:rPr>
    </w:lvl>
    <w:lvl w:ilvl="3">
      <w:start w:val="1"/>
      <w:numFmt w:val="decimal"/>
      <w:isLgl/>
      <w:lvlText w:val="%1.%2.%3.%4."/>
      <w:lvlJc w:val="left"/>
      <w:pPr>
        <w:tabs>
          <w:tab w:val="num" w:pos="3870"/>
        </w:tabs>
        <w:ind w:left="3870" w:hanging="108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610"/>
        </w:tabs>
        <w:ind w:left="5610" w:hanging="144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350"/>
        </w:tabs>
        <w:ind w:left="7350" w:hanging="180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38" w15:restartNumberingAfterBreak="0">
    <w:nsid w:val="6D4E0A11"/>
    <w:multiLevelType w:val="hybridMultilevel"/>
    <w:tmpl w:val="B3EC0844"/>
    <w:lvl w:ilvl="0" w:tplc="C8B8D018">
      <w:start w:val="1"/>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9" w15:restartNumberingAfterBreak="0">
    <w:nsid w:val="707511F6"/>
    <w:multiLevelType w:val="hybridMultilevel"/>
    <w:tmpl w:val="2CFE9C8E"/>
    <w:lvl w:ilvl="0" w:tplc="B86CBD34">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0" w15:restartNumberingAfterBreak="0">
    <w:nsid w:val="73793877"/>
    <w:multiLevelType w:val="hybridMultilevel"/>
    <w:tmpl w:val="8B98E81E"/>
    <w:lvl w:ilvl="0" w:tplc="D150A724">
      <w:start w:val="2"/>
      <w:numFmt w:val="bullet"/>
      <w:lvlText w:val="-"/>
      <w:lvlJc w:val="left"/>
      <w:pPr>
        <w:ind w:left="720" w:hanging="360"/>
      </w:pPr>
      <w:rPr>
        <w:rFonts w:ascii="Gill Sans MT" w:eastAsia="Times New Roman" w:hAnsi="Gill Sans MT" w:cs="Verdana"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1" w15:restartNumberingAfterBreak="0">
    <w:nsid w:val="74CD1C3F"/>
    <w:multiLevelType w:val="hybridMultilevel"/>
    <w:tmpl w:val="C8620D76"/>
    <w:lvl w:ilvl="0" w:tplc="E5EAE4E2">
      <w:start w:val="1"/>
      <w:numFmt w:val="bullet"/>
      <w:lvlText w:val="•"/>
      <w:lvlJc w:val="left"/>
      <w:pPr>
        <w:tabs>
          <w:tab w:val="num" w:pos="720"/>
        </w:tabs>
        <w:ind w:left="720" w:hanging="360"/>
      </w:pPr>
      <w:rPr>
        <w:rFonts w:ascii="Arial" w:hAnsi="Arial" w:hint="default"/>
      </w:rPr>
    </w:lvl>
    <w:lvl w:ilvl="1" w:tplc="462EC952" w:tentative="1">
      <w:start w:val="1"/>
      <w:numFmt w:val="bullet"/>
      <w:lvlText w:val="•"/>
      <w:lvlJc w:val="left"/>
      <w:pPr>
        <w:tabs>
          <w:tab w:val="num" w:pos="1440"/>
        </w:tabs>
        <w:ind w:left="1440" w:hanging="360"/>
      </w:pPr>
      <w:rPr>
        <w:rFonts w:ascii="Arial" w:hAnsi="Arial" w:hint="default"/>
      </w:rPr>
    </w:lvl>
    <w:lvl w:ilvl="2" w:tplc="04929A46" w:tentative="1">
      <w:start w:val="1"/>
      <w:numFmt w:val="bullet"/>
      <w:lvlText w:val="•"/>
      <w:lvlJc w:val="left"/>
      <w:pPr>
        <w:tabs>
          <w:tab w:val="num" w:pos="2160"/>
        </w:tabs>
        <w:ind w:left="2160" w:hanging="360"/>
      </w:pPr>
      <w:rPr>
        <w:rFonts w:ascii="Arial" w:hAnsi="Arial" w:hint="default"/>
      </w:rPr>
    </w:lvl>
    <w:lvl w:ilvl="3" w:tplc="EEDC140E" w:tentative="1">
      <w:start w:val="1"/>
      <w:numFmt w:val="bullet"/>
      <w:lvlText w:val="•"/>
      <w:lvlJc w:val="left"/>
      <w:pPr>
        <w:tabs>
          <w:tab w:val="num" w:pos="2880"/>
        </w:tabs>
        <w:ind w:left="2880" w:hanging="360"/>
      </w:pPr>
      <w:rPr>
        <w:rFonts w:ascii="Arial" w:hAnsi="Arial" w:hint="default"/>
      </w:rPr>
    </w:lvl>
    <w:lvl w:ilvl="4" w:tplc="AF3893DA" w:tentative="1">
      <w:start w:val="1"/>
      <w:numFmt w:val="bullet"/>
      <w:lvlText w:val="•"/>
      <w:lvlJc w:val="left"/>
      <w:pPr>
        <w:tabs>
          <w:tab w:val="num" w:pos="3600"/>
        </w:tabs>
        <w:ind w:left="3600" w:hanging="360"/>
      </w:pPr>
      <w:rPr>
        <w:rFonts w:ascii="Arial" w:hAnsi="Arial" w:hint="default"/>
      </w:rPr>
    </w:lvl>
    <w:lvl w:ilvl="5" w:tplc="B69AD432" w:tentative="1">
      <w:start w:val="1"/>
      <w:numFmt w:val="bullet"/>
      <w:lvlText w:val="•"/>
      <w:lvlJc w:val="left"/>
      <w:pPr>
        <w:tabs>
          <w:tab w:val="num" w:pos="4320"/>
        </w:tabs>
        <w:ind w:left="4320" w:hanging="360"/>
      </w:pPr>
      <w:rPr>
        <w:rFonts w:ascii="Arial" w:hAnsi="Arial" w:hint="default"/>
      </w:rPr>
    </w:lvl>
    <w:lvl w:ilvl="6" w:tplc="332C69C8" w:tentative="1">
      <w:start w:val="1"/>
      <w:numFmt w:val="bullet"/>
      <w:lvlText w:val="•"/>
      <w:lvlJc w:val="left"/>
      <w:pPr>
        <w:tabs>
          <w:tab w:val="num" w:pos="5040"/>
        </w:tabs>
        <w:ind w:left="5040" w:hanging="360"/>
      </w:pPr>
      <w:rPr>
        <w:rFonts w:ascii="Arial" w:hAnsi="Arial" w:hint="default"/>
      </w:rPr>
    </w:lvl>
    <w:lvl w:ilvl="7" w:tplc="B6A202AC" w:tentative="1">
      <w:start w:val="1"/>
      <w:numFmt w:val="bullet"/>
      <w:lvlText w:val="•"/>
      <w:lvlJc w:val="left"/>
      <w:pPr>
        <w:tabs>
          <w:tab w:val="num" w:pos="5760"/>
        </w:tabs>
        <w:ind w:left="5760" w:hanging="360"/>
      </w:pPr>
      <w:rPr>
        <w:rFonts w:ascii="Arial" w:hAnsi="Arial" w:hint="default"/>
      </w:rPr>
    </w:lvl>
    <w:lvl w:ilvl="8" w:tplc="D01EBFB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F41791"/>
    <w:multiLevelType w:val="hybridMultilevel"/>
    <w:tmpl w:val="2F5662D8"/>
    <w:lvl w:ilvl="0" w:tplc="944EEE8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2077698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689958">
    <w:abstractNumId w:val="14"/>
  </w:num>
  <w:num w:numId="3" w16cid:durableId="488062892">
    <w:abstractNumId w:val="0"/>
  </w:num>
  <w:num w:numId="4" w16cid:durableId="1432896231">
    <w:abstractNumId w:val="34"/>
  </w:num>
  <w:num w:numId="5" w16cid:durableId="860507123">
    <w:abstractNumId w:val="35"/>
  </w:num>
  <w:num w:numId="6" w16cid:durableId="1490176838">
    <w:abstractNumId w:val="24"/>
  </w:num>
  <w:num w:numId="7" w16cid:durableId="17861968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0871554">
    <w:abstractNumId w:val="9"/>
  </w:num>
  <w:num w:numId="9" w16cid:durableId="296111994">
    <w:abstractNumId w:val="10"/>
  </w:num>
  <w:num w:numId="10" w16cid:durableId="1989821563">
    <w:abstractNumId w:val="12"/>
  </w:num>
  <w:num w:numId="11" w16cid:durableId="535890737">
    <w:abstractNumId w:val="33"/>
  </w:num>
  <w:num w:numId="12" w16cid:durableId="1094519550">
    <w:abstractNumId w:val="19"/>
  </w:num>
  <w:num w:numId="13" w16cid:durableId="1679654152">
    <w:abstractNumId w:val="16"/>
  </w:num>
  <w:num w:numId="14" w16cid:durableId="1965579758">
    <w:abstractNumId w:val="28"/>
  </w:num>
  <w:num w:numId="15" w16cid:durableId="1194031483">
    <w:abstractNumId w:val="30"/>
  </w:num>
  <w:num w:numId="16" w16cid:durableId="1086420378">
    <w:abstractNumId w:val="17"/>
  </w:num>
  <w:num w:numId="17" w16cid:durableId="1106123676">
    <w:abstractNumId w:val="23"/>
  </w:num>
  <w:num w:numId="18" w16cid:durableId="388111219">
    <w:abstractNumId w:val="8"/>
  </w:num>
  <w:num w:numId="19" w16cid:durableId="119804203">
    <w:abstractNumId w:val="22"/>
  </w:num>
  <w:num w:numId="20" w16cid:durableId="1022710193">
    <w:abstractNumId w:val="18"/>
  </w:num>
  <w:num w:numId="21" w16cid:durableId="157499517">
    <w:abstractNumId w:val="27"/>
  </w:num>
  <w:num w:numId="22" w16cid:durableId="635137557">
    <w:abstractNumId w:val="40"/>
  </w:num>
  <w:num w:numId="23" w16cid:durableId="1592395683">
    <w:abstractNumId w:val="7"/>
  </w:num>
  <w:num w:numId="24" w16cid:durableId="1515925298">
    <w:abstractNumId w:val="41"/>
  </w:num>
  <w:num w:numId="25" w16cid:durableId="1399212529">
    <w:abstractNumId w:val="1"/>
  </w:num>
  <w:num w:numId="26" w16cid:durableId="837354396">
    <w:abstractNumId w:val="36"/>
  </w:num>
  <w:num w:numId="27" w16cid:durableId="1499344275">
    <w:abstractNumId w:val="37"/>
  </w:num>
  <w:num w:numId="28" w16cid:durableId="958098722">
    <w:abstractNumId w:val="38"/>
  </w:num>
  <w:num w:numId="29" w16cid:durableId="1030187990">
    <w:abstractNumId w:val="5"/>
  </w:num>
  <w:num w:numId="30" w16cid:durableId="1294797335">
    <w:abstractNumId w:val="21"/>
  </w:num>
  <w:num w:numId="31" w16cid:durableId="1037660626">
    <w:abstractNumId w:val="11"/>
  </w:num>
  <w:num w:numId="32" w16cid:durableId="888153514">
    <w:abstractNumId w:val="3"/>
  </w:num>
  <w:num w:numId="33" w16cid:durableId="958684858">
    <w:abstractNumId w:val="25"/>
  </w:num>
  <w:num w:numId="34" w16cid:durableId="712971002">
    <w:abstractNumId w:val="26"/>
  </w:num>
  <w:num w:numId="35" w16cid:durableId="642974193">
    <w:abstractNumId w:val="31"/>
  </w:num>
  <w:num w:numId="36" w16cid:durableId="1034960534">
    <w:abstractNumId w:val="20"/>
  </w:num>
  <w:num w:numId="37" w16cid:durableId="870528788">
    <w:abstractNumId w:val="4"/>
  </w:num>
  <w:num w:numId="38" w16cid:durableId="565996310">
    <w:abstractNumId w:val="42"/>
  </w:num>
  <w:num w:numId="39" w16cid:durableId="1147666599">
    <w:abstractNumId w:val="32"/>
  </w:num>
  <w:num w:numId="40" w16cid:durableId="1351448063">
    <w:abstractNumId w:val="6"/>
  </w:num>
  <w:num w:numId="41" w16cid:durableId="350498812">
    <w:abstractNumId w:val="15"/>
  </w:num>
  <w:num w:numId="42" w16cid:durableId="1325015642">
    <w:abstractNumId w:val="2"/>
  </w:num>
  <w:num w:numId="43" w16cid:durableId="207011256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8"/>
    <w:rsid w:val="000031A2"/>
    <w:rsid w:val="000057B8"/>
    <w:rsid w:val="00010710"/>
    <w:rsid w:val="000108BE"/>
    <w:rsid w:val="00014EF1"/>
    <w:rsid w:val="00034387"/>
    <w:rsid w:val="00034CAB"/>
    <w:rsid w:val="00040BA1"/>
    <w:rsid w:val="00041221"/>
    <w:rsid w:val="00042179"/>
    <w:rsid w:val="00045E50"/>
    <w:rsid w:val="00046F31"/>
    <w:rsid w:val="00047C35"/>
    <w:rsid w:val="0005114F"/>
    <w:rsid w:val="0005138A"/>
    <w:rsid w:val="00052F5D"/>
    <w:rsid w:val="00053704"/>
    <w:rsid w:val="000547A1"/>
    <w:rsid w:val="00074213"/>
    <w:rsid w:val="00084EB2"/>
    <w:rsid w:val="000855BE"/>
    <w:rsid w:val="00086D56"/>
    <w:rsid w:val="00087D23"/>
    <w:rsid w:val="00092E82"/>
    <w:rsid w:val="000A06A9"/>
    <w:rsid w:val="000A728B"/>
    <w:rsid w:val="000A72CA"/>
    <w:rsid w:val="000C041C"/>
    <w:rsid w:val="000C1D2C"/>
    <w:rsid w:val="000C210C"/>
    <w:rsid w:val="000C36DC"/>
    <w:rsid w:val="000C60E9"/>
    <w:rsid w:val="000E2F48"/>
    <w:rsid w:val="000E5EE3"/>
    <w:rsid w:val="000F4902"/>
    <w:rsid w:val="001036C7"/>
    <w:rsid w:val="001130D3"/>
    <w:rsid w:val="0012487E"/>
    <w:rsid w:val="00125D9A"/>
    <w:rsid w:val="00127623"/>
    <w:rsid w:val="00134F47"/>
    <w:rsid w:val="001352E8"/>
    <w:rsid w:val="001374A9"/>
    <w:rsid w:val="00141E8F"/>
    <w:rsid w:val="0014652B"/>
    <w:rsid w:val="0015572A"/>
    <w:rsid w:val="0015734A"/>
    <w:rsid w:val="001664D0"/>
    <w:rsid w:val="0017324F"/>
    <w:rsid w:val="00174E05"/>
    <w:rsid w:val="00177F80"/>
    <w:rsid w:val="00182C78"/>
    <w:rsid w:val="00190ED3"/>
    <w:rsid w:val="00191AFF"/>
    <w:rsid w:val="00193EEB"/>
    <w:rsid w:val="001951ED"/>
    <w:rsid w:val="00196736"/>
    <w:rsid w:val="001A22AF"/>
    <w:rsid w:val="001B0F61"/>
    <w:rsid w:val="001B2B94"/>
    <w:rsid w:val="001B3E0A"/>
    <w:rsid w:val="001B7094"/>
    <w:rsid w:val="001B7E97"/>
    <w:rsid w:val="001C0E58"/>
    <w:rsid w:val="001C3C6C"/>
    <w:rsid w:val="001D0735"/>
    <w:rsid w:val="001D183E"/>
    <w:rsid w:val="001D1ED3"/>
    <w:rsid w:val="001D3139"/>
    <w:rsid w:val="001D4B2A"/>
    <w:rsid w:val="001D6388"/>
    <w:rsid w:val="001D6EAF"/>
    <w:rsid w:val="001E0B26"/>
    <w:rsid w:val="001E295E"/>
    <w:rsid w:val="001E461F"/>
    <w:rsid w:val="001F296D"/>
    <w:rsid w:val="001F714E"/>
    <w:rsid w:val="002068B5"/>
    <w:rsid w:val="00215EFC"/>
    <w:rsid w:val="00216115"/>
    <w:rsid w:val="00222CA2"/>
    <w:rsid w:val="00233D15"/>
    <w:rsid w:val="00235CAB"/>
    <w:rsid w:val="00235CD5"/>
    <w:rsid w:val="002376C3"/>
    <w:rsid w:val="00240491"/>
    <w:rsid w:val="00242FC7"/>
    <w:rsid w:val="002457CF"/>
    <w:rsid w:val="00246768"/>
    <w:rsid w:val="00251852"/>
    <w:rsid w:val="0027378F"/>
    <w:rsid w:val="002800F0"/>
    <w:rsid w:val="002812A1"/>
    <w:rsid w:val="0028390D"/>
    <w:rsid w:val="00284A9D"/>
    <w:rsid w:val="002909AC"/>
    <w:rsid w:val="00295350"/>
    <w:rsid w:val="002A206B"/>
    <w:rsid w:val="002A6014"/>
    <w:rsid w:val="002B2CA1"/>
    <w:rsid w:val="002C19D5"/>
    <w:rsid w:val="002D426A"/>
    <w:rsid w:val="002D568A"/>
    <w:rsid w:val="002D722C"/>
    <w:rsid w:val="002D7B65"/>
    <w:rsid w:val="002E5197"/>
    <w:rsid w:val="002E7352"/>
    <w:rsid w:val="002F4FEF"/>
    <w:rsid w:val="00304BC0"/>
    <w:rsid w:val="00306CB5"/>
    <w:rsid w:val="00310E40"/>
    <w:rsid w:val="00313F74"/>
    <w:rsid w:val="0032587E"/>
    <w:rsid w:val="00327A21"/>
    <w:rsid w:val="00344300"/>
    <w:rsid w:val="003452B9"/>
    <w:rsid w:val="00345C7F"/>
    <w:rsid w:val="00346EE1"/>
    <w:rsid w:val="003472B2"/>
    <w:rsid w:val="00352201"/>
    <w:rsid w:val="00360F86"/>
    <w:rsid w:val="00362D7B"/>
    <w:rsid w:val="00365B8E"/>
    <w:rsid w:val="00366324"/>
    <w:rsid w:val="00371F38"/>
    <w:rsid w:val="00373611"/>
    <w:rsid w:val="0038497F"/>
    <w:rsid w:val="003859AC"/>
    <w:rsid w:val="00392032"/>
    <w:rsid w:val="00393A05"/>
    <w:rsid w:val="00397BD1"/>
    <w:rsid w:val="003A0F9A"/>
    <w:rsid w:val="003A5ED9"/>
    <w:rsid w:val="003A6256"/>
    <w:rsid w:val="003B42EB"/>
    <w:rsid w:val="003C0265"/>
    <w:rsid w:val="003C0C0B"/>
    <w:rsid w:val="003C41B6"/>
    <w:rsid w:val="003C71B9"/>
    <w:rsid w:val="003D119B"/>
    <w:rsid w:val="003D784C"/>
    <w:rsid w:val="003E6882"/>
    <w:rsid w:val="003F1A29"/>
    <w:rsid w:val="003F248B"/>
    <w:rsid w:val="00406AF3"/>
    <w:rsid w:val="0040768F"/>
    <w:rsid w:val="00416E3B"/>
    <w:rsid w:val="00416EF5"/>
    <w:rsid w:val="00422A7A"/>
    <w:rsid w:val="00425043"/>
    <w:rsid w:val="00427764"/>
    <w:rsid w:val="004317D0"/>
    <w:rsid w:val="00434E52"/>
    <w:rsid w:val="00436A7C"/>
    <w:rsid w:val="00437FD6"/>
    <w:rsid w:val="00443621"/>
    <w:rsid w:val="00444915"/>
    <w:rsid w:val="00447F88"/>
    <w:rsid w:val="004543CE"/>
    <w:rsid w:val="0045755D"/>
    <w:rsid w:val="0047144C"/>
    <w:rsid w:val="00471E49"/>
    <w:rsid w:val="0047654F"/>
    <w:rsid w:val="00482B92"/>
    <w:rsid w:val="00482E85"/>
    <w:rsid w:val="00490A05"/>
    <w:rsid w:val="0049324F"/>
    <w:rsid w:val="00495322"/>
    <w:rsid w:val="00496A5F"/>
    <w:rsid w:val="004A06BC"/>
    <w:rsid w:val="004A7A85"/>
    <w:rsid w:val="004B0F04"/>
    <w:rsid w:val="004B5AAF"/>
    <w:rsid w:val="004B6864"/>
    <w:rsid w:val="004B7081"/>
    <w:rsid w:val="004C4896"/>
    <w:rsid w:val="004D1E03"/>
    <w:rsid w:val="004D495E"/>
    <w:rsid w:val="004D6D2C"/>
    <w:rsid w:val="004E0005"/>
    <w:rsid w:val="004E5B5F"/>
    <w:rsid w:val="004E68B3"/>
    <w:rsid w:val="004F47BE"/>
    <w:rsid w:val="004F4EC5"/>
    <w:rsid w:val="004F65E9"/>
    <w:rsid w:val="004F6D3A"/>
    <w:rsid w:val="00503A43"/>
    <w:rsid w:val="00506FD2"/>
    <w:rsid w:val="00516150"/>
    <w:rsid w:val="00522CE3"/>
    <w:rsid w:val="00524A71"/>
    <w:rsid w:val="00535B50"/>
    <w:rsid w:val="0053685A"/>
    <w:rsid w:val="00540C43"/>
    <w:rsid w:val="00542760"/>
    <w:rsid w:val="00543959"/>
    <w:rsid w:val="00550710"/>
    <w:rsid w:val="005523D9"/>
    <w:rsid w:val="00552D94"/>
    <w:rsid w:val="00552E17"/>
    <w:rsid w:val="0055319F"/>
    <w:rsid w:val="00554E6B"/>
    <w:rsid w:val="00554F9F"/>
    <w:rsid w:val="0056006E"/>
    <w:rsid w:val="00561425"/>
    <w:rsid w:val="00561EDD"/>
    <w:rsid w:val="00564D43"/>
    <w:rsid w:val="00570C5A"/>
    <w:rsid w:val="0057108D"/>
    <w:rsid w:val="00571F26"/>
    <w:rsid w:val="00581274"/>
    <w:rsid w:val="00582422"/>
    <w:rsid w:val="00584B02"/>
    <w:rsid w:val="0059245E"/>
    <w:rsid w:val="005967AB"/>
    <w:rsid w:val="005A0857"/>
    <w:rsid w:val="005A18A8"/>
    <w:rsid w:val="005A50EE"/>
    <w:rsid w:val="005A6E28"/>
    <w:rsid w:val="005B40F9"/>
    <w:rsid w:val="005C1304"/>
    <w:rsid w:val="005C2839"/>
    <w:rsid w:val="005C2E24"/>
    <w:rsid w:val="005D1201"/>
    <w:rsid w:val="005D1AB8"/>
    <w:rsid w:val="005E17B9"/>
    <w:rsid w:val="005E1864"/>
    <w:rsid w:val="005E21EB"/>
    <w:rsid w:val="005E38C2"/>
    <w:rsid w:val="005E7A13"/>
    <w:rsid w:val="005F0B35"/>
    <w:rsid w:val="005F352D"/>
    <w:rsid w:val="005F42F5"/>
    <w:rsid w:val="005F619C"/>
    <w:rsid w:val="006134C1"/>
    <w:rsid w:val="0062100D"/>
    <w:rsid w:val="00622D74"/>
    <w:rsid w:val="00624E91"/>
    <w:rsid w:val="0062649B"/>
    <w:rsid w:val="006273CB"/>
    <w:rsid w:val="006309DB"/>
    <w:rsid w:val="00631642"/>
    <w:rsid w:val="0063164E"/>
    <w:rsid w:val="00654F7E"/>
    <w:rsid w:val="00660831"/>
    <w:rsid w:val="0066269E"/>
    <w:rsid w:val="00666CB3"/>
    <w:rsid w:val="006704CC"/>
    <w:rsid w:val="00670FDF"/>
    <w:rsid w:val="0067531C"/>
    <w:rsid w:val="0067716F"/>
    <w:rsid w:val="00683794"/>
    <w:rsid w:val="00683F69"/>
    <w:rsid w:val="0068707F"/>
    <w:rsid w:val="0069347B"/>
    <w:rsid w:val="00693FB3"/>
    <w:rsid w:val="00694249"/>
    <w:rsid w:val="006A0A9C"/>
    <w:rsid w:val="006A2B9A"/>
    <w:rsid w:val="006A7788"/>
    <w:rsid w:val="006B26D5"/>
    <w:rsid w:val="006B34FC"/>
    <w:rsid w:val="006B4504"/>
    <w:rsid w:val="006B4972"/>
    <w:rsid w:val="006B6870"/>
    <w:rsid w:val="006C6F75"/>
    <w:rsid w:val="006C76F5"/>
    <w:rsid w:val="006D30BE"/>
    <w:rsid w:val="006D3A2C"/>
    <w:rsid w:val="006D4953"/>
    <w:rsid w:val="006D4F20"/>
    <w:rsid w:val="006E0B04"/>
    <w:rsid w:val="006E72F5"/>
    <w:rsid w:val="006E79F3"/>
    <w:rsid w:val="006F5392"/>
    <w:rsid w:val="006F653A"/>
    <w:rsid w:val="007003E1"/>
    <w:rsid w:val="00702B7C"/>
    <w:rsid w:val="00703633"/>
    <w:rsid w:val="00703E1E"/>
    <w:rsid w:val="0070590F"/>
    <w:rsid w:val="007069D0"/>
    <w:rsid w:val="00706F7C"/>
    <w:rsid w:val="007121E5"/>
    <w:rsid w:val="00712F6A"/>
    <w:rsid w:val="007151A8"/>
    <w:rsid w:val="007168DA"/>
    <w:rsid w:val="007207D2"/>
    <w:rsid w:val="00726E69"/>
    <w:rsid w:val="00732CC3"/>
    <w:rsid w:val="00733652"/>
    <w:rsid w:val="00733CFF"/>
    <w:rsid w:val="00733FC9"/>
    <w:rsid w:val="007408D3"/>
    <w:rsid w:val="007511E9"/>
    <w:rsid w:val="00752199"/>
    <w:rsid w:val="007566B3"/>
    <w:rsid w:val="00757E49"/>
    <w:rsid w:val="00760805"/>
    <w:rsid w:val="00760EA5"/>
    <w:rsid w:val="0076105A"/>
    <w:rsid w:val="00762F2F"/>
    <w:rsid w:val="00764F54"/>
    <w:rsid w:val="00770CBB"/>
    <w:rsid w:val="007722D5"/>
    <w:rsid w:val="00782644"/>
    <w:rsid w:val="00784E47"/>
    <w:rsid w:val="0078591A"/>
    <w:rsid w:val="00786B86"/>
    <w:rsid w:val="00791A3D"/>
    <w:rsid w:val="00794B2F"/>
    <w:rsid w:val="007A6D1B"/>
    <w:rsid w:val="007B17DC"/>
    <w:rsid w:val="007B728E"/>
    <w:rsid w:val="007C01B4"/>
    <w:rsid w:val="007C102A"/>
    <w:rsid w:val="007C54AC"/>
    <w:rsid w:val="007D2D1A"/>
    <w:rsid w:val="007D4223"/>
    <w:rsid w:val="007D5E8F"/>
    <w:rsid w:val="007D6D3F"/>
    <w:rsid w:val="007E4B06"/>
    <w:rsid w:val="007E6B34"/>
    <w:rsid w:val="007F3682"/>
    <w:rsid w:val="007F3982"/>
    <w:rsid w:val="007F6514"/>
    <w:rsid w:val="00800C4E"/>
    <w:rsid w:val="008028D3"/>
    <w:rsid w:val="0080338A"/>
    <w:rsid w:val="00804635"/>
    <w:rsid w:val="008108BC"/>
    <w:rsid w:val="00821AB9"/>
    <w:rsid w:val="00824F81"/>
    <w:rsid w:val="00826849"/>
    <w:rsid w:val="00826F58"/>
    <w:rsid w:val="0083224C"/>
    <w:rsid w:val="00853990"/>
    <w:rsid w:val="00853ED7"/>
    <w:rsid w:val="00855073"/>
    <w:rsid w:val="00863BC3"/>
    <w:rsid w:val="00871B6A"/>
    <w:rsid w:val="00872420"/>
    <w:rsid w:val="00877B11"/>
    <w:rsid w:val="00887186"/>
    <w:rsid w:val="008933B4"/>
    <w:rsid w:val="0089432D"/>
    <w:rsid w:val="0089692F"/>
    <w:rsid w:val="008A3752"/>
    <w:rsid w:val="008A39ED"/>
    <w:rsid w:val="008A53F3"/>
    <w:rsid w:val="008A6DA8"/>
    <w:rsid w:val="008B78AA"/>
    <w:rsid w:val="008C080F"/>
    <w:rsid w:val="008C0C9D"/>
    <w:rsid w:val="008C1F65"/>
    <w:rsid w:val="008D5D1A"/>
    <w:rsid w:val="008D7720"/>
    <w:rsid w:val="008E1FF4"/>
    <w:rsid w:val="008E33AA"/>
    <w:rsid w:val="008E677D"/>
    <w:rsid w:val="008F13B1"/>
    <w:rsid w:val="00901900"/>
    <w:rsid w:val="00910E92"/>
    <w:rsid w:val="00910F8B"/>
    <w:rsid w:val="00912891"/>
    <w:rsid w:val="00915FA4"/>
    <w:rsid w:val="00917D7F"/>
    <w:rsid w:val="0092041A"/>
    <w:rsid w:val="0092351F"/>
    <w:rsid w:val="009246C5"/>
    <w:rsid w:val="00927573"/>
    <w:rsid w:val="00930839"/>
    <w:rsid w:val="00932636"/>
    <w:rsid w:val="00933549"/>
    <w:rsid w:val="0093500C"/>
    <w:rsid w:val="00941D58"/>
    <w:rsid w:val="00942BEC"/>
    <w:rsid w:val="0094557A"/>
    <w:rsid w:val="0094690D"/>
    <w:rsid w:val="0095303F"/>
    <w:rsid w:val="00954FC9"/>
    <w:rsid w:val="00955963"/>
    <w:rsid w:val="0096041F"/>
    <w:rsid w:val="009626CE"/>
    <w:rsid w:val="00966090"/>
    <w:rsid w:val="0096616A"/>
    <w:rsid w:val="0097130E"/>
    <w:rsid w:val="00974E8A"/>
    <w:rsid w:val="00974EB1"/>
    <w:rsid w:val="00975D97"/>
    <w:rsid w:val="009965F3"/>
    <w:rsid w:val="009A2C60"/>
    <w:rsid w:val="009B208F"/>
    <w:rsid w:val="009B3ED9"/>
    <w:rsid w:val="009B5FA2"/>
    <w:rsid w:val="009B689A"/>
    <w:rsid w:val="009C07BE"/>
    <w:rsid w:val="009C24DF"/>
    <w:rsid w:val="009C5D93"/>
    <w:rsid w:val="009C5F48"/>
    <w:rsid w:val="009C6382"/>
    <w:rsid w:val="009C683F"/>
    <w:rsid w:val="009D085B"/>
    <w:rsid w:val="009D1C97"/>
    <w:rsid w:val="009D3452"/>
    <w:rsid w:val="009D4FE7"/>
    <w:rsid w:val="009E0026"/>
    <w:rsid w:val="009E2EEF"/>
    <w:rsid w:val="009E39C2"/>
    <w:rsid w:val="009E606F"/>
    <w:rsid w:val="009F1AFD"/>
    <w:rsid w:val="009F6812"/>
    <w:rsid w:val="00A0040D"/>
    <w:rsid w:val="00A04FBC"/>
    <w:rsid w:val="00A129E5"/>
    <w:rsid w:val="00A14C5D"/>
    <w:rsid w:val="00A1600D"/>
    <w:rsid w:val="00A1672D"/>
    <w:rsid w:val="00A27D9B"/>
    <w:rsid w:val="00A30094"/>
    <w:rsid w:val="00A31622"/>
    <w:rsid w:val="00A40ED8"/>
    <w:rsid w:val="00A434DE"/>
    <w:rsid w:val="00A5124B"/>
    <w:rsid w:val="00A60A39"/>
    <w:rsid w:val="00A61607"/>
    <w:rsid w:val="00A61D9D"/>
    <w:rsid w:val="00A63E1C"/>
    <w:rsid w:val="00A651AC"/>
    <w:rsid w:val="00A65B01"/>
    <w:rsid w:val="00A706FD"/>
    <w:rsid w:val="00A74E3C"/>
    <w:rsid w:val="00A76CA9"/>
    <w:rsid w:val="00A808A4"/>
    <w:rsid w:val="00A81730"/>
    <w:rsid w:val="00A82E37"/>
    <w:rsid w:val="00A8514F"/>
    <w:rsid w:val="00A87D3E"/>
    <w:rsid w:val="00A90CAB"/>
    <w:rsid w:val="00A9255D"/>
    <w:rsid w:val="00A93027"/>
    <w:rsid w:val="00A934D8"/>
    <w:rsid w:val="00A93FD6"/>
    <w:rsid w:val="00A97FEB"/>
    <w:rsid w:val="00AB2FF1"/>
    <w:rsid w:val="00AB541D"/>
    <w:rsid w:val="00AC2C19"/>
    <w:rsid w:val="00AD50F0"/>
    <w:rsid w:val="00AE1116"/>
    <w:rsid w:val="00AE55C6"/>
    <w:rsid w:val="00AE7205"/>
    <w:rsid w:val="00AF13C0"/>
    <w:rsid w:val="00AF297F"/>
    <w:rsid w:val="00AF2DB7"/>
    <w:rsid w:val="00AF5969"/>
    <w:rsid w:val="00AF67DD"/>
    <w:rsid w:val="00AF768C"/>
    <w:rsid w:val="00B030F9"/>
    <w:rsid w:val="00B048DB"/>
    <w:rsid w:val="00B06A58"/>
    <w:rsid w:val="00B071A7"/>
    <w:rsid w:val="00B1135A"/>
    <w:rsid w:val="00B12C77"/>
    <w:rsid w:val="00B258D6"/>
    <w:rsid w:val="00B33C08"/>
    <w:rsid w:val="00B35113"/>
    <w:rsid w:val="00B36103"/>
    <w:rsid w:val="00B42432"/>
    <w:rsid w:val="00B4438B"/>
    <w:rsid w:val="00B44DF1"/>
    <w:rsid w:val="00B51D11"/>
    <w:rsid w:val="00B56D82"/>
    <w:rsid w:val="00B61307"/>
    <w:rsid w:val="00B64B27"/>
    <w:rsid w:val="00B75190"/>
    <w:rsid w:val="00B80E9E"/>
    <w:rsid w:val="00B9392E"/>
    <w:rsid w:val="00B94559"/>
    <w:rsid w:val="00B97639"/>
    <w:rsid w:val="00BA625E"/>
    <w:rsid w:val="00BA6424"/>
    <w:rsid w:val="00BA7F4D"/>
    <w:rsid w:val="00BB1EC5"/>
    <w:rsid w:val="00BB2D81"/>
    <w:rsid w:val="00BB610E"/>
    <w:rsid w:val="00BB7E6D"/>
    <w:rsid w:val="00BC60AF"/>
    <w:rsid w:val="00BD1659"/>
    <w:rsid w:val="00BD69D0"/>
    <w:rsid w:val="00BE2424"/>
    <w:rsid w:val="00BF15EE"/>
    <w:rsid w:val="00BF3490"/>
    <w:rsid w:val="00C00F75"/>
    <w:rsid w:val="00C02A85"/>
    <w:rsid w:val="00C03020"/>
    <w:rsid w:val="00C05047"/>
    <w:rsid w:val="00C074FE"/>
    <w:rsid w:val="00C11485"/>
    <w:rsid w:val="00C13AF3"/>
    <w:rsid w:val="00C14354"/>
    <w:rsid w:val="00C143DF"/>
    <w:rsid w:val="00C15383"/>
    <w:rsid w:val="00C212FE"/>
    <w:rsid w:val="00C23991"/>
    <w:rsid w:val="00C30E67"/>
    <w:rsid w:val="00C33C69"/>
    <w:rsid w:val="00C33DDB"/>
    <w:rsid w:val="00C34C57"/>
    <w:rsid w:val="00C37F06"/>
    <w:rsid w:val="00C44D68"/>
    <w:rsid w:val="00C50177"/>
    <w:rsid w:val="00C51509"/>
    <w:rsid w:val="00C550C8"/>
    <w:rsid w:val="00C6146E"/>
    <w:rsid w:val="00C62AF5"/>
    <w:rsid w:val="00C83255"/>
    <w:rsid w:val="00C868E2"/>
    <w:rsid w:val="00C87BF8"/>
    <w:rsid w:val="00C91F38"/>
    <w:rsid w:val="00C95412"/>
    <w:rsid w:val="00C95752"/>
    <w:rsid w:val="00CA278E"/>
    <w:rsid w:val="00CA52E9"/>
    <w:rsid w:val="00CA5FFA"/>
    <w:rsid w:val="00CB606D"/>
    <w:rsid w:val="00CB70E1"/>
    <w:rsid w:val="00CC1167"/>
    <w:rsid w:val="00CC1FDF"/>
    <w:rsid w:val="00CC210E"/>
    <w:rsid w:val="00CC52EB"/>
    <w:rsid w:val="00CC5B22"/>
    <w:rsid w:val="00CD4A29"/>
    <w:rsid w:val="00CE6B1B"/>
    <w:rsid w:val="00CE7367"/>
    <w:rsid w:val="00CF12C1"/>
    <w:rsid w:val="00CF267E"/>
    <w:rsid w:val="00CF27F2"/>
    <w:rsid w:val="00CF5741"/>
    <w:rsid w:val="00D00F2D"/>
    <w:rsid w:val="00D061C7"/>
    <w:rsid w:val="00D078D1"/>
    <w:rsid w:val="00D07B99"/>
    <w:rsid w:val="00D10A4C"/>
    <w:rsid w:val="00D224AC"/>
    <w:rsid w:val="00D23D00"/>
    <w:rsid w:val="00D23FEC"/>
    <w:rsid w:val="00D245F1"/>
    <w:rsid w:val="00D2720E"/>
    <w:rsid w:val="00D31990"/>
    <w:rsid w:val="00D319E8"/>
    <w:rsid w:val="00D33EAC"/>
    <w:rsid w:val="00D40353"/>
    <w:rsid w:val="00D40760"/>
    <w:rsid w:val="00D433AA"/>
    <w:rsid w:val="00D450BB"/>
    <w:rsid w:val="00D45D29"/>
    <w:rsid w:val="00D5665E"/>
    <w:rsid w:val="00D62F51"/>
    <w:rsid w:val="00D662A1"/>
    <w:rsid w:val="00D6644E"/>
    <w:rsid w:val="00D71A2C"/>
    <w:rsid w:val="00D737AE"/>
    <w:rsid w:val="00D7399E"/>
    <w:rsid w:val="00D75E77"/>
    <w:rsid w:val="00D77C83"/>
    <w:rsid w:val="00D80A97"/>
    <w:rsid w:val="00D8139B"/>
    <w:rsid w:val="00D82F43"/>
    <w:rsid w:val="00D87995"/>
    <w:rsid w:val="00D96617"/>
    <w:rsid w:val="00D9678B"/>
    <w:rsid w:val="00DA39DF"/>
    <w:rsid w:val="00DA62A7"/>
    <w:rsid w:val="00DA6B54"/>
    <w:rsid w:val="00DB08E9"/>
    <w:rsid w:val="00DB22BE"/>
    <w:rsid w:val="00DC0A44"/>
    <w:rsid w:val="00DC380B"/>
    <w:rsid w:val="00DC75DC"/>
    <w:rsid w:val="00DD2420"/>
    <w:rsid w:val="00DD37DB"/>
    <w:rsid w:val="00DD39D3"/>
    <w:rsid w:val="00DD6103"/>
    <w:rsid w:val="00DD6F0C"/>
    <w:rsid w:val="00DE09C8"/>
    <w:rsid w:val="00DE13E9"/>
    <w:rsid w:val="00DE2C16"/>
    <w:rsid w:val="00DF021E"/>
    <w:rsid w:val="00DF0361"/>
    <w:rsid w:val="00DF04D0"/>
    <w:rsid w:val="00DF3435"/>
    <w:rsid w:val="00DF54B2"/>
    <w:rsid w:val="00DF79B1"/>
    <w:rsid w:val="00E02170"/>
    <w:rsid w:val="00E04FF5"/>
    <w:rsid w:val="00E07D91"/>
    <w:rsid w:val="00E1099B"/>
    <w:rsid w:val="00E11B46"/>
    <w:rsid w:val="00E16795"/>
    <w:rsid w:val="00E178B7"/>
    <w:rsid w:val="00E17A8F"/>
    <w:rsid w:val="00E219E3"/>
    <w:rsid w:val="00E2314B"/>
    <w:rsid w:val="00E23178"/>
    <w:rsid w:val="00E27A07"/>
    <w:rsid w:val="00E27D38"/>
    <w:rsid w:val="00E31905"/>
    <w:rsid w:val="00E338D7"/>
    <w:rsid w:val="00E36E1E"/>
    <w:rsid w:val="00E43237"/>
    <w:rsid w:val="00E46170"/>
    <w:rsid w:val="00E469C3"/>
    <w:rsid w:val="00E540AC"/>
    <w:rsid w:val="00E56010"/>
    <w:rsid w:val="00E60B77"/>
    <w:rsid w:val="00E65558"/>
    <w:rsid w:val="00E7063E"/>
    <w:rsid w:val="00E744FA"/>
    <w:rsid w:val="00E75766"/>
    <w:rsid w:val="00E77480"/>
    <w:rsid w:val="00E80D8F"/>
    <w:rsid w:val="00E81C98"/>
    <w:rsid w:val="00E8255E"/>
    <w:rsid w:val="00E845A5"/>
    <w:rsid w:val="00E9100D"/>
    <w:rsid w:val="00E919FB"/>
    <w:rsid w:val="00EB6E97"/>
    <w:rsid w:val="00EB75B4"/>
    <w:rsid w:val="00ED00F4"/>
    <w:rsid w:val="00ED2400"/>
    <w:rsid w:val="00EE21DB"/>
    <w:rsid w:val="00EE338D"/>
    <w:rsid w:val="00EE6256"/>
    <w:rsid w:val="00EF1313"/>
    <w:rsid w:val="00EF352D"/>
    <w:rsid w:val="00EF45E1"/>
    <w:rsid w:val="00F1206E"/>
    <w:rsid w:val="00F131CA"/>
    <w:rsid w:val="00F17957"/>
    <w:rsid w:val="00F17F0D"/>
    <w:rsid w:val="00F21206"/>
    <w:rsid w:val="00F225C6"/>
    <w:rsid w:val="00F23938"/>
    <w:rsid w:val="00F2581D"/>
    <w:rsid w:val="00F27561"/>
    <w:rsid w:val="00F27A89"/>
    <w:rsid w:val="00F32F7F"/>
    <w:rsid w:val="00F34EA5"/>
    <w:rsid w:val="00F4265E"/>
    <w:rsid w:val="00F44C43"/>
    <w:rsid w:val="00F51B5C"/>
    <w:rsid w:val="00F54784"/>
    <w:rsid w:val="00F55D00"/>
    <w:rsid w:val="00F60DED"/>
    <w:rsid w:val="00F65BA5"/>
    <w:rsid w:val="00F66B46"/>
    <w:rsid w:val="00F7092E"/>
    <w:rsid w:val="00F75A84"/>
    <w:rsid w:val="00F81033"/>
    <w:rsid w:val="00F824C7"/>
    <w:rsid w:val="00F825F3"/>
    <w:rsid w:val="00F9524C"/>
    <w:rsid w:val="00F97877"/>
    <w:rsid w:val="00FA3CA2"/>
    <w:rsid w:val="00FA4C76"/>
    <w:rsid w:val="00FA60F9"/>
    <w:rsid w:val="00FA694F"/>
    <w:rsid w:val="00FA7359"/>
    <w:rsid w:val="00FA7FFA"/>
    <w:rsid w:val="00FB0131"/>
    <w:rsid w:val="00FB062A"/>
    <w:rsid w:val="00FB1F2E"/>
    <w:rsid w:val="00FC44EE"/>
    <w:rsid w:val="00FC70B7"/>
    <w:rsid w:val="00FC7A07"/>
    <w:rsid w:val="00FD214A"/>
    <w:rsid w:val="00FD3D3F"/>
    <w:rsid w:val="00FE1758"/>
    <w:rsid w:val="00FE3986"/>
    <w:rsid w:val="00FF2C1B"/>
    <w:rsid w:val="00FF53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EBA182C"/>
  <w15:chartTrackingRefBased/>
  <w15:docId w15:val="{16179269-46DE-4AC9-8C0C-CBACF804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44E"/>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Encabezado Car1 Car1,Encabezado Car Car1 Car,Header Char1 Car Car1 Car,Encabezado Car Car Car Car,Header Char1 Car Car Car Car,Encabezado Car1 Car Car,Encabezado Car1 Car Car Car Car,Encabezado Car Car1 Car Car Car Car"/>
    <w:basedOn w:val="Normal"/>
    <w:link w:val="EncabezadoCar1"/>
    <w:pPr>
      <w:widowControl w:val="0"/>
      <w:tabs>
        <w:tab w:val="center" w:pos="4252"/>
        <w:tab w:val="right" w:pos="8504"/>
      </w:tabs>
    </w:pPr>
    <w:rPr>
      <w:snapToGrid w:val="0"/>
      <w:lang w:val="es-ES_tradnl"/>
    </w:r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link w:val="SangradetextonormalCar"/>
    <w:rsid w:val="004A06BC"/>
    <w:pPr>
      <w:spacing w:after="120"/>
      <w:ind w:left="283"/>
    </w:pPr>
    <w:rPr>
      <w:rFonts w:ascii="Times New Roman" w:hAnsi="Times New Roman"/>
      <w:szCs w:val="24"/>
      <w:lang w:val="es-ES"/>
    </w:rPr>
  </w:style>
  <w:style w:type="character" w:customStyle="1" w:styleId="SangradetextonormalCar">
    <w:name w:val="Sangría de texto normal Car"/>
    <w:link w:val="Sangradetextonormal"/>
    <w:rsid w:val="004A06BC"/>
    <w:rPr>
      <w:sz w:val="24"/>
      <w:szCs w:val="24"/>
      <w:lang w:val="es-ES" w:eastAsia="es-ES"/>
    </w:rPr>
  </w:style>
  <w:style w:type="paragraph" w:styleId="Textoindependiente">
    <w:name w:val="Body Text"/>
    <w:basedOn w:val="Normal"/>
    <w:link w:val="TextoindependienteCar"/>
    <w:rsid w:val="004A06BC"/>
    <w:pPr>
      <w:spacing w:after="120"/>
    </w:pPr>
    <w:rPr>
      <w:rFonts w:ascii="Times New Roman" w:hAnsi="Times New Roman"/>
      <w:szCs w:val="24"/>
      <w:lang w:val="en-US" w:eastAsia="en-US"/>
    </w:rPr>
  </w:style>
  <w:style w:type="character" w:customStyle="1" w:styleId="TextoindependienteCar">
    <w:name w:val="Texto independiente Car"/>
    <w:link w:val="Textoindependiente"/>
    <w:rsid w:val="004A06BC"/>
    <w:rPr>
      <w:sz w:val="24"/>
      <w:szCs w:val="24"/>
      <w:lang w:val="en-US" w:eastAsia="en-US"/>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rsid w:val="004A06BC"/>
    <w:pPr>
      <w:ind w:left="708"/>
    </w:pPr>
    <w:rPr>
      <w:rFonts w:ascii="Times New Roman" w:hAnsi="Times New Roman"/>
      <w:szCs w:val="24"/>
      <w:lang w:val="en-US" w:eastAsia="en-US"/>
    </w:rPr>
  </w:style>
  <w:style w:type="character" w:customStyle="1" w:styleId="PiedepginaCar">
    <w:name w:val="Pie de página Car"/>
    <w:link w:val="Piedepgina"/>
    <w:uiPriority w:val="99"/>
    <w:rsid w:val="004A06BC"/>
    <w:rPr>
      <w:rFonts w:ascii="Arial" w:hAnsi="Arial"/>
      <w:sz w:val="24"/>
      <w:lang w:val="pt-BR" w:eastAsia="es-ES"/>
    </w:rPr>
  </w:style>
  <w:style w:type="paragraph" w:styleId="Textodeglobo">
    <w:name w:val="Balloon Text"/>
    <w:basedOn w:val="Normal"/>
    <w:link w:val="TextodegloboCar"/>
    <w:rsid w:val="004A06BC"/>
    <w:rPr>
      <w:rFonts w:ascii="Tahoma" w:hAnsi="Tahoma" w:cs="Tahoma"/>
      <w:sz w:val="16"/>
      <w:szCs w:val="16"/>
    </w:rPr>
  </w:style>
  <w:style w:type="character" w:customStyle="1" w:styleId="TextodegloboCar">
    <w:name w:val="Texto de globo Car"/>
    <w:link w:val="Textodeglob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laconcuadrcula">
    <w:name w:val="Table Grid"/>
    <w:basedOn w:val="Tablanormal"/>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9B5FA2"/>
    <w:pPr>
      <w:spacing w:before="240" w:after="60"/>
      <w:jc w:val="center"/>
      <w:outlineLvl w:val="0"/>
    </w:pPr>
    <w:rPr>
      <w:rFonts w:ascii="Cambria" w:hAnsi="Cambria"/>
      <w:b/>
      <w:bCs/>
      <w:kern w:val="28"/>
      <w:sz w:val="32"/>
      <w:szCs w:val="32"/>
    </w:rPr>
  </w:style>
  <w:style w:type="character" w:customStyle="1" w:styleId="TtuloCar">
    <w:name w:val="Título Car"/>
    <w:link w:val="Ttulo"/>
    <w:rsid w:val="009B5FA2"/>
    <w:rPr>
      <w:rFonts w:ascii="Cambria" w:eastAsia="Times New Roman" w:hAnsi="Cambria" w:cs="Times New Roman"/>
      <w:b/>
      <w:bCs/>
      <w:kern w:val="28"/>
      <w:sz w:val="32"/>
      <w:szCs w:val="32"/>
      <w:lang w:val="pt-BR" w:eastAsia="es-ES"/>
    </w:rPr>
  </w:style>
  <w:style w:type="character" w:customStyle="1" w:styleId="EncabezadoCar1">
    <w:name w:val="Encabezado Car1"/>
    <w:aliases w:val="Encabezado Car Car,Encabezado Car1 Car1 Car,Encabezado Car Car1 Car Car,Header Char1 Car Car1 Car Car,Encabezado Car Car Car Car Car,Header Char1 Car Car Car Car Car,Encabezado Car1 Car Car Car,Encabezado Car1 Car Car Car Car Car"/>
    <w:link w:val="Encabezado"/>
    <w:rsid w:val="007F6514"/>
    <w:rPr>
      <w:rFonts w:ascii="Arial" w:hAnsi="Arial"/>
      <w:snapToGrid w:val="0"/>
      <w:sz w:val="24"/>
      <w:lang w:val="es-ES_tradnl" w:eastAsia="es-ES"/>
    </w:rPr>
  </w:style>
  <w:style w:type="character" w:styleId="Textoennegrita">
    <w:name w:val="Strong"/>
    <w:uiPriority w:val="22"/>
    <w:qFormat/>
    <w:rsid w:val="00522CE3"/>
    <w:rPr>
      <w:b/>
      <w:bCs/>
    </w:rPr>
  </w:style>
  <w:style w:type="paragraph" w:styleId="Sinespaciado">
    <w:name w:val="No Spacing"/>
    <w:uiPriority w:val="1"/>
    <w:qFormat/>
    <w:rsid w:val="00786B86"/>
    <w:rPr>
      <w:rFonts w:ascii="Calibri" w:eastAsia="Calibri" w:hAnsi="Calibri"/>
      <w:sz w:val="22"/>
      <w:szCs w:val="22"/>
      <w:lang w:eastAsia="en-US"/>
    </w:rPr>
  </w:style>
  <w:style w:type="paragraph" w:customStyle="1" w:styleId="PargrafodaLista1">
    <w:name w:val="Parágrafo da Lista1"/>
    <w:basedOn w:val="Normal"/>
    <w:uiPriority w:val="34"/>
    <w:qFormat/>
    <w:rsid w:val="00AF297F"/>
    <w:pPr>
      <w:overflowPunct w:val="0"/>
      <w:autoSpaceDE w:val="0"/>
      <w:autoSpaceDN w:val="0"/>
      <w:adjustRightInd w:val="0"/>
      <w:ind w:left="708"/>
      <w:textAlignment w:val="baseline"/>
    </w:pPr>
  </w:style>
  <w:style w:type="character" w:customStyle="1" w:styleId="EncabezadoCar1Car1Car1">
    <w:name w:val="Encabezado Car1 Car1 Car1"/>
    <w:aliases w:val="Encabezado Car Car1 Car Car1,Header Char1 Car Car1 Car Car1,Encabezado Car Car Car Car Car1,Header Char1 Car Car Car Car Car1,Encabezado Car1 Car Car Car1,Encabezado Car1 Car Car Car Car Car1"/>
    <w:rsid w:val="0062100D"/>
    <w:rPr>
      <w:rFonts w:ascii="Arial" w:hAnsi="Arial"/>
      <w:snapToGrid w:val="0"/>
      <w:sz w:val="24"/>
      <w:lang w:val="es-ES_tradnl" w:eastAsia="es-E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B12C77"/>
    <w:rPr>
      <w:sz w:val="24"/>
      <w:szCs w:val="24"/>
      <w:lang w:val="en-US" w:eastAsia="en-US"/>
    </w:rPr>
  </w:style>
  <w:style w:type="paragraph" w:customStyle="1" w:styleId="CorpoA">
    <w:name w:val="Corpo A"/>
    <w:rsid w:val="00DD37DB"/>
    <w:rPr>
      <w:rFonts w:ascii="Arial" w:eastAsia="Arial Unicode MS" w:hAnsi="Arial" w:cs="Arial Unicode MS"/>
      <w:color w:val="000000"/>
      <w:sz w:val="24"/>
      <w:szCs w:val="24"/>
      <w:u w:color="000000"/>
      <w:lang w:val="pt-PT"/>
    </w:rPr>
  </w:style>
  <w:style w:type="paragraph" w:styleId="Textocomentario">
    <w:name w:val="annotation text"/>
    <w:basedOn w:val="Normal"/>
    <w:link w:val="TextocomentarioCar"/>
    <w:unhideWhenUsed/>
    <w:rsid w:val="00FA7FFA"/>
    <w:rPr>
      <w:sz w:val="20"/>
    </w:rPr>
  </w:style>
  <w:style w:type="character" w:customStyle="1" w:styleId="TextocomentarioCar">
    <w:name w:val="Texto comentario Car"/>
    <w:link w:val="Textocomentario"/>
    <w:rsid w:val="00FA7FFA"/>
    <w:rPr>
      <w:rFonts w:ascii="Arial" w:hAnsi="Arial"/>
      <w:lang w:val="pt-BR" w:eastAsia="es-ES"/>
    </w:rPr>
  </w:style>
  <w:style w:type="character" w:styleId="Refdecomentario">
    <w:name w:val="annotation reference"/>
    <w:unhideWhenUsed/>
    <w:rsid w:val="00FA7FFA"/>
    <w:rPr>
      <w:sz w:val="16"/>
      <w:szCs w:val="16"/>
    </w:rPr>
  </w:style>
  <w:style w:type="paragraph" w:styleId="Subttulo">
    <w:name w:val="Subtitle"/>
    <w:basedOn w:val="Normal"/>
    <w:next w:val="Normal"/>
    <w:link w:val="SubttuloCar"/>
    <w:qFormat/>
    <w:rsid w:val="00A93FD6"/>
    <w:pPr>
      <w:spacing w:after="60"/>
      <w:jc w:val="center"/>
      <w:outlineLvl w:val="1"/>
    </w:pPr>
    <w:rPr>
      <w:rFonts w:ascii="Calibri Light" w:hAnsi="Calibri Light"/>
      <w:szCs w:val="24"/>
    </w:rPr>
  </w:style>
  <w:style w:type="character" w:customStyle="1" w:styleId="SubttuloCar">
    <w:name w:val="Subtítulo Car"/>
    <w:link w:val="Subttulo"/>
    <w:rsid w:val="00A93FD6"/>
    <w:rPr>
      <w:rFonts w:ascii="Calibri Light" w:eastAsia="Times New Roman" w:hAnsi="Calibri Light" w:cs="Times New Roman"/>
      <w:sz w:val="24"/>
      <w:szCs w:val="24"/>
      <w:lang w:val="pt-BR" w:eastAsia="es-ES"/>
    </w:rPr>
  </w:style>
  <w:style w:type="paragraph" w:styleId="Textonotapie">
    <w:name w:val="footnote text"/>
    <w:basedOn w:val="Normal"/>
    <w:link w:val="TextonotapieCar"/>
    <w:uiPriority w:val="99"/>
    <w:unhideWhenUsed/>
    <w:rsid w:val="009C24DF"/>
    <w:pPr>
      <w:widowControl w:val="0"/>
    </w:pPr>
    <w:rPr>
      <w:rFonts w:ascii="Calibri" w:eastAsia="Calibri" w:hAnsi="Calibri"/>
      <w:sz w:val="20"/>
      <w:lang w:val="en-US" w:eastAsia="en-US"/>
    </w:rPr>
  </w:style>
  <w:style w:type="character" w:customStyle="1" w:styleId="TextonotapieCar">
    <w:name w:val="Texto nota pie Car"/>
    <w:link w:val="Textonotapie"/>
    <w:uiPriority w:val="99"/>
    <w:rsid w:val="009C24DF"/>
    <w:rPr>
      <w:rFonts w:ascii="Calibri" w:eastAsia="Calibri" w:hAnsi="Calibri"/>
      <w:lang w:val="en-US" w:eastAsia="en-US"/>
    </w:rPr>
  </w:style>
  <w:style w:type="character" w:styleId="Refdenotaalpie">
    <w:name w:val="footnote reference"/>
    <w:uiPriority w:val="99"/>
    <w:unhideWhenUsed/>
    <w:rsid w:val="009C24DF"/>
    <w:rPr>
      <w:vertAlign w:val="superscript"/>
    </w:rPr>
  </w:style>
  <w:style w:type="paragraph" w:customStyle="1" w:styleId="docdata">
    <w:name w:val="docdata"/>
    <w:aliases w:val="docy,v5,3355,bqiaagaaeyqcaaagiaiaaamjcqaabrcjaaaaaaaaaaaaaaaaaaaaaaaaaaaaaaaaaaaaaaaaaaaaaaaaaaaaaaaaaaaaaaaaaaaaaaaaaaaaaaaaaaaaaaaaaaaaaaaaaaaaaaaaaaaaaaaaaaaaaaaaaaaaaaaaaaaaaaaaaaaaaaaaaaaaaaaaaaaaaaaaaaaaaaaaaaaaaaaaaaaaaaaaaaaaaaaaaaaaaaaa"/>
    <w:basedOn w:val="Normal"/>
    <w:rsid w:val="009C24DF"/>
    <w:pPr>
      <w:spacing w:before="100" w:beforeAutospacing="1" w:after="100" w:afterAutospacing="1"/>
    </w:pPr>
    <w:rPr>
      <w:rFonts w:ascii="Times New Roman" w:hAnsi="Times New Roman"/>
      <w:szCs w:val="24"/>
      <w:lang w:val="es-UY" w:eastAsia="es-UY"/>
    </w:rPr>
  </w:style>
  <w:style w:type="character" w:customStyle="1" w:styleId="line-clamp-1">
    <w:name w:val="line-clamp-1"/>
    <w:rsid w:val="00A9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46">
      <w:bodyDiv w:val="1"/>
      <w:marLeft w:val="0"/>
      <w:marRight w:val="0"/>
      <w:marTop w:val="0"/>
      <w:marBottom w:val="0"/>
      <w:divBdr>
        <w:top w:val="none" w:sz="0" w:space="0" w:color="auto"/>
        <w:left w:val="none" w:sz="0" w:space="0" w:color="auto"/>
        <w:bottom w:val="none" w:sz="0" w:space="0" w:color="auto"/>
        <w:right w:val="none" w:sz="0" w:space="0" w:color="auto"/>
      </w:divBdr>
    </w:div>
    <w:div w:id="57558768">
      <w:bodyDiv w:val="1"/>
      <w:marLeft w:val="0"/>
      <w:marRight w:val="0"/>
      <w:marTop w:val="0"/>
      <w:marBottom w:val="0"/>
      <w:divBdr>
        <w:top w:val="none" w:sz="0" w:space="0" w:color="auto"/>
        <w:left w:val="none" w:sz="0" w:space="0" w:color="auto"/>
        <w:bottom w:val="none" w:sz="0" w:space="0" w:color="auto"/>
        <w:right w:val="none" w:sz="0" w:space="0" w:color="auto"/>
      </w:divBdr>
    </w:div>
    <w:div w:id="110513255">
      <w:bodyDiv w:val="1"/>
      <w:marLeft w:val="0"/>
      <w:marRight w:val="0"/>
      <w:marTop w:val="0"/>
      <w:marBottom w:val="0"/>
      <w:divBdr>
        <w:top w:val="none" w:sz="0" w:space="0" w:color="auto"/>
        <w:left w:val="none" w:sz="0" w:space="0" w:color="auto"/>
        <w:bottom w:val="none" w:sz="0" w:space="0" w:color="auto"/>
        <w:right w:val="none" w:sz="0" w:space="0" w:color="auto"/>
      </w:divBdr>
    </w:div>
    <w:div w:id="126558704">
      <w:bodyDiv w:val="1"/>
      <w:marLeft w:val="0"/>
      <w:marRight w:val="0"/>
      <w:marTop w:val="0"/>
      <w:marBottom w:val="0"/>
      <w:divBdr>
        <w:top w:val="none" w:sz="0" w:space="0" w:color="auto"/>
        <w:left w:val="none" w:sz="0" w:space="0" w:color="auto"/>
        <w:bottom w:val="none" w:sz="0" w:space="0" w:color="auto"/>
        <w:right w:val="none" w:sz="0" w:space="0" w:color="auto"/>
      </w:divBdr>
    </w:div>
    <w:div w:id="321126640">
      <w:bodyDiv w:val="1"/>
      <w:marLeft w:val="0"/>
      <w:marRight w:val="0"/>
      <w:marTop w:val="0"/>
      <w:marBottom w:val="0"/>
      <w:divBdr>
        <w:top w:val="none" w:sz="0" w:space="0" w:color="auto"/>
        <w:left w:val="none" w:sz="0" w:space="0" w:color="auto"/>
        <w:bottom w:val="none" w:sz="0" w:space="0" w:color="auto"/>
        <w:right w:val="none" w:sz="0" w:space="0" w:color="auto"/>
      </w:divBdr>
    </w:div>
    <w:div w:id="332420851">
      <w:bodyDiv w:val="1"/>
      <w:marLeft w:val="0"/>
      <w:marRight w:val="0"/>
      <w:marTop w:val="0"/>
      <w:marBottom w:val="0"/>
      <w:divBdr>
        <w:top w:val="none" w:sz="0" w:space="0" w:color="auto"/>
        <w:left w:val="none" w:sz="0" w:space="0" w:color="auto"/>
        <w:bottom w:val="none" w:sz="0" w:space="0" w:color="auto"/>
        <w:right w:val="none" w:sz="0" w:space="0" w:color="auto"/>
      </w:divBdr>
      <w:divsChild>
        <w:div w:id="127364097">
          <w:marLeft w:val="0"/>
          <w:marRight w:val="0"/>
          <w:marTop w:val="0"/>
          <w:marBottom w:val="0"/>
          <w:divBdr>
            <w:top w:val="none" w:sz="0" w:space="0" w:color="auto"/>
            <w:left w:val="none" w:sz="0" w:space="0" w:color="auto"/>
            <w:bottom w:val="none" w:sz="0" w:space="0" w:color="auto"/>
            <w:right w:val="none" w:sz="0" w:space="0" w:color="auto"/>
          </w:divBdr>
          <w:divsChild>
            <w:div w:id="1479420968">
              <w:marLeft w:val="0"/>
              <w:marRight w:val="0"/>
              <w:marTop w:val="0"/>
              <w:marBottom w:val="0"/>
              <w:divBdr>
                <w:top w:val="none" w:sz="0" w:space="0" w:color="auto"/>
                <w:left w:val="none" w:sz="0" w:space="0" w:color="auto"/>
                <w:bottom w:val="none" w:sz="0" w:space="0" w:color="auto"/>
                <w:right w:val="none" w:sz="0" w:space="0" w:color="auto"/>
              </w:divBdr>
              <w:divsChild>
                <w:div w:id="434859889">
                  <w:marLeft w:val="0"/>
                  <w:marRight w:val="0"/>
                  <w:marTop w:val="0"/>
                  <w:marBottom w:val="0"/>
                  <w:divBdr>
                    <w:top w:val="none" w:sz="0" w:space="0" w:color="auto"/>
                    <w:left w:val="none" w:sz="0" w:space="0" w:color="auto"/>
                    <w:bottom w:val="none" w:sz="0" w:space="0" w:color="auto"/>
                    <w:right w:val="none" w:sz="0" w:space="0" w:color="auto"/>
                  </w:divBdr>
                  <w:divsChild>
                    <w:div w:id="16179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0509">
          <w:marLeft w:val="0"/>
          <w:marRight w:val="0"/>
          <w:marTop w:val="0"/>
          <w:marBottom w:val="0"/>
          <w:divBdr>
            <w:top w:val="none" w:sz="0" w:space="0" w:color="auto"/>
            <w:left w:val="none" w:sz="0" w:space="0" w:color="auto"/>
            <w:bottom w:val="none" w:sz="0" w:space="0" w:color="auto"/>
            <w:right w:val="none" w:sz="0" w:space="0" w:color="auto"/>
          </w:divBdr>
          <w:divsChild>
            <w:div w:id="1092433664">
              <w:marLeft w:val="0"/>
              <w:marRight w:val="0"/>
              <w:marTop w:val="0"/>
              <w:marBottom w:val="0"/>
              <w:divBdr>
                <w:top w:val="none" w:sz="0" w:space="0" w:color="auto"/>
                <w:left w:val="none" w:sz="0" w:space="0" w:color="auto"/>
                <w:bottom w:val="none" w:sz="0" w:space="0" w:color="auto"/>
                <w:right w:val="none" w:sz="0" w:space="0" w:color="auto"/>
              </w:divBdr>
              <w:divsChild>
                <w:div w:id="1607998117">
                  <w:marLeft w:val="0"/>
                  <w:marRight w:val="0"/>
                  <w:marTop w:val="0"/>
                  <w:marBottom w:val="0"/>
                  <w:divBdr>
                    <w:top w:val="none" w:sz="0" w:space="0" w:color="auto"/>
                    <w:left w:val="none" w:sz="0" w:space="0" w:color="auto"/>
                    <w:bottom w:val="none" w:sz="0" w:space="0" w:color="auto"/>
                    <w:right w:val="none" w:sz="0" w:space="0" w:color="auto"/>
                  </w:divBdr>
                  <w:divsChild>
                    <w:div w:id="4674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675">
      <w:bodyDiv w:val="1"/>
      <w:marLeft w:val="0"/>
      <w:marRight w:val="0"/>
      <w:marTop w:val="0"/>
      <w:marBottom w:val="0"/>
      <w:divBdr>
        <w:top w:val="none" w:sz="0" w:space="0" w:color="auto"/>
        <w:left w:val="none" w:sz="0" w:space="0" w:color="auto"/>
        <w:bottom w:val="none" w:sz="0" w:space="0" w:color="auto"/>
        <w:right w:val="none" w:sz="0" w:space="0" w:color="auto"/>
      </w:divBdr>
    </w:div>
    <w:div w:id="605698436">
      <w:bodyDiv w:val="1"/>
      <w:marLeft w:val="0"/>
      <w:marRight w:val="0"/>
      <w:marTop w:val="0"/>
      <w:marBottom w:val="0"/>
      <w:divBdr>
        <w:top w:val="none" w:sz="0" w:space="0" w:color="auto"/>
        <w:left w:val="none" w:sz="0" w:space="0" w:color="auto"/>
        <w:bottom w:val="none" w:sz="0" w:space="0" w:color="auto"/>
        <w:right w:val="none" w:sz="0" w:space="0" w:color="auto"/>
      </w:divBdr>
    </w:div>
    <w:div w:id="851843411">
      <w:bodyDiv w:val="1"/>
      <w:marLeft w:val="0"/>
      <w:marRight w:val="0"/>
      <w:marTop w:val="0"/>
      <w:marBottom w:val="0"/>
      <w:divBdr>
        <w:top w:val="none" w:sz="0" w:space="0" w:color="auto"/>
        <w:left w:val="none" w:sz="0" w:space="0" w:color="auto"/>
        <w:bottom w:val="none" w:sz="0" w:space="0" w:color="auto"/>
        <w:right w:val="none" w:sz="0" w:space="0" w:color="auto"/>
      </w:divBdr>
      <w:divsChild>
        <w:div w:id="1315797832">
          <w:marLeft w:val="0"/>
          <w:marRight w:val="0"/>
          <w:marTop w:val="0"/>
          <w:marBottom w:val="0"/>
          <w:divBdr>
            <w:top w:val="none" w:sz="0" w:space="0" w:color="auto"/>
            <w:left w:val="none" w:sz="0" w:space="0" w:color="auto"/>
            <w:bottom w:val="none" w:sz="0" w:space="0" w:color="auto"/>
            <w:right w:val="none" w:sz="0" w:space="0" w:color="auto"/>
          </w:divBdr>
          <w:divsChild>
            <w:div w:id="1970545919">
              <w:marLeft w:val="0"/>
              <w:marRight w:val="0"/>
              <w:marTop w:val="0"/>
              <w:marBottom w:val="0"/>
              <w:divBdr>
                <w:top w:val="none" w:sz="0" w:space="0" w:color="auto"/>
                <w:left w:val="none" w:sz="0" w:space="0" w:color="auto"/>
                <w:bottom w:val="none" w:sz="0" w:space="0" w:color="auto"/>
                <w:right w:val="none" w:sz="0" w:space="0" w:color="auto"/>
              </w:divBdr>
              <w:divsChild>
                <w:div w:id="1658680134">
                  <w:marLeft w:val="0"/>
                  <w:marRight w:val="0"/>
                  <w:marTop w:val="0"/>
                  <w:marBottom w:val="0"/>
                  <w:divBdr>
                    <w:top w:val="none" w:sz="0" w:space="0" w:color="auto"/>
                    <w:left w:val="none" w:sz="0" w:space="0" w:color="auto"/>
                    <w:bottom w:val="none" w:sz="0" w:space="0" w:color="auto"/>
                    <w:right w:val="none" w:sz="0" w:space="0" w:color="auto"/>
                  </w:divBdr>
                  <w:divsChild>
                    <w:div w:id="1381704315">
                      <w:marLeft w:val="0"/>
                      <w:marRight w:val="0"/>
                      <w:marTop w:val="0"/>
                      <w:marBottom w:val="0"/>
                      <w:divBdr>
                        <w:top w:val="none" w:sz="0" w:space="0" w:color="auto"/>
                        <w:left w:val="none" w:sz="0" w:space="0" w:color="auto"/>
                        <w:bottom w:val="none" w:sz="0" w:space="0" w:color="auto"/>
                        <w:right w:val="none" w:sz="0" w:space="0" w:color="auto"/>
                      </w:divBdr>
                      <w:divsChild>
                        <w:div w:id="674454590">
                          <w:marLeft w:val="0"/>
                          <w:marRight w:val="0"/>
                          <w:marTop w:val="0"/>
                          <w:marBottom w:val="0"/>
                          <w:divBdr>
                            <w:top w:val="none" w:sz="0" w:space="0" w:color="auto"/>
                            <w:left w:val="none" w:sz="0" w:space="0" w:color="auto"/>
                            <w:bottom w:val="none" w:sz="0" w:space="0" w:color="auto"/>
                            <w:right w:val="none" w:sz="0" w:space="0" w:color="auto"/>
                          </w:divBdr>
                          <w:divsChild>
                            <w:div w:id="1341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09650">
      <w:bodyDiv w:val="1"/>
      <w:marLeft w:val="0"/>
      <w:marRight w:val="0"/>
      <w:marTop w:val="0"/>
      <w:marBottom w:val="0"/>
      <w:divBdr>
        <w:top w:val="none" w:sz="0" w:space="0" w:color="auto"/>
        <w:left w:val="none" w:sz="0" w:space="0" w:color="auto"/>
        <w:bottom w:val="none" w:sz="0" w:space="0" w:color="auto"/>
        <w:right w:val="none" w:sz="0" w:space="0" w:color="auto"/>
      </w:divBdr>
    </w:div>
    <w:div w:id="953554771">
      <w:bodyDiv w:val="1"/>
      <w:marLeft w:val="0"/>
      <w:marRight w:val="0"/>
      <w:marTop w:val="0"/>
      <w:marBottom w:val="0"/>
      <w:divBdr>
        <w:top w:val="none" w:sz="0" w:space="0" w:color="auto"/>
        <w:left w:val="none" w:sz="0" w:space="0" w:color="auto"/>
        <w:bottom w:val="none" w:sz="0" w:space="0" w:color="auto"/>
        <w:right w:val="none" w:sz="0" w:space="0" w:color="auto"/>
      </w:divBdr>
    </w:div>
    <w:div w:id="1085302675">
      <w:bodyDiv w:val="1"/>
      <w:marLeft w:val="0"/>
      <w:marRight w:val="0"/>
      <w:marTop w:val="0"/>
      <w:marBottom w:val="0"/>
      <w:divBdr>
        <w:top w:val="none" w:sz="0" w:space="0" w:color="auto"/>
        <w:left w:val="none" w:sz="0" w:space="0" w:color="auto"/>
        <w:bottom w:val="none" w:sz="0" w:space="0" w:color="auto"/>
        <w:right w:val="none" w:sz="0" w:space="0" w:color="auto"/>
      </w:divBdr>
    </w:div>
    <w:div w:id="1246913489">
      <w:bodyDiv w:val="1"/>
      <w:marLeft w:val="0"/>
      <w:marRight w:val="0"/>
      <w:marTop w:val="0"/>
      <w:marBottom w:val="0"/>
      <w:divBdr>
        <w:top w:val="none" w:sz="0" w:space="0" w:color="auto"/>
        <w:left w:val="none" w:sz="0" w:space="0" w:color="auto"/>
        <w:bottom w:val="none" w:sz="0" w:space="0" w:color="auto"/>
        <w:right w:val="none" w:sz="0" w:space="0" w:color="auto"/>
      </w:divBdr>
    </w:div>
    <w:div w:id="1271938362">
      <w:bodyDiv w:val="1"/>
      <w:marLeft w:val="0"/>
      <w:marRight w:val="0"/>
      <w:marTop w:val="0"/>
      <w:marBottom w:val="0"/>
      <w:divBdr>
        <w:top w:val="none" w:sz="0" w:space="0" w:color="auto"/>
        <w:left w:val="none" w:sz="0" w:space="0" w:color="auto"/>
        <w:bottom w:val="none" w:sz="0" w:space="0" w:color="auto"/>
        <w:right w:val="none" w:sz="0" w:space="0" w:color="auto"/>
      </w:divBdr>
    </w:div>
    <w:div w:id="1364132827">
      <w:bodyDiv w:val="1"/>
      <w:marLeft w:val="0"/>
      <w:marRight w:val="0"/>
      <w:marTop w:val="0"/>
      <w:marBottom w:val="0"/>
      <w:divBdr>
        <w:top w:val="none" w:sz="0" w:space="0" w:color="auto"/>
        <w:left w:val="none" w:sz="0" w:space="0" w:color="auto"/>
        <w:bottom w:val="none" w:sz="0" w:space="0" w:color="auto"/>
        <w:right w:val="none" w:sz="0" w:space="0" w:color="auto"/>
      </w:divBdr>
      <w:divsChild>
        <w:div w:id="973485309">
          <w:marLeft w:val="446"/>
          <w:marRight w:val="0"/>
          <w:marTop w:val="0"/>
          <w:marBottom w:val="0"/>
          <w:divBdr>
            <w:top w:val="none" w:sz="0" w:space="0" w:color="auto"/>
            <w:left w:val="none" w:sz="0" w:space="0" w:color="auto"/>
            <w:bottom w:val="none" w:sz="0" w:space="0" w:color="auto"/>
            <w:right w:val="none" w:sz="0" w:space="0" w:color="auto"/>
          </w:divBdr>
        </w:div>
        <w:div w:id="1294602390">
          <w:marLeft w:val="446"/>
          <w:marRight w:val="0"/>
          <w:marTop w:val="0"/>
          <w:marBottom w:val="0"/>
          <w:divBdr>
            <w:top w:val="none" w:sz="0" w:space="0" w:color="auto"/>
            <w:left w:val="none" w:sz="0" w:space="0" w:color="auto"/>
            <w:bottom w:val="none" w:sz="0" w:space="0" w:color="auto"/>
            <w:right w:val="none" w:sz="0" w:space="0" w:color="auto"/>
          </w:divBdr>
        </w:div>
      </w:divsChild>
    </w:div>
    <w:div w:id="1422994887">
      <w:bodyDiv w:val="1"/>
      <w:marLeft w:val="0"/>
      <w:marRight w:val="0"/>
      <w:marTop w:val="0"/>
      <w:marBottom w:val="0"/>
      <w:divBdr>
        <w:top w:val="none" w:sz="0" w:space="0" w:color="auto"/>
        <w:left w:val="none" w:sz="0" w:space="0" w:color="auto"/>
        <w:bottom w:val="none" w:sz="0" w:space="0" w:color="auto"/>
        <w:right w:val="none" w:sz="0" w:space="0" w:color="auto"/>
      </w:divBdr>
    </w:div>
    <w:div w:id="1453745501">
      <w:bodyDiv w:val="1"/>
      <w:marLeft w:val="0"/>
      <w:marRight w:val="0"/>
      <w:marTop w:val="0"/>
      <w:marBottom w:val="0"/>
      <w:divBdr>
        <w:top w:val="none" w:sz="0" w:space="0" w:color="auto"/>
        <w:left w:val="none" w:sz="0" w:space="0" w:color="auto"/>
        <w:bottom w:val="none" w:sz="0" w:space="0" w:color="auto"/>
        <w:right w:val="none" w:sz="0" w:space="0" w:color="auto"/>
      </w:divBdr>
      <w:divsChild>
        <w:div w:id="209999306">
          <w:marLeft w:val="446"/>
          <w:marRight w:val="0"/>
          <w:marTop w:val="0"/>
          <w:marBottom w:val="0"/>
          <w:divBdr>
            <w:top w:val="none" w:sz="0" w:space="0" w:color="auto"/>
            <w:left w:val="none" w:sz="0" w:space="0" w:color="auto"/>
            <w:bottom w:val="none" w:sz="0" w:space="0" w:color="auto"/>
            <w:right w:val="none" w:sz="0" w:space="0" w:color="auto"/>
          </w:divBdr>
        </w:div>
        <w:div w:id="466244533">
          <w:marLeft w:val="446"/>
          <w:marRight w:val="0"/>
          <w:marTop w:val="0"/>
          <w:marBottom w:val="0"/>
          <w:divBdr>
            <w:top w:val="none" w:sz="0" w:space="0" w:color="auto"/>
            <w:left w:val="none" w:sz="0" w:space="0" w:color="auto"/>
            <w:bottom w:val="none" w:sz="0" w:space="0" w:color="auto"/>
            <w:right w:val="none" w:sz="0" w:space="0" w:color="auto"/>
          </w:divBdr>
        </w:div>
        <w:div w:id="816263313">
          <w:marLeft w:val="446"/>
          <w:marRight w:val="0"/>
          <w:marTop w:val="0"/>
          <w:marBottom w:val="0"/>
          <w:divBdr>
            <w:top w:val="none" w:sz="0" w:space="0" w:color="auto"/>
            <w:left w:val="none" w:sz="0" w:space="0" w:color="auto"/>
            <w:bottom w:val="none" w:sz="0" w:space="0" w:color="auto"/>
            <w:right w:val="none" w:sz="0" w:space="0" w:color="auto"/>
          </w:divBdr>
        </w:div>
        <w:div w:id="936794185">
          <w:marLeft w:val="446"/>
          <w:marRight w:val="0"/>
          <w:marTop w:val="0"/>
          <w:marBottom w:val="0"/>
          <w:divBdr>
            <w:top w:val="none" w:sz="0" w:space="0" w:color="auto"/>
            <w:left w:val="none" w:sz="0" w:space="0" w:color="auto"/>
            <w:bottom w:val="none" w:sz="0" w:space="0" w:color="auto"/>
            <w:right w:val="none" w:sz="0" w:space="0" w:color="auto"/>
          </w:divBdr>
        </w:div>
        <w:div w:id="1822234039">
          <w:marLeft w:val="446"/>
          <w:marRight w:val="0"/>
          <w:marTop w:val="0"/>
          <w:marBottom w:val="0"/>
          <w:divBdr>
            <w:top w:val="none" w:sz="0" w:space="0" w:color="auto"/>
            <w:left w:val="none" w:sz="0" w:space="0" w:color="auto"/>
            <w:bottom w:val="none" w:sz="0" w:space="0" w:color="auto"/>
            <w:right w:val="none" w:sz="0" w:space="0" w:color="auto"/>
          </w:divBdr>
        </w:div>
        <w:div w:id="2042827616">
          <w:marLeft w:val="446"/>
          <w:marRight w:val="0"/>
          <w:marTop w:val="0"/>
          <w:marBottom w:val="0"/>
          <w:divBdr>
            <w:top w:val="none" w:sz="0" w:space="0" w:color="auto"/>
            <w:left w:val="none" w:sz="0" w:space="0" w:color="auto"/>
            <w:bottom w:val="none" w:sz="0" w:space="0" w:color="auto"/>
            <w:right w:val="none" w:sz="0" w:space="0" w:color="auto"/>
          </w:divBdr>
        </w:div>
      </w:divsChild>
    </w:div>
    <w:div w:id="1482308147">
      <w:bodyDiv w:val="1"/>
      <w:marLeft w:val="0"/>
      <w:marRight w:val="0"/>
      <w:marTop w:val="0"/>
      <w:marBottom w:val="0"/>
      <w:divBdr>
        <w:top w:val="none" w:sz="0" w:space="0" w:color="auto"/>
        <w:left w:val="none" w:sz="0" w:space="0" w:color="auto"/>
        <w:bottom w:val="none" w:sz="0" w:space="0" w:color="auto"/>
        <w:right w:val="none" w:sz="0" w:space="0" w:color="auto"/>
      </w:divBdr>
    </w:div>
    <w:div w:id="1542355176">
      <w:bodyDiv w:val="1"/>
      <w:marLeft w:val="0"/>
      <w:marRight w:val="0"/>
      <w:marTop w:val="0"/>
      <w:marBottom w:val="0"/>
      <w:divBdr>
        <w:top w:val="none" w:sz="0" w:space="0" w:color="auto"/>
        <w:left w:val="none" w:sz="0" w:space="0" w:color="auto"/>
        <w:bottom w:val="none" w:sz="0" w:space="0" w:color="auto"/>
        <w:right w:val="none" w:sz="0" w:space="0" w:color="auto"/>
      </w:divBdr>
    </w:div>
    <w:div w:id="1589464451">
      <w:bodyDiv w:val="1"/>
      <w:marLeft w:val="0"/>
      <w:marRight w:val="0"/>
      <w:marTop w:val="0"/>
      <w:marBottom w:val="0"/>
      <w:divBdr>
        <w:top w:val="none" w:sz="0" w:space="0" w:color="auto"/>
        <w:left w:val="none" w:sz="0" w:space="0" w:color="auto"/>
        <w:bottom w:val="none" w:sz="0" w:space="0" w:color="auto"/>
        <w:right w:val="none" w:sz="0" w:space="0" w:color="auto"/>
      </w:divBdr>
      <w:divsChild>
        <w:div w:id="1342585452">
          <w:marLeft w:val="0"/>
          <w:marRight w:val="0"/>
          <w:marTop w:val="0"/>
          <w:marBottom w:val="0"/>
          <w:divBdr>
            <w:top w:val="none" w:sz="0" w:space="0" w:color="auto"/>
            <w:left w:val="none" w:sz="0" w:space="0" w:color="auto"/>
            <w:bottom w:val="none" w:sz="0" w:space="0" w:color="auto"/>
            <w:right w:val="none" w:sz="0" w:space="0" w:color="auto"/>
          </w:divBdr>
          <w:divsChild>
            <w:div w:id="3094654">
              <w:marLeft w:val="0"/>
              <w:marRight w:val="0"/>
              <w:marTop w:val="0"/>
              <w:marBottom w:val="0"/>
              <w:divBdr>
                <w:top w:val="none" w:sz="0" w:space="0" w:color="auto"/>
                <w:left w:val="none" w:sz="0" w:space="0" w:color="auto"/>
                <w:bottom w:val="none" w:sz="0" w:space="0" w:color="auto"/>
                <w:right w:val="none" w:sz="0" w:space="0" w:color="auto"/>
              </w:divBdr>
              <w:divsChild>
                <w:div w:id="226772473">
                  <w:marLeft w:val="0"/>
                  <w:marRight w:val="0"/>
                  <w:marTop w:val="0"/>
                  <w:marBottom w:val="0"/>
                  <w:divBdr>
                    <w:top w:val="none" w:sz="0" w:space="0" w:color="auto"/>
                    <w:left w:val="none" w:sz="0" w:space="0" w:color="auto"/>
                    <w:bottom w:val="none" w:sz="0" w:space="0" w:color="auto"/>
                    <w:right w:val="none" w:sz="0" w:space="0" w:color="auto"/>
                  </w:divBdr>
                  <w:divsChild>
                    <w:div w:id="2037730219">
                      <w:marLeft w:val="0"/>
                      <w:marRight w:val="0"/>
                      <w:marTop w:val="0"/>
                      <w:marBottom w:val="0"/>
                      <w:divBdr>
                        <w:top w:val="none" w:sz="0" w:space="0" w:color="auto"/>
                        <w:left w:val="none" w:sz="0" w:space="0" w:color="auto"/>
                        <w:bottom w:val="none" w:sz="0" w:space="0" w:color="auto"/>
                        <w:right w:val="none" w:sz="0" w:space="0" w:color="auto"/>
                      </w:divBdr>
                      <w:divsChild>
                        <w:div w:id="1751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722">
      <w:bodyDiv w:val="1"/>
      <w:marLeft w:val="0"/>
      <w:marRight w:val="0"/>
      <w:marTop w:val="0"/>
      <w:marBottom w:val="0"/>
      <w:divBdr>
        <w:top w:val="none" w:sz="0" w:space="0" w:color="auto"/>
        <w:left w:val="none" w:sz="0" w:space="0" w:color="auto"/>
        <w:bottom w:val="none" w:sz="0" w:space="0" w:color="auto"/>
        <w:right w:val="none" w:sz="0" w:space="0" w:color="auto"/>
      </w:divBdr>
    </w:div>
    <w:div w:id="1898737475">
      <w:bodyDiv w:val="1"/>
      <w:marLeft w:val="0"/>
      <w:marRight w:val="0"/>
      <w:marTop w:val="0"/>
      <w:marBottom w:val="0"/>
      <w:divBdr>
        <w:top w:val="none" w:sz="0" w:space="0" w:color="auto"/>
        <w:left w:val="none" w:sz="0" w:space="0" w:color="auto"/>
        <w:bottom w:val="none" w:sz="0" w:space="0" w:color="auto"/>
        <w:right w:val="none" w:sz="0" w:space="0" w:color="auto"/>
      </w:divBdr>
      <w:divsChild>
        <w:div w:id="1551652870">
          <w:marLeft w:val="0"/>
          <w:marRight w:val="0"/>
          <w:marTop w:val="0"/>
          <w:marBottom w:val="0"/>
          <w:divBdr>
            <w:top w:val="none" w:sz="0" w:space="0" w:color="auto"/>
            <w:left w:val="none" w:sz="0" w:space="0" w:color="auto"/>
            <w:bottom w:val="none" w:sz="0" w:space="0" w:color="auto"/>
            <w:right w:val="none" w:sz="0" w:space="0" w:color="auto"/>
          </w:divBdr>
          <w:divsChild>
            <w:div w:id="1739547143">
              <w:marLeft w:val="0"/>
              <w:marRight w:val="0"/>
              <w:marTop w:val="0"/>
              <w:marBottom w:val="0"/>
              <w:divBdr>
                <w:top w:val="none" w:sz="0" w:space="0" w:color="auto"/>
                <w:left w:val="none" w:sz="0" w:space="0" w:color="auto"/>
                <w:bottom w:val="none" w:sz="0" w:space="0" w:color="auto"/>
                <w:right w:val="none" w:sz="0" w:space="0" w:color="auto"/>
              </w:divBdr>
              <w:divsChild>
                <w:div w:id="381906644">
                  <w:marLeft w:val="0"/>
                  <w:marRight w:val="0"/>
                  <w:marTop w:val="0"/>
                  <w:marBottom w:val="0"/>
                  <w:divBdr>
                    <w:top w:val="none" w:sz="0" w:space="0" w:color="auto"/>
                    <w:left w:val="none" w:sz="0" w:space="0" w:color="auto"/>
                    <w:bottom w:val="none" w:sz="0" w:space="0" w:color="auto"/>
                    <w:right w:val="none" w:sz="0" w:space="0" w:color="auto"/>
                  </w:divBdr>
                  <w:divsChild>
                    <w:div w:id="1224951970">
                      <w:marLeft w:val="0"/>
                      <w:marRight w:val="0"/>
                      <w:marTop w:val="0"/>
                      <w:marBottom w:val="0"/>
                      <w:divBdr>
                        <w:top w:val="none" w:sz="0" w:space="0" w:color="auto"/>
                        <w:left w:val="none" w:sz="0" w:space="0" w:color="auto"/>
                        <w:bottom w:val="none" w:sz="0" w:space="0" w:color="auto"/>
                        <w:right w:val="none" w:sz="0" w:space="0" w:color="auto"/>
                      </w:divBdr>
                      <w:divsChild>
                        <w:div w:id="1084574794">
                          <w:marLeft w:val="0"/>
                          <w:marRight w:val="0"/>
                          <w:marTop w:val="0"/>
                          <w:marBottom w:val="0"/>
                          <w:divBdr>
                            <w:top w:val="none" w:sz="0" w:space="0" w:color="auto"/>
                            <w:left w:val="none" w:sz="0" w:space="0" w:color="auto"/>
                            <w:bottom w:val="none" w:sz="0" w:space="0" w:color="auto"/>
                            <w:right w:val="none" w:sz="0" w:space="0" w:color="auto"/>
                          </w:divBdr>
                          <w:divsChild>
                            <w:div w:id="3249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257553">
      <w:bodyDiv w:val="1"/>
      <w:marLeft w:val="0"/>
      <w:marRight w:val="0"/>
      <w:marTop w:val="0"/>
      <w:marBottom w:val="0"/>
      <w:divBdr>
        <w:top w:val="none" w:sz="0" w:space="0" w:color="auto"/>
        <w:left w:val="none" w:sz="0" w:space="0" w:color="auto"/>
        <w:bottom w:val="none" w:sz="0" w:space="0" w:color="auto"/>
        <w:right w:val="none" w:sz="0" w:space="0" w:color="auto"/>
      </w:divBdr>
    </w:div>
    <w:div w:id="2046322061">
      <w:bodyDiv w:val="1"/>
      <w:marLeft w:val="0"/>
      <w:marRight w:val="0"/>
      <w:marTop w:val="0"/>
      <w:marBottom w:val="0"/>
      <w:divBdr>
        <w:top w:val="none" w:sz="0" w:space="0" w:color="auto"/>
        <w:left w:val="none" w:sz="0" w:space="0" w:color="auto"/>
        <w:bottom w:val="none" w:sz="0" w:space="0" w:color="auto"/>
        <w:right w:val="none" w:sz="0" w:space="0" w:color="auto"/>
      </w:divBdr>
      <w:divsChild>
        <w:div w:id="1806654911">
          <w:marLeft w:val="0"/>
          <w:marRight w:val="0"/>
          <w:marTop w:val="0"/>
          <w:marBottom w:val="0"/>
          <w:divBdr>
            <w:top w:val="none" w:sz="0" w:space="0" w:color="auto"/>
            <w:left w:val="none" w:sz="0" w:space="0" w:color="auto"/>
            <w:bottom w:val="none" w:sz="0" w:space="0" w:color="auto"/>
            <w:right w:val="none" w:sz="0" w:space="0" w:color="auto"/>
          </w:divBdr>
          <w:divsChild>
            <w:div w:id="481392471">
              <w:marLeft w:val="0"/>
              <w:marRight w:val="0"/>
              <w:marTop w:val="0"/>
              <w:marBottom w:val="0"/>
              <w:divBdr>
                <w:top w:val="none" w:sz="0" w:space="0" w:color="auto"/>
                <w:left w:val="none" w:sz="0" w:space="0" w:color="auto"/>
                <w:bottom w:val="none" w:sz="0" w:space="0" w:color="auto"/>
                <w:right w:val="none" w:sz="0" w:space="0" w:color="auto"/>
              </w:divBdr>
              <w:divsChild>
                <w:div w:id="560487521">
                  <w:marLeft w:val="0"/>
                  <w:marRight w:val="0"/>
                  <w:marTop w:val="0"/>
                  <w:marBottom w:val="0"/>
                  <w:divBdr>
                    <w:top w:val="none" w:sz="0" w:space="0" w:color="auto"/>
                    <w:left w:val="none" w:sz="0" w:space="0" w:color="auto"/>
                    <w:bottom w:val="none" w:sz="0" w:space="0" w:color="auto"/>
                    <w:right w:val="none" w:sz="0" w:space="0" w:color="auto"/>
                  </w:divBdr>
                  <w:divsChild>
                    <w:div w:id="1707171547">
                      <w:marLeft w:val="0"/>
                      <w:marRight w:val="0"/>
                      <w:marTop w:val="0"/>
                      <w:marBottom w:val="0"/>
                      <w:divBdr>
                        <w:top w:val="none" w:sz="0" w:space="0" w:color="auto"/>
                        <w:left w:val="none" w:sz="0" w:space="0" w:color="auto"/>
                        <w:bottom w:val="none" w:sz="0" w:space="0" w:color="auto"/>
                        <w:right w:val="none" w:sz="0" w:space="0" w:color="auto"/>
                      </w:divBdr>
                      <w:divsChild>
                        <w:div w:id="255092649">
                          <w:marLeft w:val="0"/>
                          <w:marRight w:val="0"/>
                          <w:marTop w:val="0"/>
                          <w:marBottom w:val="0"/>
                          <w:divBdr>
                            <w:top w:val="none" w:sz="0" w:space="0" w:color="auto"/>
                            <w:left w:val="none" w:sz="0" w:space="0" w:color="auto"/>
                            <w:bottom w:val="none" w:sz="0" w:space="0" w:color="auto"/>
                            <w:right w:val="none" w:sz="0" w:space="0" w:color="auto"/>
                          </w:divBdr>
                          <w:divsChild>
                            <w:div w:id="173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0962">
      <w:bodyDiv w:val="1"/>
      <w:marLeft w:val="0"/>
      <w:marRight w:val="0"/>
      <w:marTop w:val="0"/>
      <w:marBottom w:val="0"/>
      <w:divBdr>
        <w:top w:val="none" w:sz="0" w:space="0" w:color="auto"/>
        <w:left w:val="none" w:sz="0" w:space="0" w:color="auto"/>
        <w:bottom w:val="none" w:sz="0" w:space="0" w:color="auto"/>
        <w:right w:val="none" w:sz="0" w:space="0" w:color="auto"/>
      </w:divBdr>
      <w:divsChild>
        <w:div w:id="385764544">
          <w:marLeft w:val="0"/>
          <w:marRight w:val="0"/>
          <w:marTop w:val="0"/>
          <w:marBottom w:val="0"/>
          <w:divBdr>
            <w:top w:val="none" w:sz="0" w:space="0" w:color="auto"/>
            <w:left w:val="none" w:sz="0" w:space="0" w:color="auto"/>
            <w:bottom w:val="none" w:sz="0" w:space="0" w:color="auto"/>
            <w:right w:val="none" w:sz="0" w:space="0" w:color="auto"/>
          </w:divBdr>
          <w:divsChild>
            <w:div w:id="1614511373">
              <w:marLeft w:val="0"/>
              <w:marRight w:val="0"/>
              <w:marTop w:val="0"/>
              <w:marBottom w:val="0"/>
              <w:divBdr>
                <w:top w:val="none" w:sz="0" w:space="0" w:color="auto"/>
                <w:left w:val="none" w:sz="0" w:space="0" w:color="auto"/>
                <w:bottom w:val="none" w:sz="0" w:space="0" w:color="auto"/>
                <w:right w:val="none" w:sz="0" w:space="0" w:color="auto"/>
              </w:divBdr>
              <w:divsChild>
                <w:div w:id="123469856">
                  <w:marLeft w:val="0"/>
                  <w:marRight w:val="0"/>
                  <w:marTop w:val="0"/>
                  <w:marBottom w:val="0"/>
                  <w:divBdr>
                    <w:top w:val="none" w:sz="0" w:space="0" w:color="auto"/>
                    <w:left w:val="none" w:sz="0" w:space="0" w:color="auto"/>
                    <w:bottom w:val="none" w:sz="0" w:space="0" w:color="auto"/>
                    <w:right w:val="none" w:sz="0" w:space="0" w:color="auto"/>
                  </w:divBdr>
                  <w:divsChild>
                    <w:div w:id="2037922960">
                      <w:marLeft w:val="0"/>
                      <w:marRight w:val="0"/>
                      <w:marTop w:val="0"/>
                      <w:marBottom w:val="0"/>
                      <w:divBdr>
                        <w:top w:val="none" w:sz="0" w:space="0" w:color="auto"/>
                        <w:left w:val="none" w:sz="0" w:space="0" w:color="auto"/>
                        <w:bottom w:val="none" w:sz="0" w:space="0" w:color="auto"/>
                        <w:right w:val="none" w:sz="0" w:space="0" w:color="auto"/>
                      </w:divBdr>
                      <w:divsChild>
                        <w:div w:id="177699014">
                          <w:marLeft w:val="0"/>
                          <w:marRight w:val="0"/>
                          <w:marTop w:val="0"/>
                          <w:marBottom w:val="0"/>
                          <w:divBdr>
                            <w:top w:val="none" w:sz="0" w:space="0" w:color="auto"/>
                            <w:left w:val="none" w:sz="0" w:space="0" w:color="auto"/>
                            <w:bottom w:val="none" w:sz="0" w:space="0" w:color="auto"/>
                            <w:right w:val="none" w:sz="0" w:space="0" w:color="auto"/>
                          </w:divBdr>
                          <w:divsChild>
                            <w:div w:id="9599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ABA6-71E8-40E5-B57B-680BC577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7986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Sabrina Barroso</cp:lastModifiedBy>
  <cp:revision>2</cp:revision>
  <cp:lastPrinted>2022-05-26T15:59:00Z</cp:lastPrinted>
  <dcterms:created xsi:type="dcterms:W3CDTF">2024-11-12T19:47:00Z</dcterms:created>
  <dcterms:modified xsi:type="dcterms:W3CDTF">2024-11-12T19:47:00Z</dcterms:modified>
</cp:coreProperties>
</file>