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32176" w14:textId="6FCC120A" w:rsidR="00E44944" w:rsidRPr="003221C4" w:rsidRDefault="006C2DD8">
      <w:pPr>
        <w:pStyle w:val="Ttulo1"/>
        <w:rPr>
          <w:color w:val="auto"/>
          <w:lang w:val="pt-BR"/>
        </w:rPr>
      </w:pPr>
      <w:r w:rsidRPr="003221C4">
        <w:rPr>
          <w:noProof/>
          <w:color w:val="auto"/>
          <w:lang w:val="es-UY"/>
        </w:rPr>
        <w:drawing>
          <wp:inline distT="0" distB="0" distL="0" distR="0" wp14:anchorId="226F6351" wp14:editId="5AAB4292">
            <wp:extent cx="1231265"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914400"/>
                    </a:xfrm>
                    <a:prstGeom prst="rect">
                      <a:avLst/>
                    </a:prstGeom>
                    <a:noFill/>
                  </pic:spPr>
                </pic:pic>
              </a:graphicData>
            </a:graphic>
          </wp:inline>
        </w:drawing>
      </w:r>
      <w:r w:rsidR="00FB2931" w:rsidRPr="003221C4">
        <w:rPr>
          <w:color w:val="auto"/>
          <w:lang w:val="pt-BR"/>
        </w:rPr>
        <w:t xml:space="preserve">                                                            </w:t>
      </w:r>
      <w:r w:rsidRPr="003221C4">
        <w:rPr>
          <w:noProof/>
          <w:color w:val="auto"/>
          <w:lang w:val="es-UY"/>
        </w:rPr>
        <w:drawing>
          <wp:inline distT="0" distB="0" distL="0" distR="0" wp14:anchorId="49BDB7F7" wp14:editId="148B3835">
            <wp:extent cx="1256030" cy="9144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14400"/>
                    </a:xfrm>
                    <a:prstGeom prst="rect">
                      <a:avLst/>
                    </a:prstGeom>
                    <a:noFill/>
                  </pic:spPr>
                </pic:pic>
              </a:graphicData>
            </a:graphic>
          </wp:inline>
        </w:drawing>
      </w:r>
    </w:p>
    <w:p w14:paraId="413B9791" w14:textId="77777777" w:rsidR="0071299A" w:rsidRPr="003221C4" w:rsidRDefault="0071299A">
      <w:pPr>
        <w:pStyle w:val="Ttulo1"/>
        <w:rPr>
          <w:color w:val="auto"/>
          <w:lang w:val="pt-BR"/>
        </w:rPr>
      </w:pPr>
    </w:p>
    <w:p w14:paraId="26325C8F" w14:textId="603ABC48" w:rsidR="009F5AB7" w:rsidRPr="003221C4" w:rsidRDefault="009F5AB7">
      <w:pPr>
        <w:pStyle w:val="Ttulo1"/>
        <w:rPr>
          <w:color w:val="auto"/>
          <w:lang w:val="pt-BR"/>
        </w:rPr>
      </w:pPr>
      <w:r w:rsidRPr="003221C4">
        <w:rPr>
          <w:color w:val="auto"/>
          <w:lang w:val="pt-BR"/>
        </w:rPr>
        <w:t>MERCOSUR/</w:t>
      </w:r>
      <w:r w:rsidR="00962710" w:rsidRPr="003221C4">
        <w:rPr>
          <w:color w:val="auto"/>
          <w:lang w:val="pt-BR"/>
        </w:rPr>
        <w:t>SGT N° 4</w:t>
      </w:r>
      <w:r w:rsidR="00CD6F69" w:rsidRPr="003221C4">
        <w:rPr>
          <w:color w:val="auto"/>
          <w:lang w:val="pt-BR"/>
        </w:rPr>
        <w:t xml:space="preserve"> </w:t>
      </w:r>
      <w:r w:rsidRPr="003221C4">
        <w:rPr>
          <w:color w:val="auto"/>
          <w:lang w:val="pt-BR"/>
        </w:rPr>
        <w:t>/</w:t>
      </w:r>
      <w:r w:rsidR="009F7416" w:rsidRPr="003221C4">
        <w:rPr>
          <w:color w:val="auto"/>
          <w:lang w:val="pt-BR"/>
        </w:rPr>
        <w:t>ACTA N° 0</w:t>
      </w:r>
      <w:r w:rsidR="00F71613" w:rsidRPr="003221C4">
        <w:rPr>
          <w:color w:val="auto"/>
          <w:lang w:val="pt-BR"/>
        </w:rPr>
        <w:t>2</w:t>
      </w:r>
      <w:r w:rsidR="009F7416" w:rsidRPr="003221C4">
        <w:rPr>
          <w:color w:val="auto"/>
          <w:lang w:val="pt-BR"/>
        </w:rPr>
        <w:t>/2</w:t>
      </w:r>
      <w:r w:rsidR="009C10B6" w:rsidRPr="003221C4">
        <w:rPr>
          <w:color w:val="auto"/>
          <w:lang w:val="pt-BR"/>
        </w:rPr>
        <w:t>4</w:t>
      </w:r>
    </w:p>
    <w:p w14:paraId="5BA7E92D" w14:textId="77777777" w:rsidR="009F5AB7" w:rsidRPr="003221C4" w:rsidRDefault="009F5AB7">
      <w:pPr>
        <w:rPr>
          <w:lang w:val="pt-BR"/>
        </w:rPr>
      </w:pPr>
    </w:p>
    <w:p w14:paraId="1FEA9D1C" w14:textId="0E148547" w:rsidR="00962710" w:rsidRPr="003221C4" w:rsidRDefault="00962710" w:rsidP="007770D6">
      <w:pPr>
        <w:jc w:val="center"/>
        <w:rPr>
          <w:rFonts w:cs="Arial"/>
          <w:szCs w:val="24"/>
          <w:lang w:val="es-UY"/>
        </w:rPr>
      </w:pPr>
      <w:r w:rsidRPr="003221C4">
        <w:rPr>
          <w:b/>
          <w:lang w:val="es-UY"/>
        </w:rPr>
        <w:t>LV</w:t>
      </w:r>
      <w:r w:rsidR="00A81BC9" w:rsidRPr="003221C4">
        <w:rPr>
          <w:b/>
          <w:lang w:val="es-UY"/>
        </w:rPr>
        <w:t>I</w:t>
      </w:r>
      <w:r w:rsidRPr="003221C4">
        <w:rPr>
          <w:b/>
          <w:lang w:val="es-UY"/>
        </w:rPr>
        <w:t xml:space="preserve"> </w:t>
      </w:r>
      <w:r w:rsidR="009F5AB7" w:rsidRPr="003221C4">
        <w:rPr>
          <w:b/>
          <w:lang w:val="es-UY"/>
        </w:rPr>
        <w:t xml:space="preserve">REUNIÓN </w:t>
      </w:r>
      <w:r w:rsidR="00B07715" w:rsidRPr="003221C4">
        <w:rPr>
          <w:b/>
          <w:lang w:val="es-UY"/>
        </w:rPr>
        <w:t>ORDINARIA</w:t>
      </w:r>
      <w:r w:rsidR="006C2393" w:rsidRPr="003221C4">
        <w:rPr>
          <w:b/>
          <w:lang w:val="es-UY"/>
        </w:rPr>
        <w:t xml:space="preserve"> </w:t>
      </w:r>
      <w:r w:rsidRPr="003221C4">
        <w:rPr>
          <w:b/>
          <w:lang w:val="es-UY"/>
        </w:rPr>
        <w:t>DEL SUBGRUPO DE TRABAJO N° 4 “ASUNTOS FINANCIEROS</w:t>
      </w:r>
      <w:r w:rsidR="00207C69" w:rsidRPr="003221C4">
        <w:rPr>
          <w:b/>
          <w:lang w:val="es-UY"/>
        </w:rPr>
        <w:t>”</w:t>
      </w:r>
      <w:r w:rsidRPr="003221C4">
        <w:rPr>
          <w:b/>
          <w:lang w:val="es-UY"/>
        </w:rPr>
        <w:t xml:space="preserve"> (SGT N° 4)</w:t>
      </w:r>
    </w:p>
    <w:p w14:paraId="069A02E2" w14:textId="77777777" w:rsidR="00962710" w:rsidRPr="003221C4" w:rsidRDefault="00962710" w:rsidP="00962710">
      <w:pPr>
        <w:jc w:val="center"/>
        <w:rPr>
          <w:rFonts w:cs="Arial"/>
          <w:szCs w:val="24"/>
          <w:lang w:val="es-UY"/>
        </w:rPr>
      </w:pPr>
    </w:p>
    <w:p w14:paraId="5D6D450F" w14:textId="70EF89EE" w:rsidR="00962710" w:rsidRPr="003221C4" w:rsidRDefault="00876A50" w:rsidP="00962710">
      <w:pPr>
        <w:jc w:val="both"/>
        <w:rPr>
          <w:bCs/>
          <w:lang w:val="es-ES"/>
        </w:rPr>
      </w:pPr>
      <w:r w:rsidRPr="003221C4">
        <w:rPr>
          <w:rFonts w:cs="Arial"/>
          <w:szCs w:val="24"/>
          <w:lang w:val="es-ES"/>
        </w:rPr>
        <w:t xml:space="preserve">Se realizó entre los días </w:t>
      </w:r>
      <w:r w:rsidR="00962710" w:rsidRPr="003221C4">
        <w:rPr>
          <w:rFonts w:cs="Arial"/>
          <w:szCs w:val="24"/>
          <w:lang w:val="es-ES"/>
        </w:rPr>
        <w:t>2</w:t>
      </w:r>
      <w:r w:rsidR="00D30E27" w:rsidRPr="003221C4">
        <w:rPr>
          <w:rFonts w:cs="Arial"/>
          <w:szCs w:val="24"/>
          <w:lang w:val="es-ES"/>
        </w:rPr>
        <w:t>8</w:t>
      </w:r>
      <w:r w:rsidR="00962710" w:rsidRPr="003221C4">
        <w:rPr>
          <w:rFonts w:cs="Arial"/>
          <w:szCs w:val="24"/>
          <w:lang w:val="es-ES"/>
        </w:rPr>
        <w:t xml:space="preserve"> </w:t>
      </w:r>
      <w:r w:rsidR="00D30E27" w:rsidRPr="003221C4">
        <w:rPr>
          <w:rFonts w:cs="Arial"/>
          <w:szCs w:val="24"/>
          <w:lang w:val="es-ES"/>
        </w:rPr>
        <w:t xml:space="preserve">de octubre </w:t>
      </w:r>
      <w:r w:rsidR="001B6288" w:rsidRPr="003221C4">
        <w:rPr>
          <w:rFonts w:cs="Arial"/>
          <w:szCs w:val="24"/>
          <w:lang w:val="es-ES"/>
        </w:rPr>
        <w:t xml:space="preserve">y </w:t>
      </w:r>
      <w:r w:rsidR="00D30E27" w:rsidRPr="003221C4">
        <w:rPr>
          <w:rFonts w:cs="Arial"/>
          <w:szCs w:val="24"/>
          <w:lang w:val="es-ES"/>
        </w:rPr>
        <w:t>1</w:t>
      </w:r>
      <w:r w:rsidR="00962710" w:rsidRPr="003221C4">
        <w:rPr>
          <w:rFonts w:cs="Arial"/>
          <w:szCs w:val="24"/>
          <w:lang w:val="es-ES"/>
        </w:rPr>
        <w:t xml:space="preserve"> de </w:t>
      </w:r>
      <w:r w:rsidR="00D30E27" w:rsidRPr="003221C4">
        <w:rPr>
          <w:rFonts w:cs="Arial"/>
          <w:szCs w:val="24"/>
          <w:lang w:val="es-ES"/>
        </w:rPr>
        <w:t>noviembre</w:t>
      </w:r>
      <w:r w:rsidR="00962710" w:rsidRPr="003221C4">
        <w:rPr>
          <w:rFonts w:cs="Arial"/>
          <w:szCs w:val="24"/>
          <w:lang w:val="es-ES"/>
        </w:rPr>
        <w:t xml:space="preserve"> de 2024 la LV</w:t>
      </w:r>
      <w:r w:rsidR="00834E1E" w:rsidRPr="003221C4">
        <w:rPr>
          <w:rFonts w:cs="Arial"/>
          <w:szCs w:val="24"/>
          <w:lang w:val="es-ES"/>
        </w:rPr>
        <w:t>I</w:t>
      </w:r>
      <w:r w:rsidR="00962710" w:rsidRPr="003221C4">
        <w:rPr>
          <w:rFonts w:cs="Arial"/>
          <w:szCs w:val="24"/>
          <w:lang w:val="es-ES"/>
        </w:rPr>
        <w:t xml:space="preserve"> Reunión Ordinaria del Subgrupo de Trabajo N° 4 “Asuntos Financieros</w:t>
      </w:r>
      <w:r w:rsidR="00207C69" w:rsidRPr="003221C4">
        <w:rPr>
          <w:rFonts w:cs="Arial"/>
          <w:szCs w:val="24"/>
          <w:lang w:val="es-ES"/>
        </w:rPr>
        <w:t>”</w:t>
      </w:r>
      <w:r w:rsidR="00962710" w:rsidRPr="003221C4">
        <w:rPr>
          <w:rFonts w:cs="Arial"/>
          <w:szCs w:val="24"/>
          <w:lang w:val="es-ES"/>
        </w:rPr>
        <w:t xml:space="preserve"> (SGT N° 4),</w:t>
      </w:r>
      <w:r w:rsidRPr="003221C4">
        <w:rPr>
          <w:rFonts w:cs="Arial"/>
          <w:szCs w:val="24"/>
          <w:lang w:val="es-ES"/>
        </w:rPr>
        <w:t xml:space="preserve"> por sistema de videoconferencia de conformidad con lo dispuesto en la Resolución GMC N° 19/12, con la presencia de las delegaciones de </w:t>
      </w:r>
      <w:r w:rsidR="00962710" w:rsidRPr="003221C4">
        <w:rPr>
          <w:rFonts w:cs="Arial"/>
          <w:szCs w:val="24"/>
          <w:lang w:val="es-ES"/>
        </w:rPr>
        <w:t>Argentina, Brasil, Paraguay y Uruguay</w:t>
      </w:r>
      <w:r w:rsidR="00AB0D50" w:rsidRPr="003221C4">
        <w:rPr>
          <w:rFonts w:cs="Arial"/>
          <w:szCs w:val="24"/>
          <w:lang w:val="es-ES"/>
        </w:rPr>
        <w:t xml:space="preserve">. </w:t>
      </w:r>
      <w:r w:rsidR="00962710" w:rsidRPr="003221C4">
        <w:rPr>
          <w:bCs/>
          <w:lang w:val="es-ES"/>
        </w:rPr>
        <w:t xml:space="preserve">La delegación de Bolivia participó de conformidad con lo establecido en la Decisión CMC N° </w:t>
      </w:r>
      <w:r w:rsidR="00D30E27" w:rsidRPr="003221C4">
        <w:rPr>
          <w:bCs/>
          <w:lang w:val="es-ES"/>
        </w:rPr>
        <w:t>20</w:t>
      </w:r>
      <w:r w:rsidR="00962710" w:rsidRPr="003221C4">
        <w:rPr>
          <w:bCs/>
          <w:lang w:val="es-ES"/>
        </w:rPr>
        <w:t>/1</w:t>
      </w:r>
      <w:r w:rsidR="00D30E27" w:rsidRPr="003221C4">
        <w:rPr>
          <w:bCs/>
          <w:lang w:val="es-ES"/>
        </w:rPr>
        <w:t>9</w:t>
      </w:r>
      <w:r w:rsidR="00962710" w:rsidRPr="003221C4">
        <w:rPr>
          <w:bCs/>
          <w:lang w:val="es-ES"/>
        </w:rPr>
        <w:t xml:space="preserve">. </w:t>
      </w:r>
    </w:p>
    <w:p w14:paraId="3BCE5D6D" w14:textId="104F93FC" w:rsidR="00CD6F69" w:rsidRPr="003221C4" w:rsidRDefault="00CD6F69" w:rsidP="00CD6F69">
      <w:pPr>
        <w:widowControl w:val="0"/>
        <w:overflowPunct w:val="0"/>
        <w:adjustRightInd w:val="0"/>
        <w:jc w:val="both"/>
        <w:rPr>
          <w:bCs/>
          <w:kern w:val="28"/>
          <w:szCs w:val="24"/>
          <w:lang w:val="es-ES_tradnl" w:eastAsia="x-none"/>
        </w:rPr>
      </w:pPr>
    </w:p>
    <w:p w14:paraId="76E2E028" w14:textId="77777777" w:rsidR="00CD6F69" w:rsidRPr="003221C4" w:rsidRDefault="00CD6F69" w:rsidP="00CD6F69">
      <w:pPr>
        <w:widowControl w:val="0"/>
        <w:overflowPunct w:val="0"/>
        <w:adjustRightInd w:val="0"/>
        <w:jc w:val="both"/>
        <w:rPr>
          <w:bCs/>
          <w:kern w:val="28"/>
          <w:szCs w:val="24"/>
          <w:lang w:val="pt-BR" w:eastAsia="x-none"/>
        </w:rPr>
      </w:pPr>
      <w:r w:rsidRPr="003221C4">
        <w:rPr>
          <w:bCs/>
          <w:kern w:val="28"/>
          <w:szCs w:val="24"/>
          <w:lang w:val="pt-BR" w:eastAsia="x-none"/>
        </w:rPr>
        <w:t xml:space="preserve">La Lista de Participantes consta como </w:t>
      </w:r>
      <w:r w:rsidRPr="003221C4">
        <w:rPr>
          <w:b/>
          <w:bCs/>
          <w:kern w:val="28"/>
          <w:szCs w:val="24"/>
          <w:lang w:val="pt-BR" w:eastAsia="x-none"/>
        </w:rPr>
        <w:t>ANEXO I</w:t>
      </w:r>
      <w:r w:rsidRPr="003221C4">
        <w:rPr>
          <w:bCs/>
          <w:kern w:val="28"/>
          <w:szCs w:val="24"/>
          <w:lang w:val="pt-BR" w:eastAsia="x-none"/>
        </w:rPr>
        <w:t>.</w:t>
      </w:r>
    </w:p>
    <w:p w14:paraId="39E64863" w14:textId="77777777" w:rsidR="00E44944" w:rsidRPr="003221C4" w:rsidRDefault="00E44944" w:rsidP="00E44944">
      <w:pPr>
        <w:widowControl w:val="0"/>
        <w:overflowPunct w:val="0"/>
        <w:adjustRightInd w:val="0"/>
        <w:jc w:val="both"/>
        <w:rPr>
          <w:bCs/>
          <w:kern w:val="28"/>
          <w:szCs w:val="24"/>
          <w:lang w:val="pt-BR" w:eastAsia="x-none"/>
        </w:rPr>
      </w:pPr>
    </w:p>
    <w:p w14:paraId="5273D3E8" w14:textId="77777777" w:rsidR="00E44944" w:rsidRPr="003221C4" w:rsidRDefault="00E44944" w:rsidP="00E44944">
      <w:pPr>
        <w:widowControl w:val="0"/>
        <w:overflowPunct w:val="0"/>
        <w:adjustRightInd w:val="0"/>
        <w:jc w:val="both"/>
        <w:rPr>
          <w:bCs/>
          <w:kern w:val="28"/>
          <w:szCs w:val="24"/>
          <w:lang w:val="es-ES_tradnl" w:eastAsia="x-none"/>
        </w:rPr>
      </w:pPr>
      <w:r w:rsidRPr="003221C4">
        <w:rPr>
          <w:bCs/>
          <w:kern w:val="28"/>
          <w:szCs w:val="24"/>
          <w:lang w:val="es-ES_tradnl" w:eastAsia="x-none"/>
        </w:rPr>
        <w:t xml:space="preserve">La Agenda consta como </w:t>
      </w:r>
      <w:r w:rsidRPr="003221C4">
        <w:rPr>
          <w:b/>
          <w:bCs/>
          <w:kern w:val="28"/>
          <w:szCs w:val="24"/>
          <w:lang w:val="es-ES_tradnl" w:eastAsia="x-none"/>
        </w:rPr>
        <w:t>ANEXO II</w:t>
      </w:r>
      <w:r w:rsidRPr="003221C4">
        <w:rPr>
          <w:bCs/>
          <w:kern w:val="28"/>
          <w:szCs w:val="24"/>
          <w:lang w:val="es-ES_tradnl" w:eastAsia="x-none"/>
        </w:rPr>
        <w:t>.</w:t>
      </w:r>
    </w:p>
    <w:p w14:paraId="4095523C" w14:textId="77777777" w:rsidR="00E44944" w:rsidRPr="003221C4" w:rsidRDefault="00E44944" w:rsidP="00E44944">
      <w:pPr>
        <w:widowControl w:val="0"/>
        <w:overflowPunct w:val="0"/>
        <w:adjustRightInd w:val="0"/>
        <w:jc w:val="both"/>
        <w:rPr>
          <w:bCs/>
          <w:kern w:val="28"/>
          <w:szCs w:val="24"/>
          <w:lang w:val="es-ES_tradnl" w:eastAsia="x-none"/>
        </w:rPr>
      </w:pPr>
    </w:p>
    <w:p w14:paraId="3B80914D" w14:textId="24C5FF90" w:rsidR="00E44944" w:rsidRPr="003221C4" w:rsidRDefault="00E44944" w:rsidP="00E44944">
      <w:pPr>
        <w:widowControl w:val="0"/>
        <w:overflowPunct w:val="0"/>
        <w:adjustRightInd w:val="0"/>
        <w:jc w:val="both"/>
        <w:rPr>
          <w:bCs/>
          <w:kern w:val="28"/>
          <w:szCs w:val="24"/>
          <w:lang w:val="es-ES_tradnl" w:eastAsia="x-none"/>
        </w:rPr>
      </w:pPr>
      <w:r w:rsidRPr="003221C4">
        <w:rPr>
          <w:bCs/>
          <w:kern w:val="28"/>
          <w:szCs w:val="24"/>
          <w:lang w:val="es-ES_tradnl" w:eastAsia="x-none"/>
        </w:rPr>
        <w:t xml:space="preserve">El Resumen del Acta consta como </w:t>
      </w:r>
      <w:r w:rsidRPr="003221C4">
        <w:rPr>
          <w:b/>
          <w:bCs/>
          <w:kern w:val="28"/>
          <w:szCs w:val="24"/>
          <w:lang w:val="es-ES_tradnl" w:eastAsia="x-none"/>
        </w:rPr>
        <w:t>ANEXO III</w:t>
      </w:r>
      <w:r w:rsidR="00834E1E" w:rsidRPr="003221C4">
        <w:rPr>
          <w:b/>
          <w:bCs/>
          <w:kern w:val="28"/>
          <w:szCs w:val="24"/>
          <w:lang w:val="es-ES_tradnl" w:eastAsia="x-none"/>
        </w:rPr>
        <w:t xml:space="preserve">. </w:t>
      </w:r>
    </w:p>
    <w:p w14:paraId="120CCE35" w14:textId="77777777" w:rsidR="00834E1E" w:rsidRPr="003221C4" w:rsidRDefault="00834E1E" w:rsidP="00E44944">
      <w:pPr>
        <w:jc w:val="both"/>
        <w:rPr>
          <w:rFonts w:cs="Arial"/>
          <w:bCs/>
          <w:szCs w:val="24"/>
          <w:lang w:val="es-UY" w:eastAsia="es-ES"/>
        </w:rPr>
      </w:pPr>
    </w:p>
    <w:p w14:paraId="0C546F96" w14:textId="77777777" w:rsidR="00E44944" w:rsidRPr="003221C4" w:rsidRDefault="00E44944" w:rsidP="00E44944">
      <w:pPr>
        <w:widowControl w:val="0"/>
        <w:overflowPunct w:val="0"/>
        <w:adjustRightInd w:val="0"/>
        <w:jc w:val="both"/>
        <w:rPr>
          <w:rFonts w:cs="Arial"/>
          <w:bCs/>
          <w:kern w:val="28"/>
          <w:szCs w:val="24"/>
          <w:lang w:val="es-ES"/>
        </w:rPr>
      </w:pPr>
      <w:r w:rsidRPr="003221C4">
        <w:rPr>
          <w:rFonts w:cs="Arial"/>
          <w:bCs/>
          <w:kern w:val="28"/>
          <w:szCs w:val="24"/>
          <w:lang w:val="es-ES"/>
        </w:rPr>
        <w:t xml:space="preserve">En la reunión fueron tratados los siguientes temas: </w:t>
      </w:r>
    </w:p>
    <w:p w14:paraId="1E497355" w14:textId="77777777" w:rsidR="00B606F5" w:rsidRPr="003221C4" w:rsidRDefault="00B606F5" w:rsidP="00E44944">
      <w:pPr>
        <w:widowControl w:val="0"/>
        <w:overflowPunct w:val="0"/>
        <w:adjustRightInd w:val="0"/>
        <w:jc w:val="both"/>
        <w:rPr>
          <w:rFonts w:cs="Arial"/>
          <w:b/>
          <w:kern w:val="28"/>
          <w:szCs w:val="24"/>
          <w:lang w:val="es-ES"/>
        </w:rPr>
      </w:pPr>
    </w:p>
    <w:p w14:paraId="02DA534F" w14:textId="77777777" w:rsidR="001C4EBE" w:rsidRPr="003221C4" w:rsidRDefault="00B606F5" w:rsidP="001C4EBE">
      <w:pPr>
        <w:widowControl w:val="0"/>
        <w:overflowPunct w:val="0"/>
        <w:adjustRightInd w:val="0"/>
        <w:jc w:val="both"/>
        <w:rPr>
          <w:rFonts w:cs="Arial"/>
          <w:b/>
          <w:kern w:val="28"/>
          <w:szCs w:val="24"/>
          <w:lang w:val="es-ES"/>
        </w:rPr>
      </w:pPr>
      <w:r w:rsidRPr="003221C4">
        <w:rPr>
          <w:rFonts w:cs="Arial"/>
          <w:b/>
          <w:kern w:val="28"/>
          <w:szCs w:val="24"/>
          <w:lang w:val="es-ES"/>
        </w:rPr>
        <w:t>1.</w:t>
      </w:r>
      <w:r w:rsidR="001C4EBE" w:rsidRPr="003221C4">
        <w:rPr>
          <w:b/>
        </w:rPr>
        <w:t xml:space="preserve"> </w:t>
      </w:r>
      <w:r w:rsidR="001C4EBE" w:rsidRPr="003221C4">
        <w:rPr>
          <w:rFonts w:cs="Arial"/>
          <w:b/>
          <w:kern w:val="28"/>
          <w:szCs w:val="24"/>
          <w:lang w:val="es-ES"/>
        </w:rPr>
        <w:tab/>
        <w:t>PARÁMETROS DEL MERCOSUR PARA INTEGRACIÓN FINANCIERA INTRA MERCOSUR</w:t>
      </w:r>
    </w:p>
    <w:p w14:paraId="0CBA9F7F" w14:textId="77777777" w:rsidR="001C4EBE" w:rsidRPr="003221C4" w:rsidRDefault="001C4EBE" w:rsidP="001C4EBE">
      <w:pPr>
        <w:widowControl w:val="0"/>
        <w:overflowPunct w:val="0"/>
        <w:adjustRightInd w:val="0"/>
        <w:jc w:val="both"/>
        <w:rPr>
          <w:rFonts w:cs="Arial"/>
          <w:b/>
          <w:kern w:val="28"/>
          <w:szCs w:val="24"/>
          <w:lang w:val="es-ES"/>
        </w:rPr>
      </w:pPr>
    </w:p>
    <w:p w14:paraId="6E857B8A" w14:textId="77777777" w:rsidR="001C4EBE" w:rsidRPr="003221C4" w:rsidRDefault="001C4EBE" w:rsidP="00C44A8D">
      <w:pPr>
        <w:widowControl w:val="0"/>
        <w:numPr>
          <w:ilvl w:val="1"/>
          <w:numId w:val="2"/>
        </w:numPr>
        <w:overflowPunct w:val="0"/>
        <w:adjustRightInd w:val="0"/>
        <w:ind w:left="1134" w:hanging="567"/>
        <w:jc w:val="both"/>
        <w:rPr>
          <w:rFonts w:cs="Arial"/>
          <w:b/>
          <w:kern w:val="28"/>
          <w:szCs w:val="24"/>
          <w:lang w:val="es-ES"/>
        </w:rPr>
      </w:pPr>
      <w:r w:rsidRPr="003221C4">
        <w:rPr>
          <w:rFonts w:cs="Arial"/>
          <w:b/>
          <w:kern w:val="28"/>
          <w:szCs w:val="24"/>
          <w:lang w:val="es-ES"/>
        </w:rPr>
        <w:t>Anexo sobre Servicios Financieros Intra – MERCOSUR</w:t>
      </w:r>
    </w:p>
    <w:p w14:paraId="11E15B02" w14:textId="77777777" w:rsidR="001C4EBE" w:rsidRPr="003221C4" w:rsidRDefault="001C4EBE" w:rsidP="001C4EBE">
      <w:pPr>
        <w:widowControl w:val="0"/>
        <w:overflowPunct w:val="0"/>
        <w:adjustRightInd w:val="0"/>
        <w:jc w:val="both"/>
        <w:rPr>
          <w:rFonts w:cs="Arial"/>
          <w:b/>
          <w:kern w:val="28"/>
          <w:szCs w:val="24"/>
          <w:lang w:val="es-ES"/>
        </w:rPr>
      </w:pPr>
    </w:p>
    <w:p w14:paraId="0D6D0611" w14:textId="5EDDF0E3" w:rsidR="001C4EBE" w:rsidRPr="003221C4" w:rsidRDefault="001C4EBE" w:rsidP="001C4EBE">
      <w:pPr>
        <w:widowControl w:val="0"/>
        <w:overflowPunct w:val="0"/>
        <w:adjustRightInd w:val="0"/>
        <w:jc w:val="both"/>
        <w:rPr>
          <w:rFonts w:cs="Arial"/>
          <w:bCs/>
          <w:kern w:val="28"/>
          <w:szCs w:val="24"/>
          <w:lang w:val="es-ES"/>
        </w:rPr>
      </w:pPr>
      <w:r w:rsidRPr="003221C4">
        <w:rPr>
          <w:rFonts w:cs="Arial"/>
          <w:bCs/>
          <w:kern w:val="28"/>
          <w:szCs w:val="24"/>
          <w:lang w:val="es-ES"/>
        </w:rPr>
        <w:t>Las delegaciones intercambiaron comentarios sobre el proceso de incorporación de la Decisión CMC N° 14/19 “Enmienda al Protocolo de Montevideo sobre el Comercio de Servicios del MERCOSUR”, del 4 de diciembre de 2019</w:t>
      </w:r>
      <w:r w:rsidR="00834E1E" w:rsidRPr="003221C4">
        <w:rPr>
          <w:rFonts w:cs="Arial"/>
          <w:bCs/>
          <w:kern w:val="28"/>
          <w:szCs w:val="24"/>
          <w:lang w:val="es-ES"/>
        </w:rPr>
        <w:t xml:space="preserve">, en sus respectivos países. </w:t>
      </w:r>
    </w:p>
    <w:p w14:paraId="2A8E5F58" w14:textId="77777777" w:rsidR="001C4EBE" w:rsidRPr="003221C4" w:rsidRDefault="001C4EBE" w:rsidP="001C4EBE">
      <w:pPr>
        <w:widowControl w:val="0"/>
        <w:overflowPunct w:val="0"/>
        <w:adjustRightInd w:val="0"/>
        <w:jc w:val="both"/>
        <w:rPr>
          <w:rFonts w:cs="Arial"/>
          <w:bCs/>
          <w:kern w:val="28"/>
          <w:szCs w:val="24"/>
          <w:lang w:val="es-ES"/>
        </w:rPr>
      </w:pPr>
    </w:p>
    <w:p w14:paraId="1C2F0A41" w14:textId="3E47D1C7" w:rsidR="003C0582" w:rsidRPr="003221C4" w:rsidRDefault="00F95E51" w:rsidP="00F95E51">
      <w:pPr>
        <w:widowControl w:val="0"/>
        <w:overflowPunct w:val="0"/>
        <w:adjustRightInd w:val="0"/>
        <w:jc w:val="both"/>
        <w:rPr>
          <w:rFonts w:cs="Arial"/>
          <w:bCs/>
          <w:kern w:val="28"/>
          <w:szCs w:val="24"/>
          <w:lang w:val="es-ES"/>
        </w:rPr>
      </w:pPr>
      <w:r w:rsidRPr="003221C4">
        <w:rPr>
          <w:rFonts w:cs="Arial"/>
          <w:bCs/>
          <w:kern w:val="28"/>
          <w:szCs w:val="24"/>
          <w:lang w:val="es-ES"/>
        </w:rPr>
        <w:t xml:space="preserve">Al respecto, la delegación </w:t>
      </w:r>
      <w:r w:rsidR="00A80FB7" w:rsidRPr="003221C4">
        <w:rPr>
          <w:rFonts w:cs="Arial"/>
          <w:bCs/>
          <w:kern w:val="28"/>
          <w:szCs w:val="24"/>
          <w:lang w:val="es-ES"/>
        </w:rPr>
        <w:t>de A</w:t>
      </w:r>
      <w:r w:rsidRPr="003221C4">
        <w:rPr>
          <w:rFonts w:cs="Arial"/>
          <w:bCs/>
          <w:kern w:val="28"/>
          <w:szCs w:val="24"/>
          <w:lang w:val="es-ES"/>
        </w:rPr>
        <w:t xml:space="preserve">rgentina </w:t>
      </w:r>
      <w:r w:rsidR="003C0582" w:rsidRPr="003221C4">
        <w:rPr>
          <w:rFonts w:cs="Arial"/>
          <w:bCs/>
          <w:kern w:val="28"/>
          <w:szCs w:val="24"/>
          <w:lang w:val="es-ES"/>
        </w:rPr>
        <w:t>inform</w:t>
      </w:r>
      <w:r w:rsidR="00A80FB7" w:rsidRPr="003221C4">
        <w:rPr>
          <w:rFonts w:cs="Arial"/>
          <w:bCs/>
          <w:kern w:val="28"/>
          <w:szCs w:val="24"/>
          <w:lang w:val="es-ES"/>
        </w:rPr>
        <w:t>ó</w:t>
      </w:r>
      <w:r w:rsidR="003C0582" w:rsidRPr="003221C4">
        <w:rPr>
          <w:rFonts w:cs="Arial"/>
          <w:bCs/>
          <w:kern w:val="28"/>
          <w:szCs w:val="24"/>
          <w:lang w:val="es-ES"/>
        </w:rPr>
        <w:t xml:space="preserve"> que</w:t>
      </w:r>
      <w:r w:rsidR="00DD5037" w:rsidRPr="003221C4">
        <w:rPr>
          <w:rFonts w:cs="Arial"/>
          <w:bCs/>
          <w:kern w:val="28"/>
          <w:szCs w:val="24"/>
          <w:lang w:val="es-ES"/>
        </w:rPr>
        <w:t>,</w:t>
      </w:r>
      <w:r w:rsidR="003C0582" w:rsidRPr="003221C4">
        <w:rPr>
          <w:rFonts w:cs="Arial"/>
          <w:bCs/>
          <w:kern w:val="28"/>
          <w:szCs w:val="24"/>
          <w:lang w:val="es-ES"/>
        </w:rPr>
        <w:t xml:space="preserve"> mediante Ley N° 27.769, publicada en el Boletín Oficial el 27 de octubre de 2024, fue aprobada la referida enmienda al Protocolo de Montevideo. </w:t>
      </w:r>
    </w:p>
    <w:p w14:paraId="1AEECCC5" w14:textId="77777777" w:rsidR="003C0582" w:rsidRPr="003221C4" w:rsidRDefault="003C0582" w:rsidP="00F95E51">
      <w:pPr>
        <w:widowControl w:val="0"/>
        <w:overflowPunct w:val="0"/>
        <w:adjustRightInd w:val="0"/>
        <w:jc w:val="both"/>
        <w:rPr>
          <w:rFonts w:cs="Arial"/>
          <w:bCs/>
          <w:kern w:val="28"/>
          <w:szCs w:val="24"/>
          <w:lang w:val="es-ES"/>
        </w:rPr>
      </w:pPr>
    </w:p>
    <w:p w14:paraId="6FE8E191" w14:textId="292BA4FD" w:rsidR="00F75B69" w:rsidRPr="003221C4" w:rsidRDefault="00F95E51" w:rsidP="00F95E51">
      <w:pPr>
        <w:widowControl w:val="0"/>
        <w:overflowPunct w:val="0"/>
        <w:adjustRightInd w:val="0"/>
        <w:jc w:val="both"/>
        <w:rPr>
          <w:rFonts w:cs="Arial"/>
          <w:bCs/>
          <w:kern w:val="28"/>
          <w:szCs w:val="24"/>
          <w:lang w:val="es-ES"/>
        </w:rPr>
      </w:pPr>
      <w:r w:rsidRPr="003221C4">
        <w:rPr>
          <w:rFonts w:cs="Arial"/>
          <w:bCs/>
          <w:kern w:val="28"/>
          <w:szCs w:val="24"/>
          <w:lang w:val="es-ES"/>
        </w:rPr>
        <w:t>La delegaci</w:t>
      </w:r>
      <w:r w:rsidR="00F75B69" w:rsidRPr="003221C4">
        <w:rPr>
          <w:rFonts w:cs="Arial"/>
          <w:bCs/>
          <w:kern w:val="28"/>
          <w:szCs w:val="24"/>
          <w:lang w:val="es-ES"/>
        </w:rPr>
        <w:t>ón</w:t>
      </w:r>
      <w:r w:rsidRPr="003221C4">
        <w:rPr>
          <w:rFonts w:cs="Arial"/>
          <w:bCs/>
          <w:kern w:val="28"/>
          <w:szCs w:val="24"/>
          <w:lang w:val="es-ES"/>
        </w:rPr>
        <w:t xml:space="preserve"> de Brasi</w:t>
      </w:r>
      <w:r w:rsidR="00F75B69" w:rsidRPr="003221C4">
        <w:rPr>
          <w:rFonts w:cs="Arial"/>
          <w:bCs/>
          <w:kern w:val="28"/>
          <w:szCs w:val="24"/>
          <w:lang w:val="es-ES"/>
        </w:rPr>
        <w:t>l informó que la enmienda fue aprobada por las comisiones de la Cámara de Diputados, estando lista para su votación por el plenario. Luego, necesitará pasar por el Senado.</w:t>
      </w:r>
    </w:p>
    <w:p w14:paraId="6836B576" w14:textId="77777777" w:rsidR="00F75B69" w:rsidRPr="003221C4" w:rsidRDefault="00F75B69" w:rsidP="00F95E51">
      <w:pPr>
        <w:widowControl w:val="0"/>
        <w:overflowPunct w:val="0"/>
        <w:adjustRightInd w:val="0"/>
        <w:jc w:val="both"/>
        <w:rPr>
          <w:rFonts w:cs="Arial"/>
          <w:bCs/>
          <w:kern w:val="28"/>
          <w:szCs w:val="24"/>
          <w:highlight w:val="yellow"/>
          <w:lang w:val="es-ES"/>
        </w:rPr>
      </w:pPr>
    </w:p>
    <w:p w14:paraId="3ABB6E23" w14:textId="15405497" w:rsidR="004B68A9" w:rsidRPr="003221C4" w:rsidRDefault="00546EBA" w:rsidP="00F95E51">
      <w:pPr>
        <w:widowControl w:val="0"/>
        <w:overflowPunct w:val="0"/>
        <w:adjustRightInd w:val="0"/>
        <w:jc w:val="both"/>
        <w:rPr>
          <w:rFonts w:cs="Arial"/>
          <w:bCs/>
          <w:kern w:val="28"/>
          <w:szCs w:val="24"/>
          <w:lang w:val="es-ES"/>
        </w:rPr>
      </w:pPr>
      <w:r w:rsidRPr="003221C4">
        <w:rPr>
          <w:rFonts w:cs="Arial"/>
          <w:bCs/>
          <w:kern w:val="28"/>
          <w:szCs w:val="24"/>
          <w:lang w:val="es-ES"/>
        </w:rPr>
        <w:t>L</w:t>
      </w:r>
      <w:r w:rsidR="00F75B69" w:rsidRPr="003221C4">
        <w:rPr>
          <w:rFonts w:cs="Arial"/>
          <w:bCs/>
          <w:kern w:val="28"/>
          <w:szCs w:val="24"/>
          <w:lang w:val="es-ES"/>
        </w:rPr>
        <w:t>a delegaci</w:t>
      </w:r>
      <w:r w:rsidRPr="003221C4">
        <w:rPr>
          <w:rFonts w:cs="Arial"/>
          <w:bCs/>
          <w:kern w:val="28"/>
          <w:szCs w:val="24"/>
          <w:lang w:val="es-ES"/>
        </w:rPr>
        <w:t>ón</w:t>
      </w:r>
      <w:r w:rsidR="00F75B69" w:rsidRPr="003221C4">
        <w:rPr>
          <w:rFonts w:cs="Arial"/>
          <w:bCs/>
          <w:kern w:val="28"/>
          <w:szCs w:val="24"/>
          <w:lang w:val="es-ES"/>
        </w:rPr>
        <w:t xml:space="preserve"> de Paraguay</w:t>
      </w:r>
      <w:r w:rsidRPr="003221C4">
        <w:rPr>
          <w:rFonts w:cs="Arial"/>
          <w:bCs/>
          <w:kern w:val="28"/>
          <w:szCs w:val="24"/>
          <w:lang w:val="es-ES"/>
        </w:rPr>
        <w:t xml:space="preserve"> manifest</w:t>
      </w:r>
      <w:r w:rsidR="00A80FB7" w:rsidRPr="003221C4">
        <w:rPr>
          <w:rFonts w:cs="Arial"/>
          <w:bCs/>
          <w:kern w:val="28"/>
          <w:szCs w:val="24"/>
          <w:lang w:val="es-ES"/>
        </w:rPr>
        <w:t>ó</w:t>
      </w:r>
      <w:r w:rsidRPr="003221C4">
        <w:rPr>
          <w:rFonts w:cs="Arial"/>
          <w:bCs/>
          <w:kern w:val="28"/>
          <w:szCs w:val="24"/>
          <w:lang w:val="es-ES"/>
        </w:rPr>
        <w:t xml:space="preserve"> que el Proyecto de Enmienda se encuentra con dictamen favorable de Comisión a ser tratado en la plenaria de la Cámara de Senadores.</w:t>
      </w:r>
    </w:p>
    <w:p w14:paraId="4A5FB5F5" w14:textId="6EFBACA8" w:rsidR="00A975D2" w:rsidRPr="003221C4" w:rsidRDefault="00A975D2" w:rsidP="00F95E51">
      <w:pPr>
        <w:widowControl w:val="0"/>
        <w:overflowPunct w:val="0"/>
        <w:adjustRightInd w:val="0"/>
        <w:jc w:val="both"/>
        <w:rPr>
          <w:rFonts w:cs="Arial"/>
          <w:bCs/>
          <w:kern w:val="28"/>
          <w:szCs w:val="24"/>
          <w:lang w:val="es-ES"/>
        </w:rPr>
      </w:pPr>
    </w:p>
    <w:p w14:paraId="55722C89" w14:textId="01593AFA" w:rsidR="00A975D2" w:rsidRPr="003221C4" w:rsidRDefault="00A975D2" w:rsidP="00A975D2">
      <w:pPr>
        <w:pStyle w:val="NormalWeb"/>
        <w:jc w:val="both"/>
        <w:rPr>
          <w:rFonts w:ascii="Arial" w:hAnsi="Arial" w:cs="Arial"/>
        </w:rPr>
      </w:pPr>
      <w:r w:rsidRPr="003221C4">
        <w:rPr>
          <w:rFonts w:ascii="Arial" w:hAnsi="Arial" w:cs="Arial"/>
          <w:bCs/>
          <w:kern w:val="28"/>
          <w:lang w:val="es-ES"/>
        </w:rPr>
        <w:t xml:space="preserve">La delegación de Uruguay informó que la citada enmienda </w:t>
      </w:r>
      <w:r w:rsidRPr="003221C4">
        <w:rPr>
          <w:rFonts w:ascii="Arial" w:hAnsi="Arial" w:cs="Arial"/>
        </w:rPr>
        <w:t xml:space="preserve">tuvo media sanción en la Cámara de Representantes el 11 de setiembre de 2024 y posteriormente </w:t>
      </w:r>
      <w:r w:rsidRPr="003221C4">
        <w:rPr>
          <w:rFonts w:ascii="Arial" w:hAnsi="Arial" w:cs="Arial"/>
        </w:rPr>
        <w:lastRenderedPageBreak/>
        <w:t xml:space="preserve">ingresó a la Comisión de Asuntos Internacionales del Senado el 13 de setiembre de 2024 y aún se encuentra en ese ámbito. </w:t>
      </w:r>
    </w:p>
    <w:p w14:paraId="57382B10" w14:textId="20D8DF08" w:rsidR="00DF4230" w:rsidRPr="003221C4" w:rsidRDefault="00DF4230" w:rsidP="00A975D2">
      <w:pPr>
        <w:pStyle w:val="NormalWeb"/>
        <w:jc w:val="both"/>
        <w:rPr>
          <w:rFonts w:ascii="Arial" w:hAnsi="Arial" w:cs="Arial"/>
        </w:rPr>
      </w:pPr>
    </w:p>
    <w:p w14:paraId="2FE48E98" w14:textId="3A470BE5" w:rsidR="00A92139" w:rsidRPr="003221C4" w:rsidRDefault="00A92139" w:rsidP="00A975D2">
      <w:pPr>
        <w:pStyle w:val="NormalWeb"/>
        <w:jc w:val="both"/>
        <w:rPr>
          <w:rFonts w:ascii="Arial" w:hAnsi="Arial" w:cs="Arial"/>
          <w:bCs/>
          <w:kern w:val="28"/>
          <w:lang w:val="es-ES"/>
        </w:rPr>
      </w:pPr>
      <w:r w:rsidRPr="003221C4">
        <w:rPr>
          <w:rFonts w:ascii="Arial" w:hAnsi="Arial" w:cs="Arial"/>
          <w:bCs/>
          <w:kern w:val="28"/>
          <w:lang w:val="es-ES"/>
        </w:rPr>
        <w:t xml:space="preserve">La delegación de Bolivia informó que de acuerdo al Protocolo de Adhesión del Estado Plurinacional de Bolivia </w:t>
      </w:r>
      <w:r w:rsidR="006C74EF" w:rsidRPr="003221C4">
        <w:rPr>
          <w:rFonts w:ascii="Arial" w:hAnsi="Arial" w:cs="Arial"/>
          <w:bCs/>
          <w:kern w:val="28"/>
          <w:lang w:val="es-ES"/>
        </w:rPr>
        <w:t xml:space="preserve">al </w:t>
      </w:r>
      <w:r w:rsidR="007770D6" w:rsidRPr="003221C4">
        <w:rPr>
          <w:rFonts w:ascii="Arial" w:hAnsi="Arial" w:cs="Arial"/>
          <w:bCs/>
          <w:kern w:val="28"/>
          <w:lang w:val="es-ES"/>
        </w:rPr>
        <w:t>MERCOSUR</w:t>
      </w:r>
      <w:r w:rsidR="006C74EF" w:rsidRPr="003221C4">
        <w:rPr>
          <w:rFonts w:ascii="Arial" w:hAnsi="Arial" w:cs="Arial"/>
          <w:bCs/>
          <w:kern w:val="28"/>
          <w:lang w:val="es-ES"/>
        </w:rPr>
        <w:t xml:space="preserve"> (PAB), se adoptará, gradualmente, el acervo normativo del </w:t>
      </w:r>
      <w:r w:rsidR="00A80FB7" w:rsidRPr="003221C4">
        <w:rPr>
          <w:rFonts w:ascii="Arial" w:hAnsi="Arial" w:cs="Arial"/>
          <w:bCs/>
          <w:kern w:val="28"/>
          <w:lang w:val="es-ES"/>
        </w:rPr>
        <w:t>MERCOSUR</w:t>
      </w:r>
      <w:r w:rsidR="006C74EF" w:rsidRPr="003221C4">
        <w:rPr>
          <w:rFonts w:ascii="Arial" w:hAnsi="Arial" w:cs="Arial"/>
          <w:bCs/>
          <w:kern w:val="28"/>
          <w:lang w:val="es-ES"/>
        </w:rPr>
        <w:t>, y su avance en el cumplimiento será inform</w:t>
      </w:r>
      <w:r w:rsidR="001B2660" w:rsidRPr="003221C4">
        <w:rPr>
          <w:rFonts w:ascii="Arial" w:hAnsi="Arial" w:cs="Arial"/>
          <w:bCs/>
          <w:kern w:val="28"/>
          <w:lang w:val="es-ES"/>
        </w:rPr>
        <w:t>a</w:t>
      </w:r>
      <w:r w:rsidR="006C74EF" w:rsidRPr="003221C4">
        <w:rPr>
          <w:rFonts w:ascii="Arial" w:hAnsi="Arial" w:cs="Arial"/>
          <w:bCs/>
          <w:kern w:val="28"/>
          <w:lang w:val="es-ES"/>
        </w:rPr>
        <w:t xml:space="preserve">do por el Grupo de Adhesión de Nuevos </w:t>
      </w:r>
      <w:proofErr w:type="gramStart"/>
      <w:r w:rsidR="006C74EF" w:rsidRPr="003221C4">
        <w:rPr>
          <w:rFonts w:ascii="Arial" w:hAnsi="Arial" w:cs="Arial"/>
          <w:bCs/>
          <w:kern w:val="28"/>
          <w:lang w:val="es-ES"/>
        </w:rPr>
        <w:t>Estados Partes</w:t>
      </w:r>
      <w:proofErr w:type="gramEnd"/>
      <w:r w:rsidR="006C74EF" w:rsidRPr="003221C4">
        <w:rPr>
          <w:rFonts w:ascii="Arial" w:hAnsi="Arial" w:cs="Arial"/>
          <w:bCs/>
          <w:kern w:val="28"/>
          <w:lang w:val="es-ES"/>
        </w:rPr>
        <w:t xml:space="preserve"> (GANEP).</w:t>
      </w:r>
    </w:p>
    <w:p w14:paraId="32ACEEE1" w14:textId="77777777" w:rsidR="001C4EBE" w:rsidRPr="003221C4" w:rsidRDefault="001C4EBE" w:rsidP="001C4EBE">
      <w:pPr>
        <w:widowControl w:val="0"/>
        <w:overflowPunct w:val="0"/>
        <w:adjustRightInd w:val="0"/>
        <w:jc w:val="both"/>
        <w:rPr>
          <w:rFonts w:cs="Arial"/>
          <w:b/>
          <w:kern w:val="28"/>
          <w:szCs w:val="24"/>
          <w:lang w:val="es-ES"/>
        </w:rPr>
      </w:pPr>
    </w:p>
    <w:p w14:paraId="2F550123" w14:textId="7EC6D9E4" w:rsidR="001C4EBE" w:rsidRPr="003221C4" w:rsidRDefault="001C4EBE" w:rsidP="00C44A8D">
      <w:pPr>
        <w:widowControl w:val="0"/>
        <w:numPr>
          <w:ilvl w:val="1"/>
          <w:numId w:val="2"/>
        </w:numPr>
        <w:overflowPunct w:val="0"/>
        <w:adjustRightInd w:val="0"/>
        <w:ind w:left="1134" w:hanging="567"/>
        <w:jc w:val="both"/>
        <w:rPr>
          <w:rFonts w:cs="Arial"/>
          <w:b/>
          <w:kern w:val="28"/>
          <w:szCs w:val="24"/>
          <w:lang w:val="es-ES"/>
        </w:rPr>
      </w:pPr>
      <w:r w:rsidRPr="003221C4">
        <w:rPr>
          <w:rFonts w:cs="Arial"/>
          <w:b/>
          <w:kern w:val="28"/>
          <w:szCs w:val="24"/>
          <w:lang w:val="es-ES"/>
        </w:rPr>
        <w:t>Pagos y Transferencias Corrientes y Movimientos de Capital</w:t>
      </w:r>
      <w:r w:rsidR="001B6288" w:rsidRPr="003221C4">
        <w:rPr>
          <w:rFonts w:cs="Arial"/>
          <w:b/>
          <w:kern w:val="28"/>
          <w:szCs w:val="24"/>
          <w:lang w:val="es-ES"/>
        </w:rPr>
        <w:t>es</w:t>
      </w:r>
    </w:p>
    <w:p w14:paraId="6B19558F" w14:textId="77777777" w:rsidR="001C4EBE" w:rsidRPr="003221C4" w:rsidRDefault="001C4EBE" w:rsidP="001C4EBE">
      <w:pPr>
        <w:widowControl w:val="0"/>
        <w:overflowPunct w:val="0"/>
        <w:adjustRightInd w:val="0"/>
        <w:jc w:val="both"/>
        <w:rPr>
          <w:rFonts w:cs="Arial"/>
          <w:b/>
          <w:kern w:val="28"/>
          <w:szCs w:val="24"/>
          <w:lang w:val="es-ES"/>
        </w:rPr>
      </w:pPr>
    </w:p>
    <w:p w14:paraId="5D4690A9" w14:textId="69FBD1D1" w:rsidR="001C4EBE" w:rsidRPr="003221C4" w:rsidRDefault="001C4EBE" w:rsidP="001C4EBE">
      <w:pPr>
        <w:widowControl w:val="0"/>
        <w:overflowPunct w:val="0"/>
        <w:adjustRightInd w:val="0"/>
        <w:jc w:val="both"/>
        <w:rPr>
          <w:rFonts w:cs="Arial"/>
          <w:bCs/>
          <w:kern w:val="28"/>
          <w:szCs w:val="24"/>
          <w:lang w:val="es-ES"/>
        </w:rPr>
      </w:pPr>
      <w:bookmarkStart w:id="0" w:name="_Hlk167362432"/>
      <w:r w:rsidRPr="003221C4">
        <w:rPr>
          <w:rFonts w:cs="Arial"/>
          <w:bCs/>
          <w:kern w:val="28"/>
          <w:szCs w:val="24"/>
          <w:lang w:val="es-ES"/>
        </w:rPr>
        <w:t>Las delegaciones intercambiaron comentarios sobre el estado del proyecto de Protocolo sobre “Pagos y Transferencias Corrientes y Movimientos de Capitales”</w:t>
      </w:r>
      <w:r w:rsidR="002A26B8" w:rsidRPr="003221C4">
        <w:rPr>
          <w:rFonts w:cs="Arial"/>
          <w:bCs/>
          <w:kern w:val="28"/>
          <w:szCs w:val="24"/>
          <w:lang w:val="es-ES"/>
        </w:rPr>
        <w:t xml:space="preserve"> </w:t>
      </w:r>
      <w:r w:rsidR="002A26B8" w:rsidRPr="003221C4">
        <w:rPr>
          <w:rFonts w:cs="Arial"/>
          <w:b/>
          <w:kern w:val="28"/>
          <w:szCs w:val="24"/>
          <w:lang w:val="es-ES"/>
        </w:rPr>
        <w:t>(Anexo IV-RESERVADO)</w:t>
      </w:r>
      <w:r w:rsidRPr="003221C4">
        <w:rPr>
          <w:rFonts w:cs="Arial"/>
          <w:b/>
          <w:kern w:val="28"/>
          <w:szCs w:val="24"/>
          <w:lang w:val="es-ES"/>
        </w:rPr>
        <w:t>.</w:t>
      </w:r>
    </w:p>
    <w:bookmarkEnd w:id="0"/>
    <w:p w14:paraId="3E70AC2E" w14:textId="77777777" w:rsidR="00A2529A" w:rsidRPr="003221C4" w:rsidRDefault="00A2529A" w:rsidP="00A2529A">
      <w:pPr>
        <w:pStyle w:val="Textocomentario"/>
      </w:pPr>
    </w:p>
    <w:p w14:paraId="73EF42FF" w14:textId="6148EA66" w:rsidR="00A2529A" w:rsidRPr="003221C4" w:rsidRDefault="00A2529A" w:rsidP="00A2529A">
      <w:pPr>
        <w:pStyle w:val="Textocomentario"/>
        <w:jc w:val="both"/>
        <w:rPr>
          <w:sz w:val="24"/>
          <w:szCs w:val="24"/>
        </w:rPr>
      </w:pPr>
      <w:r w:rsidRPr="003221C4">
        <w:rPr>
          <w:sz w:val="24"/>
          <w:szCs w:val="24"/>
        </w:rPr>
        <w:t>Se tomó conocimiento de que en el Acta de la XXXVII Reunión Ordinaria del Subgrupo de Trabajo N° 12 “Inversiones” del día 3 de octubre de 2024 en el punto</w:t>
      </w:r>
      <w:r w:rsidR="00C7573E" w:rsidRPr="003221C4">
        <w:rPr>
          <w:sz w:val="24"/>
          <w:szCs w:val="24"/>
        </w:rPr>
        <w:t xml:space="preserve"> 1 las delegaciones manifestaron que </w:t>
      </w:r>
      <w:r w:rsidR="001B24F8" w:rsidRPr="003221C4">
        <w:rPr>
          <w:sz w:val="24"/>
          <w:szCs w:val="24"/>
        </w:rPr>
        <w:t>“</w:t>
      </w:r>
      <w:r w:rsidR="00C7573E" w:rsidRPr="003221C4">
        <w:rPr>
          <w:i/>
          <w:sz w:val="24"/>
          <w:szCs w:val="24"/>
        </w:rPr>
        <w:t>no tienen comentarios al texto del Protocolo de Pagos Corrientes y Movimientos de Capitales (Anexo IV – RESERVADO</w:t>
      </w:r>
      <w:r w:rsidR="001B24F8" w:rsidRPr="003221C4">
        <w:rPr>
          <w:i/>
          <w:sz w:val="24"/>
          <w:szCs w:val="24"/>
        </w:rPr>
        <w:t>)</w:t>
      </w:r>
      <w:r w:rsidR="00180B8D" w:rsidRPr="003221C4">
        <w:rPr>
          <w:i/>
          <w:sz w:val="24"/>
          <w:szCs w:val="24"/>
        </w:rPr>
        <w:t>,</w:t>
      </w:r>
      <w:r w:rsidR="00C7573E" w:rsidRPr="003221C4">
        <w:rPr>
          <w:i/>
          <w:sz w:val="24"/>
          <w:szCs w:val="24"/>
        </w:rPr>
        <w:t xml:space="preserve"> y que el mismo complementa el acuerdo de Promoción y Protección de Inversiones en los artículos y temas que contemplan ambos; así como su conformidad en que el protocolo sea de aplicación horizontal</w:t>
      </w:r>
      <w:r w:rsidR="001B24F8" w:rsidRPr="003221C4">
        <w:rPr>
          <w:i/>
          <w:sz w:val="24"/>
          <w:szCs w:val="24"/>
        </w:rPr>
        <w:t>”</w:t>
      </w:r>
      <w:r w:rsidR="00C7573E" w:rsidRPr="003221C4">
        <w:rPr>
          <w:i/>
          <w:sz w:val="24"/>
          <w:szCs w:val="24"/>
        </w:rPr>
        <w:t>.</w:t>
      </w:r>
      <w:r w:rsidR="00C7573E" w:rsidRPr="003221C4">
        <w:rPr>
          <w:sz w:val="24"/>
          <w:szCs w:val="24"/>
        </w:rPr>
        <w:t xml:space="preserve"> </w:t>
      </w:r>
    </w:p>
    <w:p w14:paraId="008B6C68" w14:textId="4D1298B0" w:rsidR="00A2529A" w:rsidRPr="003221C4" w:rsidRDefault="00A2529A" w:rsidP="00A2529A">
      <w:pPr>
        <w:pStyle w:val="Textocomentario"/>
        <w:jc w:val="both"/>
        <w:rPr>
          <w:sz w:val="24"/>
          <w:szCs w:val="24"/>
        </w:rPr>
      </w:pPr>
    </w:p>
    <w:p w14:paraId="5D786650" w14:textId="5AC532CC" w:rsidR="001B24F8" w:rsidRPr="003221C4" w:rsidRDefault="001B24F8" w:rsidP="00A2529A">
      <w:pPr>
        <w:pStyle w:val="Textocomentario"/>
        <w:jc w:val="both"/>
        <w:rPr>
          <w:sz w:val="24"/>
          <w:szCs w:val="24"/>
        </w:rPr>
      </w:pPr>
      <w:r w:rsidRPr="003221C4">
        <w:rPr>
          <w:sz w:val="24"/>
          <w:szCs w:val="24"/>
        </w:rPr>
        <w:t xml:space="preserve">Teniendo en cuenta las novedades del SGT N° 12 las delegaciones se comprometieron a realizar las consultas internas sobre el </w:t>
      </w:r>
      <w:r w:rsidRPr="003221C4">
        <w:rPr>
          <w:rFonts w:cs="Arial"/>
          <w:bCs/>
          <w:kern w:val="28"/>
          <w:sz w:val="24"/>
          <w:szCs w:val="24"/>
          <w:lang w:val="es-ES"/>
        </w:rPr>
        <w:t>Protocolo sobre “Pagos y Transferencias Corrientes y Movimientos de Capitales”</w:t>
      </w:r>
      <w:r w:rsidR="002A26B8" w:rsidRPr="003221C4">
        <w:rPr>
          <w:rFonts w:cs="Arial"/>
          <w:bCs/>
          <w:kern w:val="28"/>
          <w:sz w:val="24"/>
          <w:szCs w:val="24"/>
          <w:lang w:val="es-ES"/>
        </w:rPr>
        <w:t xml:space="preserve"> </w:t>
      </w:r>
      <w:r w:rsidRPr="003221C4">
        <w:rPr>
          <w:rFonts w:cs="Arial"/>
          <w:bCs/>
          <w:kern w:val="28"/>
          <w:sz w:val="24"/>
          <w:szCs w:val="24"/>
          <w:lang w:val="es-ES"/>
        </w:rPr>
        <w:t>para considerar en la próxima reunión.</w:t>
      </w:r>
    </w:p>
    <w:p w14:paraId="537D7562" w14:textId="026D61B1" w:rsidR="00BB5F39" w:rsidRPr="003221C4" w:rsidRDefault="00BB5F39" w:rsidP="001C4EBE">
      <w:pPr>
        <w:widowControl w:val="0"/>
        <w:overflowPunct w:val="0"/>
        <w:adjustRightInd w:val="0"/>
        <w:jc w:val="both"/>
        <w:rPr>
          <w:rFonts w:cs="Arial"/>
          <w:bCs/>
          <w:kern w:val="28"/>
          <w:szCs w:val="24"/>
          <w:lang w:val="es-ES"/>
        </w:rPr>
      </w:pPr>
    </w:p>
    <w:p w14:paraId="6B80C89E" w14:textId="77777777" w:rsidR="001C4EBE" w:rsidRPr="003221C4" w:rsidRDefault="001C4EBE" w:rsidP="001C4EBE">
      <w:pPr>
        <w:widowControl w:val="0"/>
        <w:overflowPunct w:val="0"/>
        <w:adjustRightInd w:val="0"/>
        <w:jc w:val="both"/>
        <w:rPr>
          <w:rFonts w:cs="Arial"/>
          <w:b/>
          <w:kern w:val="28"/>
          <w:szCs w:val="24"/>
          <w:lang w:val="es-ES"/>
        </w:rPr>
      </w:pPr>
    </w:p>
    <w:p w14:paraId="469D3887" w14:textId="0C4804FD" w:rsidR="001C4EBE" w:rsidRPr="003221C4" w:rsidRDefault="001C4EBE" w:rsidP="00C44A8D">
      <w:pPr>
        <w:widowControl w:val="0"/>
        <w:numPr>
          <w:ilvl w:val="0"/>
          <w:numId w:val="2"/>
        </w:numPr>
        <w:overflowPunct w:val="0"/>
        <w:adjustRightInd w:val="0"/>
        <w:ind w:left="567" w:hanging="567"/>
        <w:jc w:val="both"/>
        <w:rPr>
          <w:rFonts w:cs="Arial"/>
          <w:b/>
          <w:kern w:val="28"/>
          <w:szCs w:val="24"/>
          <w:lang w:val="es-ES"/>
        </w:rPr>
      </w:pPr>
      <w:r w:rsidRPr="003221C4">
        <w:rPr>
          <w:rFonts w:cs="Arial"/>
          <w:b/>
          <w:kern w:val="28"/>
          <w:szCs w:val="24"/>
          <w:lang w:val="es-ES"/>
        </w:rPr>
        <w:t>RELACIONAMIENTO EXTRA</w:t>
      </w:r>
      <w:r w:rsidR="00682153" w:rsidRPr="003221C4">
        <w:rPr>
          <w:rFonts w:cs="Arial"/>
          <w:b/>
          <w:kern w:val="28"/>
          <w:szCs w:val="24"/>
          <w:lang w:val="es-ES"/>
        </w:rPr>
        <w:t xml:space="preserve"> </w:t>
      </w:r>
      <w:r w:rsidRPr="003221C4">
        <w:rPr>
          <w:rFonts w:cs="Arial"/>
          <w:b/>
          <w:kern w:val="28"/>
          <w:szCs w:val="24"/>
          <w:lang w:val="es-ES"/>
        </w:rPr>
        <w:t>-</w:t>
      </w:r>
      <w:r w:rsidR="00682153" w:rsidRPr="003221C4">
        <w:rPr>
          <w:rFonts w:cs="Arial"/>
          <w:b/>
          <w:kern w:val="28"/>
          <w:szCs w:val="24"/>
          <w:lang w:val="es-ES"/>
        </w:rPr>
        <w:t xml:space="preserve"> </w:t>
      </w:r>
      <w:r w:rsidRPr="003221C4">
        <w:rPr>
          <w:rFonts w:cs="Arial"/>
          <w:b/>
          <w:kern w:val="28"/>
          <w:szCs w:val="24"/>
          <w:lang w:val="es-ES"/>
        </w:rPr>
        <w:t>MERCOSUR EN SERVICIOS FINANCIEROS</w:t>
      </w:r>
    </w:p>
    <w:p w14:paraId="508A555A" w14:textId="77777777" w:rsidR="00623CFE" w:rsidRPr="003221C4" w:rsidRDefault="00623CFE" w:rsidP="00623CFE">
      <w:pPr>
        <w:pStyle w:val="Prrafodelista"/>
        <w:widowControl w:val="0"/>
        <w:overflowPunct w:val="0"/>
        <w:adjustRightInd w:val="0"/>
        <w:ind w:left="705"/>
        <w:jc w:val="both"/>
        <w:rPr>
          <w:rFonts w:cs="Arial"/>
          <w:b/>
          <w:kern w:val="28"/>
          <w:szCs w:val="24"/>
          <w:lang w:val="es-ES"/>
        </w:rPr>
      </w:pPr>
    </w:p>
    <w:p w14:paraId="1FBA9216" w14:textId="2F563825" w:rsidR="002321A7" w:rsidRPr="003221C4" w:rsidRDefault="002321A7" w:rsidP="001C4EBE">
      <w:pPr>
        <w:widowControl w:val="0"/>
        <w:overflowPunct w:val="0"/>
        <w:adjustRightInd w:val="0"/>
        <w:jc w:val="both"/>
        <w:rPr>
          <w:rFonts w:cs="Arial"/>
          <w:bCs/>
          <w:kern w:val="28"/>
          <w:szCs w:val="24"/>
          <w:lang w:val="es-ES"/>
        </w:rPr>
      </w:pPr>
      <w:r w:rsidRPr="003221C4">
        <w:rPr>
          <w:rFonts w:cs="Arial"/>
          <w:bCs/>
          <w:kern w:val="28"/>
          <w:szCs w:val="24"/>
          <w:lang w:val="es-ES"/>
        </w:rPr>
        <w:t xml:space="preserve">Las delegaciones intercambiaron comentarios sobre </w:t>
      </w:r>
      <w:r w:rsidR="00B12232" w:rsidRPr="003221C4">
        <w:rPr>
          <w:rFonts w:cs="Arial"/>
          <w:bCs/>
          <w:kern w:val="28"/>
          <w:szCs w:val="24"/>
          <w:lang w:val="es-ES"/>
        </w:rPr>
        <w:t xml:space="preserve">el Anexo de Servicios Financieros en el marco del Acuerdo de Libre Comercio bajo negociación entre el MERCOSUR y Emiratos Árabes Unidos. </w:t>
      </w:r>
    </w:p>
    <w:p w14:paraId="5FECD080" w14:textId="77777777" w:rsidR="00E2717F" w:rsidRPr="003221C4" w:rsidRDefault="00E2717F" w:rsidP="001C4EBE">
      <w:pPr>
        <w:widowControl w:val="0"/>
        <w:overflowPunct w:val="0"/>
        <w:adjustRightInd w:val="0"/>
        <w:jc w:val="both"/>
        <w:rPr>
          <w:rFonts w:cs="Arial"/>
          <w:bCs/>
          <w:kern w:val="28"/>
          <w:szCs w:val="24"/>
          <w:lang w:val="es-ES"/>
        </w:rPr>
      </w:pPr>
    </w:p>
    <w:p w14:paraId="7BFE0C74" w14:textId="77777777" w:rsidR="001C4EBE" w:rsidRPr="003221C4" w:rsidRDefault="001C4EBE" w:rsidP="001C4EBE">
      <w:pPr>
        <w:widowControl w:val="0"/>
        <w:overflowPunct w:val="0"/>
        <w:adjustRightInd w:val="0"/>
        <w:jc w:val="both"/>
        <w:rPr>
          <w:rFonts w:cs="Arial"/>
          <w:b/>
          <w:kern w:val="28"/>
          <w:szCs w:val="24"/>
          <w:lang w:val="es-ES"/>
        </w:rPr>
      </w:pPr>
    </w:p>
    <w:p w14:paraId="5C30BC3E" w14:textId="4698863C" w:rsidR="001C4EBE" w:rsidRPr="003221C4" w:rsidRDefault="001C4EBE" w:rsidP="00C44A8D">
      <w:pPr>
        <w:widowControl w:val="0"/>
        <w:overflowPunct w:val="0"/>
        <w:adjustRightInd w:val="0"/>
        <w:ind w:left="567" w:hanging="567"/>
        <w:jc w:val="both"/>
        <w:rPr>
          <w:rFonts w:cs="Arial"/>
          <w:b/>
          <w:kern w:val="28"/>
          <w:szCs w:val="24"/>
          <w:lang w:val="es-ES"/>
        </w:rPr>
      </w:pPr>
      <w:r w:rsidRPr="003221C4">
        <w:rPr>
          <w:rFonts w:cs="Arial"/>
          <w:b/>
          <w:kern w:val="28"/>
          <w:szCs w:val="24"/>
          <w:lang w:val="es-ES"/>
        </w:rPr>
        <w:t>3.</w:t>
      </w:r>
      <w:r w:rsidRPr="003221C4">
        <w:rPr>
          <w:rFonts w:cs="Arial"/>
          <w:b/>
          <w:kern w:val="28"/>
          <w:szCs w:val="24"/>
          <w:lang w:val="es-ES"/>
        </w:rPr>
        <w:tab/>
        <w:t xml:space="preserve">INFORMES DE LAS COMISIONES DEL SGT </w:t>
      </w:r>
      <w:proofErr w:type="spellStart"/>
      <w:r w:rsidRPr="003221C4">
        <w:rPr>
          <w:rFonts w:cs="Arial"/>
          <w:b/>
          <w:kern w:val="28"/>
          <w:szCs w:val="24"/>
          <w:lang w:val="es-ES"/>
        </w:rPr>
        <w:t>N°</w:t>
      </w:r>
      <w:proofErr w:type="spellEnd"/>
      <w:r w:rsidRPr="003221C4">
        <w:rPr>
          <w:rFonts w:cs="Arial"/>
          <w:b/>
          <w:kern w:val="28"/>
          <w:szCs w:val="24"/>
          <w:lang w:val="es-ES"/>
        </w:rPr>
        <w:t xml:space="preserve"> 4</w:t>
      </w:r>
    </w:p>
    <w:p w14:paraId="54B28B56" w14:textId="77777777" w:rsidR="001C4EBE" w:rsidRPr="003221C4" w:rsidRDefault="001C4EBE" w:rsidP="001C4EBE">
      <w:pPr>
        <w:widowControl w:val="0"/>
        <w:overflowPunct w:val="0"/>
        <w:adjustRightInd w:val="0"/>
        <w:jc w:val="both"/>
        <w:rPr>
          <w:rFonts w:cs="Arial"/>
          <w:bCs/>
          <w:kern w:val="28"/>
          <w:szCs w:val="24"/>
          <w:lang w:val="es-ES"/>
        </w:rPr>
      </w:pPr>
    </w:p>
    <w:p w14:paraId="609842E6" w14:textId="3FB8AD69" w:rsidR="001C4EBE" w:rsidRPr="003221C4" w:rsidRDefault="001C4EBE" w:rsidP="00C44A8D">
      <w:pPr>
        <w:widowControl w:val="0"/>
        <w:overflowPunct w:val="0"/>
        <w:adjustRightInd w:val="0"/>
        <w:ind w:left="1134" w:hanging="567"/>
        <w:jc w:val="both"/>
        <w:rPr>
          <w:rFonts w:cs="Arial"/>
          <w:b/>
          <w:kern w:val="28"/>
          <w:szCs w:val="24"/>
          <w:lang w:val="es-ES"/>
        </w:rPr>
      </w:pPr>
      <w:bookmarkStart w:id="1" w:name="_Hlk166851884"/>
      <w:bookmarkStart w:id="2" w:name="_Hlk166851911"/>
      <w:r w:rsidRPr="003221C4">
        <w:rPr>
          <w:rFonts w:cs="Arial"/>
          <w:b/>
          <w:kern w:val="28"/>
          <w:szCs w:val="24"/>
          <w:lang w:val="es-ES"/>
        </w:rPr>
        <w:t>3.1</w:t>
      </w:r>
      <w:r w:rsidRPr="003221C4">
        <w:rPr>
          <w:rFonts w:cs="Arial"/>
          <w:bCs/>
          <w:kern w:val="28"/>
          <w:szCs w:val="24"/>
          <w:lang w:val="es-ES"/>
        </w:rPr>
        <w:t>.</w:t>
      </w:r>
      <w:r w:rsidRPr="003221C4">
        <w:rPr>
          <w:rFonts w:cs="Arial"/>
          <w:bCs/>
          <w:kern w:val="28"/>
          <w:szCs w:val="24"/>
          <w:lang w:val="es-ES"/>
        </w:rPr>
        <w:tab/>
      </w:r>
      <w:r w:rsidRPr="003221C4">
        <w:rPr>
          <w:rFonts w:cs="Arial"/>
          <w:b/>
          <w:kern w:val="28"/>
          <w:szCs w:val="24"/>
          <w:lang w:val="es-ES"/>
        </w:rPr>
        <w:t>Comisión</w:t>
      </w:r>
      <w:bookmarkEnd w:id="1"/>
      <w:r w:rsidRPr="003221C4">
        <w:rPr>
          <w:rFonts w:cs="Arial"/>
          <w:b/>
          <w:kern w:val="28"/>
          <w:szCs w:val="24"/>
          <w:lang w:val="es-ES"/>
        </w:rPr>
        <w:t xml:space="preserve"> </w:t>
      </w:r>
      <w:r w:rsidR="001B6288" w:rsidRPr="003221C4">
        <w:rPr>
          <w:rFonts w:cs="Arial"/>
          <w:b/>
          <w:kern w:val="28"/>
          <w:szCs w:val="24"/>
          <w:lang w:val="es-ES"/>
        </w:rPr>
        <w:t xml:space="preserve">de </w:t>
      </w:r>
      <w:r w:rsidR="00A46A87" w:rsidRPr="003221C4">
        <w:rPr>
          <w:rFonts w:cs="Arial"/>
          <w:b/>
          <w:kern w:val="28"/>
          <w:szCs w:val="24"/>
          <w:lang w:val="es-ES"/>
        </w:rPr>
        <w:t>Presentación de Estados Contables del Sistema Bancario (CPECSB)</w:t>
      </w:r>
    </w:p>
    <w:bookmarkEnd w:id="2"/>
    <w:p w14:paraId="4C4B5788" w14:textId="77777777" w:rsidR="00A46A87" w:rsidRPr="003221C4" w:rsidRDefault="00A46A87" w:rsidP="001C4EBE">
      <w:pPr>
        <w:widowControl w:val="0"/>
        <w:overflowPunct w:val="0"/>
        <w:adjustRightInd w:val="0"/>
        <w:jc w:val="both"/>
        <w:rPr>
          <w:rFonts w:cs="Arial"/>
          <w:b/>
          <w:kern w:val="28"/>
          <w:szCs w:val="24"/>
          <w:lang w:val="es-ES"/>
        </w:rPr>
      </w:pPr>
    </w:p>
    <w:p w14:paraId="0169DE6B" w14:textId="76C3EDE9" w:rsidR="00B011F1" w:rsidRPr="003221C4" w:rsidRDefault="00B011F1" w:rsidP="00B011F1">
      <w:pPr>
        <w:widowControl w:val="0"/>
        <w:overflowPunct w:val="0"/>
        <w:adjustRightInd w:val="0"/>
        <w:jc w:val="both"/>
        <w:rPr>
          <w:rFonts w:cs="Arial"/>
          <w:bCs/>
          <w:kern w:val="28"/>
          <w:szCs w:val="24"/>
          <w:lang w:val="es-ES"/>
        </w:rPr>
      </w:pPr>
      <w:r w:rsidRPr="003221C4">
        <w:rPr>
          <w:rFonts w:cs="Arial"/>
          <w:bCs/>
          <w:kern w:val="28"/>
          <w:szCs w:val="24"/>
          <w:lang w:val="es-ES"/>
        </w:rPr>
        <w:t>La Coordinación Nacional recibió el Acta N° 0</w:t>
      </w:r>
      <w:r w:rsidR="00591FAE" w:rsidRPr="003221C4">
        <w:rPr>
          <w:rFonts w:cs="Arial"/>
          <w:bCs/>
          <w:kern w:val="28"/>
          <w:szCs w:val="24"/>
          <w:lang w:val="es-ES"/>
        </w:rPr>
        <w:t>2</w:t>
      </w:r>
      <w:r w:rsidRPr="003221C4">
        <w:rPr>
          <w:rFonts w:cs="Arial"/>
          <w:bCs/>
          <w:kern w:val="28"/>
          <w:szCs w:val="24"/>
          <w:lang w:val="es-ES"/>
        </w:rPr>
        <w:t>/24 de la reunión de la Comisión de Presentación de Estados Contables</w:t>
      </w:r>
      <w:r w:rsidRPr="003221C4">
        <w:t xml:space="preserve"> </w:t>
      </w:r>
      <w:r w:rsidRPr="003221C4">
        <w:rPr>
          <w:rFonts w:cs="Arial"/>
          <w:bCs/>
          <w:kern w:val="28"/>
          <w:szCs w:val="24"/>
          <w:lang w:val="es-ES"/>
        </w:rPr>
        <w:t xml:space="preserve">del Sistema Bancario (CPECSB), realizada por medio del sistema de videoconferencia, conforme se establece en la Resolución GMC N° 19/12 “Reuniones por el sistema de videoconferencia”, los días </w:t>
      </w:r>
      <w:r w:rsidR="00591FAE" w:rsidRPr="003221C4">
        <w:rPr>
          <w:rFonts w:cs="Arial"/>
          <w:bCs/>
          <w:kern w:val="28"/>
          <w:szCs w:val="24"/>
          <w:lang w:val="es-ES"/>
        </w:rPr>
        <w:t>1</w:t>
      </w:r>
      <w:r w:rsidRPr="003221C4">
        <w:rPr>
          <w:rFonts w:cs="Arial"/>
          <w:bCs/>
          <w:kern w:val="28"/>
          <w:szCs w:val="24"/>
          <w:lang w:val="es-ES"/>
        </w:rPr>
        <w:t xml:space="preserve"> al </w:t>
      </w:r>
      <w:r w:rsidR="00591FAE" w:rsidRPr="003221C4">
        <w:rPr>
          <w:rFonts w:cs="Arial"/>
          <w:bCs/>
          <w:kern w:val="28"/>
          <w:szCs w:val="24"/>
          <w:lang w:val="es-ES"/>
        </w:rPr>
        <w:t>3</w:t>
      </w:r>
      <w:r w:rsidRPr="003221C4">
        <w:rPr>
          <w:rFonts w:cs="Arial"/>
          <w:bCs/>
          <w:kern w:val="28"/>
          <w:szCs w:val="24"/>
          <w:lang w:val="es-ES"/>
        </w:rPr>
        <w:t xml:space="preserve"> de </w:t>
      </w:r>
      <w:r w:rsidR="00591FAE" w:rsidRPr="003221C4">
        <w:rPr>
          <w:rFonts w:cs="Arial"/>
          <w:bCs/>
          <w:kern w:val="28"/>
          <w:szCs w:val="24"/>
          <w:lang w:val="es-ES"/>
        </w:rPr>
        <w:t>octubre</w:t>
      </w:r>
      <w:r w:rsidRPr="003221C4">
        <w:rPr>
          <w:rFonts w:cs="Arial"/>
          <w:bCs/>
          <w:kern w:val="28"/>
          <w:szCs w:val="24"/>
          <w:lang w:val="es-ES"/>
        </w:rPr>
        <w:t xml:space="preserve"> de 2024. El Acta y los anexos de la reunión constan como </w:t>
      </w:r>
      <w:r w:rsidRPr="003221C4">
        <w:rPr>
          <w:rFonts w:cs="Arial"/>
          <w:b/>
          <w:kern w:val="28"/>
          <w:szCs w:val="24"/>
          <w:lang w:val="es-ES"/>
        </w:rPr>
        <w:t xml:space="preserve">Anexo </w:t>
      </w:r>
      <w:r w:rsidR="000C7B00" w:rsidRPr="003221C4">
        <w:rPr>
          <w:rFonts w:cs="Arial"/>
          <w:b/>
          <w:kern w:val="28"/>
          <w:szCs w:val="24"/>
          <w:lang w:val="es-ES"/>
        </w:rPr>
        <w:t>V</w:t>
      </w:r>
      <w:r w:rsidRPr="003221C4">
        <w:rPr>
          <w:rFonts w:cs="Arial"/>
          <w:bCs/>
          <w:kern w:val="28"/>
          <w:szCs w:val="24"/>
          <w:lang w:val="es-ES"/>
        </w:rPr>
        <w:t>.</w:t>
      </w:r>
    </w:p>
    <w:p w14:paraId="55865276" w14:textId="77777777" w:rsidR="00B011F1" w:rsidRPr="003221C4" w:rsidRDefault="00B011F1" w:rsidP="00B011F1">
      <w:pPr>
        <w:widowControl w:val="0"/>
        <w:overflowPunct w:val="0"/>
        <w:adjustRightInd w:val="0"/>
        <w:jc w:val="both"/>
        <w:rPr>
          <w:rFonts w:cs="Arial"/>
          <w:bCs/>
          <w:kern w:val="28"/>
          <w:szCs w:val="24"/>
          <w:lang w:val="es-ES"/>
        </w:rPr>
      </w:pPr>
    </w:p>
    <w:p w14:paraId="00831092" w14:textId="77777777" w:rsidR="00A46A87" w:rsidRPr="003221C4" w:rsidRDefault="00A46A87" w:rsidP="001C4EBE">
      <w:pPr>
        <w:widowControl w:val="0"/>
        <w:overflowPunct w:val="0"/>
        <w:adjustRightInd w:val="0"/>
        <w:jc w:val="both"/>
        <w:rPr>
          <w:rFonts w:cs="Arial"/>
          <w:b/>
          <w:kern w:val="28"/>
          <w:szCs w:val="24"/>
          <w:lang w:val="es-ES"/>
        </w:rPr>
      </w:pPr>
    </w:p>
    <w:p w14:paraId="3F1F577A" w14:textId="3888FD3E" w:rsidR="001C4EBE" w:rsidRPr="003221C4" w:rsidRDefault="001C4EBE" w:rsidP="00C44A8D">
      <w:pPr>
        <w:widowControl w:val="0"/>
        <w:overflowPunct w:val="0"/>
        <w:adjustRightInd w:val="0"/>
        <w:ind w:left="1134" w:hanging="567"/>
        <w:jc w:val="both"/>
        <w:rPr>
          <w:rFonts w:cs="Arial"/>
          <w:b/>
          <w:kern w:val="28"/>
          <w:szCs w:val="24"/>
          <w:lang w:val="es-ES"/>
        </w:rPr>
      </w:pPr>
      <w:r w:rsidRPr="003221C4">
        <w:rPr>
          <w:rFonts w:cs="Arial"/>
          <w:b/>
          <w:kern w:val="28"/>
          <w:szCs w:val="24"/>
          <w:lang w:val="es-ES"/>
        </w:rPr>
        <w:lastRenderedPageBreak/>
        <w:t>3.2.</w:t>
      </w:r>
      <w:r w:rsidRPr="003221C4">
        <w:rPr>
          <w:rFonts w:cs="Arial"/>
          <w:b/>
          <w:kern w:val="28"/>
          <w:szCs w:val="24"/>
          <w:lang w:val="es-ES"/>
        </w:rPr>
        <w:tab/>
        <w:t>Comisión de Mercado de Valores</w:t>
      </w:r>
      <w:r w:rsidR="00A46A87" w:rsidRPr="003221C4">
        <w:t xml:space="preserve"> </w:t>
      </w:r>
      <w:r w:rsidR="00A46A87" w:rsidRPr="003221C4">
        <w:rPr>
          <w:rFonts w:cs="Arial"/>
          <w:b/>
          <w:kern w:val="28"/>
          <w:szCs w:val="24"/>
          <w:lang w:val="es-ES"/>
        </w:rPr>
        <w:t>(CMV)</w:t>
      </w:r>
      <w:r w:rsidR="00FA48F0" w:rsidRPr="003221C4">
        <w:rPr>
          <w:rFonts w:cs="Arial"/>
          <w:b/>
          <w:kern w:val="28"/>
          <w:szCs w:val="24"/>
          <w:lang w:val="es-ES"/>
        </w:rPr>
        <w:t xml:space="preserve"> </w:t>
      </w:r>
    </w:p>
    <w:p w14:paraId="314FFF01" w14:textId="77777777" w:rsidR="00A46A87" w:rsidRPr="003221C4" w:rsidRDefault="00A46A87" w:rsidP="001C4EBE">
      <w:pPr>
        <w:widowControl w:val="0"/>
        <w:overflowPunct w:val="0"/>
        <w:adjustRightInd w:val="0"/>
        <w:jc w:val="both"/>
        <w:rPr>
          <w:rFonts w:cs="Arial"/>
          <w:b/>
          <w:kern w:val="28"/>
          <w:szCs w:val="24"/>
          <w:lang w:val="es-ES"/>
        </w:rPr>
      </w:pPr>
    </w:p>
    <w:p w14:paraId="64F69B1C" w14:textId="41DDF1F1" w:rsidR="00B011F1" w:rsidRPr="003221C4" w:rsidRDefault="00B011F1" w:rsidP="00B011F1">
      <w:pPr>
        <w:jc w:val="both"/>
        <w:rPr>
          <w:rFonts w:cs="Arial"/>
          <w:b/>
          <w:kern w:val="28"/>
          <w:szCs w:val="24"/>
          <w:lang w:val="es-ES"/>
        </w:rPr>
      </w:pPr>
      <w:r w:rsidRPr="003221C4">
        <w:rPr>
          <w:rFonts w:cs="Arial"/>
          <w:bCs/>
          <w:kern w:val="28"/>
          <w:szCs w:val="24"/>
          <w:lang w:val="es-ES"/>
        </w:rPr>
        <w:t>La Coordinación Nacional recibió el Acta N° 0</w:t>
      </w:r>
      <w:r w:rsidR="00BD103A" w:rsidRPr="003221C4">
        <w:rPr>
          <w:rFonts w:cs="Arial"/>
          <w:bCs/>
          <w:kern w:val="28"/>
          <w:szCs w:val="24"/>
          <w:lang w:val="es-ES"/>
        </w:rPr>
        <w:t>2</w:t>
      </w:r>
      <w:r w:rsidRPr="003221C4">
        <w:rPr>
          <w:rFonts w:cs="Arial"/>
          <w:bCs/>
          <w:kern w:val="28"/>
          <w:szCs w:val="24"/>
          <w:lang w:val="es-ES"/>
        </w:rPr>
        <w:t xml:space="preserve">/24 de la reunión de la Comisión de Mercado de Valores (CMV), realizada por medio del sistema de videoconferencia, conforme se establece en la Resolución GMC N° 19/12 “Reuniones por el sistema de videoconferencia”, los días </w:t>
      </w:r>
      <w:r w:rsidR="00BD103A" w:rsidRPr="003221C4">
        <w:rPr>
          <w:rFonts w:cs="Arial"/>
          <w:bCs/>
          <w:kern w:val="28"/>
          <w:szCs w:val="24"/>
          <w:lang w:val="es-ES"/>
        </w:rPr>
        <w:t>1</w:t>
      </w:r>
      <w:r w:rsidRPr="003221C4">
        <w:rPr>
          <w:rFonts w:cs="Arial"/>
          <w:bCs/>
          <w:kern w:val="28"/>
          <w:szCs w:val="24"/>
          <w:lang w:val="es-ES"/>
        </w:rPr>
        <w:t xml:space="preserve"> al </w:t>
      </w:r>
      <w:r w:rsidR="00BD103A" w:rsidRPr="003221C4">
        <w:rPr>
          <w:rFonts w:cs="Arial"/>
          <w:bCs/>
          <w:kern w:val="28"/>
          <w:szCs w:val="24"/>
          <w:lang w:val="es-ES"/>
        </w:rPr>
        <w:t>3</w:t>
      </w:r>
      <w:r w:rsidRPr="003221C4">
        <w:rPr>
          <w:rFonts w:cs="Arial"/>
          <w:bCs/>
          <w:kern w:val="28"/>
          <w:szCs w:val="24"/>
          <w:lang w:val="es-ES"/>
        </w:rPr>
        <w:t xml:space="preserve"> de </w:t>
      </w:r>
      <w:r w:rsidR="00BD103A" w:rsidRPr="003221C4">
        <w:rPr>
          <w:rFonts w:cs="Arial"/>
          <w:bCs/>
          <w:kern w:val="28"/>
          <w:szCs w:val="24"/>
          <w:lang w:val="es-ES"/>
        </w:rPr>
        <w:t>octubre</w:t>
      </w:r>
      <w:r w:rsidRPr="003221C4">
        <w:rPr>
          <w:rFonts w:cs="Arial"/>
          <w:bCs/>
          <w:kern w:val="28"/>
          <w:szCs w:val="24"/>
          <w:lang w:val="es-ES"/>
        </w:rPr>
        <w:t xml:space="preserve"> de 2024. El Acta y los anexos de la reunión constan como</w:t>
      </w:r>
      <w:r w:rsidRPr="003221C4">
        <w:rPr>
          <w:rFonts w:cs="Arial"/>
          <w:b/>
          <w:kern w:val="28"/>
          <w:szCs w:val="24"/>
          <w:lang w:val="es-ES"/>
        </w:rPr>
        <w:t xml:space="preserve"> Anexo </w:t>
      </w:r>
      <w:r w:rsidR="000C7B00" w:rsidRPr="003221C4">
        <w:rPr>
          <w:rFonts w:cs="Arial"/>
          <w:b/>
          <w:kern w:val="28"/>
          <w:szCs w:val="24"/>
          <w:lang w:val="es-ES"/>
        </w:rPr>
        <w:t>V</w:t>
      </w:r>
      <w:r w:rsidR="00251CC0" w:rsidRPr="003221C4">
        <w:rPr>
          <w:rFonts w:cs="Arial"/>
          <w:b/>
          <w:kern w:val="28"/>
          <w:szCs w:val="24"/>
          <w:lang w:val="es-ES"/>
        </w:rPr>
        <w:t>I</w:t>
      </w:r>
      <w:r w:rsidRPr="003221C4">
        <w:rPr>
          <w:rFonts w:cs="Arial"/>
          <w:b/>
          <w:kern w:val="28"/>
          <w:szCs w:val="24"/>
          <w:lang w:val="es-ES"/>
        </w:rPr>
        <w:t>.</w:t>
      </w:r>
    </w:p>
    <w:p w14:paraId="740F6882" w14:textId="3F83AC21" w:rsidR="00B011F1" w:rsidRPr="003221C4" w:rsidRDefault="00B011F1" w:rsidP="001C4EBE">
      <w:pPr>
        <w:widowControl w:val="0"/>
        <w:overflowPunct w:val="0"/>
        <w:adjustRightInd w:val="0"/>
        <w:jc w:val="both"/>
        <w:rPr>
          <w:rFonts w:cs="Arial"/>
          <w:b/>
          <w:kern w:val="28"/>
          <w:szCs w:val="24"/>
          <w:lang w:val="es-ES"/>
        </w:rPr>
      </w:pPr>
    </w:p>
    <w:p w14:paraId="753DD947" w14:textId="29E18327" w:rsidR="000A6F37" w:rsidRPr="003221C4" w:rsidRDefault="001B1CC4" w:rsidP="001C4EBE">
      <w:pPr>
        <w:widowControl w:val="0"/>
        <w:overflowPunct w:val="0"/>
        <w:adjustRightInd w:val="0"/>
        <w:jc w:val="both"/>
        <w:rPr>
          <w:rFonts w:cs="Arial"/>
          <w:bCs/>
          <w:kern w:val="28"/>
          <w:szCs w:val="24"/>
          <w:lang w:val="es-ES"/>
        </w:rPr>
      </w:pPr>
      <w:r w:rsidRPr="003221C4">
        <w:rPr>
          <w:rFonts w:cs="Arial"/>
          <w:bCs/>
          <w:kern w:val="28"/>
          <w:szCs w:val="24"/>
          <w:lang w:val="es-ES"/>
        </w:rPr>
        <w:t>L</w:t>
      </w:r>
      <w:r w:rsidR="00840FC8" w:rsidRPr="003221C4">
        <w:rPr>
          <w:rFonts w:cs="Arial"/>
          <w:bCs/>
          <w:kern w:val="28"/>
          <w:szCs w:val="24"/>
          <w:lang w:val="es-ES"/>
        </w:rPr>
        <w:t>a Coordinación Nacional comunicó</w:t>
      </w:r>
      <w:r w:rsidRPr="003221C4">
        <w:rPr>
          <w:rFonts w:cs="Arial"/>
          <w:bCs/>
          <w:kern w:val="28"/>
          <w:szCs w:val="24"/>
          <w:lang w:val="es-ES"/>
        </w:rPr>
        <w:t xml:space="preserve"> a la CMV </w:t>
      </w:r>
      <w:r w:rsidR="00840FC8" w:rsidRPr="003221C4">
        <w:rPr>
          <w:rFonts w:cs="Arial"/>
          <w:bCs/>
          <w:kern w:val="28"/>
          <w:szCs w:val="24"/>
          <w:lang w:val="es-ES"/>
        </w:rPr>
        <w:t xml:space="preserve">que el ingreso de Bolivia como miembro pleno no </w:t>
      </w:r>
      <w:r w:rsidR="000A6F37" w:rsidRPr="003221C4">
        <w:rPr>
          <w:rFonts w:cs="Arial"/>
          <w:bCs/>
          <w:kern w:val="28"/>
          <w:szCs w:val="24"/>
          <w:lang w:val="es-ES"/>
        </w:rPr>
        <w:t xml:space="preserve">trae consigo impedimentos para avanzar en la firma del Acuerdo Marco de Intercambio de Información y Asistencia entre Autoridades del Mercado de Valores entre el resto de los Estados Parte del </w:t>
      </w:r>
      <w:r w:rsidR="00A80FB7" w:rsidRPr="003221C4">
        <w:rPr>
          <w:rFonts w:cs="Arial"/>
          <w:bCs/>
          <w:kern w:val="28"/>
          <w:szCs w:val="24"/>
          <w:lang w:val="es-ES"/>
        </w:rPr>
        <w:t>MERCOSUR</w:t>
      </w:r>
      <w:r w:rsidR="000A6F37" w:rsidRPr="003221C4">
        <w:rPr>
          <w:rFonts w:cs="Arial"/>
          <w:bCs/>
          <w:kern w:val="28"/>
          <w:szCs w:val="24"/>
          <w:lang w:val="es-ES"/>
        </w:rPr>
        <w:t xml:space="preserve">. Ello así, teniendo en cuenta lo dispuesto en </w:t>
      </w:r>
      <w:r w:rsidR="00840FC8" w:rsidRPr="003221C4">
        <w:rPr>
          <w:rFonts w:cs="Arial"/>
          <w:bCs/>
          <w:kern w:val="28"/>
          <w:szCs w:val="24"/>
          <w:lang w:val="es-ES"/>
        </w:rPr>
        <w:t xml:space="preserve">la Comunicación </w:t>
      </w:r>
      <w:r w:rsidR="000A6F37" w:rsidRPr="003221C4">
        <w:rPr>
          <w:rFonts w:cs="Arial"/>
          <w:bCs/>
          <w:kern w:val="28"/>
          <w:szCs w:val="24"/>
          <w:lang w:val="es-ES"/>
        </w:rPr>
        <w:t>del 6 de agosto de 2024 de los Coordinadores N</w:t>
      </w:r>
      <w:r w:rsidR="00840FC8" w:rsidRPr="003221C4">
        <w:rPr>
          <w:rFonts w:cs="Arial"/>
          <w:bCs/>
          <w:kern w:val="28"/>
          <w:szCs w:val="24"/>
          <w:lang w:val="es-ES"/>
        </w:rPr>
        <w:t>acionales del GMC a</w:t>
      </w:r>
      <w:r w:rsidR="000A6F37" w:rsidRPr="003221C4">
        <w:rPr>
          <w:rFonts w:cs="Arial"/>
          <w:bCs/>
          <w:kern w:val="28"/>
          <w:szCs w:val="24"/>
          <w:lang w:val="es-ES"/>
        </w:rPr>
        <w:t xml:space="preserve">l Coordinador Nacional de  </w:t>
      </w:r>
      <w:r w:rsidR="00840FC8" w:rsidRPr="003221C4">
        <w:rPr>
          <w:rFonts w:cs="Arial"/>
          <w:bCs/>
          <w:kern w:val="28"/>
          <w:szCs w:val="24"/>
          <w:lang w:val="es-ES"/>
        </w:rPr>
        <w:t>Bolivia</w:t>
      </w:r>
      <w:r w:rsidR="000A6F37" w:rsidRPr="003221C4">
        <w:rPr>
          <w:rFonts w:cs="Arial"/>
          <w:bCs/>
          <w:kern w:val="28"/>
          <w:szCs w:val="24"/>
          <w:lang w:val="es-ES"/>
        </w:rPr>
        <w:t xml:space="preserve"> ante el GMC que</w:t>
      </w:r>
      <w:r w:rsidR="00667A25" w:rsidRPr="003221C4">
        <w:rPr>
          <w:rFonts w:cs="Arial"/>
          <w:bCs/>
          <w:kern w:val="28"/>
          <w:szCs w:val="24"/>
          <w:lang w:val="es-ES"/>
        </w:rPr>
        <w:t>,</w:t>
      </w:r>
      <w:r w:rsidR="000A6F37" w:rsidRPr="003221C4">
        <w:rPr>
          <w:rFonts w:cs="Arial"/>
          <w:bCs/>
          <w:kern w:val="28"/>
          <w:szCs w:val="24"/>
          <w:lang w:val="es-ES"/>
        </w:rPr>
        <w:t xml:space="preserve"> </w:t>
      </w:r>
      <w:r w:rsidR="00840FC8" w:rsidRPr="003221C4">
        <w:rPr>
          <w:rFonts w:cs="Arial"/>
          <w:bCs/>
          <w:kern w:val="28"/>
          <w:szCs w:val="24"/>
          <w:lang w:val="es-ES"/>
        </w:rPr>
        <w:t>en su punto 8</w:t>
      </w:r>
      <w:r w:rsidR="00667A25" w:rsidRPr="003221C4">
        <w:rPr>
          <w:rFonts w:cs="Arial"/>
          <w:bCs/>
          <w:kern w:val="28"/>
          <w:szCs w:val="24"/>
          <w:lang w:val="es-ES"/>
        </w:rPr>
        <w:t>,</w:t>
      </w:r>
      <w:r w:rsidR="00840FC8" w:rsidRPr="003221C4">
        <w:rPr>
          <w:rFonts w:cs="Arial"/>
          <w:bCs/>
          <w:kern w:val="28"/>
          <w:szCs w:val="24"/>
          <w:lang w:val="es-ES"/>
        </w:rPr>
        <w:t xml:space="preserve"> establece</w:t>
      </w:r>
      <w:r w:rsidR="00667A25" w:rsidRPr="003221C4">
        <w:rPr>
          <w:rFonts w:cs="Arial"/>
          <w:bCs/>
          <w:kern w:val="28"/>
          <w:szCs w:val="24"/>
          <w:lang w:val="es-ES"/>
        </w:rPr>
        <w:t>:</w:t>
      </w:r>
      <w:r w:rsidR="00840FC8" w:rsidRPr="003221C4">
        <w:rPr>
          <w:rFonts w:cs="Arial"/>
          <w:bCs/>
          <w:kern w:val="28"/>
          <w:szCs w:val="24"/>
          <w:lang w:val="es-ES"/>
        </w:rPr>
        <w:t xml:space="preserve"> </w:t>
      </w:r>
      <w:r w:rsidR="00840FC8" w:rsidRPr="003221C4">
        <w:rPr>
          <w:rFonts w:cs="Arial"/>
          <w:bCs/>
          <w:i/>
          <w:kern w:val="28"/>
          <w:szCs w:val="24"/>
          <w:lang w:val="es-ES"/>
        </w:rPr>
        <w:t>“</w:t>
      </w:r>
      <w:r w:rsidR="000A6F37" w:rsidRPr="003221C4">
        <w:rPr>
          <w:rFonts w:cs="Arial"/>
          <w:bCs/>
          <w:i/>
          <w:kern w:val="28"/>
          <w:szCs w:val="24"/>
          <w:lang w:val="es-ES"/>
        </w:rPr>
        <w:t xml:space="preserve">La participación de las Coordinaciones Nacionales del Estado Plurinacional de Bolivia en las negociaciones de los proyectos de norma y su posterior aprobación se efectuará una vez dicho Estado haya cumplido con las obligaciones previstas </w:t>
      </w:r>
      <w:bookmarkStart w:id="3" w:name="_Hlk181352751"/>
      <w:r w:rsidR="000A6F37" w:rsidRPr="003221C4">
        <w:rPr>
          <w:rFonts w:cs="Arial"/>
          <w:bCs/>
          <w:i/>
          <w:kern w:val="28"/>
          <w:szCs w:val="24"/>
          <w:lang w:val="es-ES"/>
        </w:rPr>
        <w:t>en el PAB y en las Decisiones CMC N° 28/05, 14/18 y 20/19</w:t>
      </w:r>
      <w:bookmarkEnd w:id="3"/>
      <w:r w:rsidR="000A6F37" w:rsidRPr="003221C4">
        <w:rPr>
          <w:rFonts w:cs="Arial"/>
          <w:bCs/>
          <w:i/>
          <w:kern w:val="28"/>
          <w:szCs w:val="24"/>
          <w:lang w:val="es-ES"/>
        </w:rPr>
        <w:t>. Sin perjuicio de ello, las Coordinaciones Nacionales del Estado Plurinacional de Bolivia podrán participar en calidad de observador en las referidas negociaciones</w:t>
      </w:r>
      <w:r w:rsidR="000A6F37" w:rsidRPr="003221C4">
        <w:rPr>
          <w:rFonts w:cs="Arial"/>
          <w:b/>
          <w:bCs/>
          <w:i/>
          <w:kern w:val="28"/>
          <w:szCs w:val="24"/>
          <w:lang w:val="es-ES"/>
        </w:rPr>
        <w:t>”</w:t>
      </w:r>
      <w:r w:rsidR="001B6288" w:rsidRPr="003221C4">
        <w:rPr>
          <w:rFonts w:cs="Arial"/>
          <w:i/>
          <w:kern w:val="28"/>
          <w:szCs w:val="24"/>
          <w:lang w:val="es-ES"/>
        </w:rPr>
        <w:t>.</w:t>
      </w:r>
      <w:r w:rsidR="001B6288" w:rsidRPr="003221C4">
        <w:rPr>
          <w:rFonts w:cs="Arial"/>
          <w:iCs/>
          <w:kern w:val="28"/>
          <w:szCs w:val="24"/>
          <w:lang w:val="es-ES"/>
        </w:rPr>
        <w:t xml:space="preserve"> La </w:t>
      </w:r>
      <w:r w:rsidR="001B6288" w:rsidRPr="003221C4">
        <w:rPr>
          <w:rFonts w:cs="Arial"/>
          <w:iCs/>
          <w:kern w:val="28"/>
          <w:szCs w:val="24"/>
          <w:lang w:val="es-ES"/>
        </w:rPr>
        <w:t xml:space="preserve">Nota de los Coordinadores Nacionales del GMC al Coordinador Nacional de Bolivia ante el GMC </w:t>
      </w:r>
      <w:r w:rsidR="001B6288" w:rsidRPr="003221C4">
        <w:rPr>
          <w:rFonts w:cs="Arial"/>
          <w:iCs/>
          <w:kern w:val="28"/>
          <w:szCs w:val="24"/>
          <w:lang w:val="es-ES"/>
        </w:rPr>
        <w:t>consta como</w:t>
      </w:r>
      <w:r w:rsidR="001B6288" w:rsidRPr="003221C4">
        <w:rPr>
          <w:rFonts w:cs="Arial"/>
          <w:b/>
          <w:bCs/>
          <w:iCs/>
          <w:kern w:val="28"/>
          <w:szCs w:val="24"/>
          <w:lang w:val="es-ES"/>
        </w:rPr>
        <w:t xml:space="preserve"> </w:t>
      </w:r>
      <w:r w:rsidR="00840FC8" w:rsidRPr="003221C4">
        <w:rPr>
          <w:rFonts w:cs="Arial"/>
          <w:b/>
          <w:bCs/>
          <w:kern w:val="28"/>
          <w:szCs w:val="24"/>
          <w:lang w:val="es-ES"/>
        </w:rPr>
        <w:t xml:space="preserve">Anexo </w:t>
      </w:r>
      <w:r w:rsidR="001B6288" w:rsidRPr="003221C4">
        <w:rPr>
          <w:rFonts w:cs="Arial"/>
          <w:b/>
          <w:bCs/>
          <w:kern w:val="28"/>
          <w:szCs w:val="24"/>
          <w:lang w:val="es-ES"/>
        </w:rPr>
        <w:t>VII</w:t>
      </w:r>
      <w:r w:rsidR="00840FC8" w:rsidRPr="003221C4">
        <w:rPr>
          <w:rFonts w:cs="Arial"/>
          <w:b/>
          <w:bCs/>
          <w:kern w:val="28"/>
          <w:szCs w:val="24"/>
          <w:lang w:val="es-ES"/>
        </w:rPr>
        <w:t>.</w:t>
      </w:r>
      <w:r w:rsidR="00840FC8" w:rsidRPr="003221C4">
        <w:rPr>
          <w:rFonts w:cs="Arial"/>
          <w:bCs/>
          <w:kern w:val="28"/>
          <w:szCs w:val="24"/>
          <w:lang w:val="es-ES"/>
        </w:rPr>
        <w:t xml:space="preserve"> </w:t>
      </w:r>
    </w:p>
    <w:p w14:paraId="1343DA70" w14:textId="77777777" w:rsidR="000A6F37" w:rsidRPr="003221C4" w:rsidRDefault="000A6F37" w:rsidP="001C4EBE">
      <w:pPr>
        <w:widowControl w:val="0"/>
        <w:overflowPunct w:val="0"/>
        <w:adjustRightInd w:val="0"/>
        <w:jc w:val="both"/>
        <w:rPr>
          <w:rFonts w:cs="Arial"/>
          <w:bCs/>
          <w:kern w:val="28"/>
          <w:szCs w:val="24"/>
          <w:lang w:val="es-ES"/>
        </w:rPr>
      </w:pPr>
    </w:p>
    <w:p w14:paraId="63AFDE1B" w14:textId="4EFA4763" w:rsidR="00C63577" w:rsidRPr="003221C4" w:rsidRDefault="00840FC8" w:rsidP="001C4EBE">
      <w:pPr>
        <w:widowControl w:val="0"/>
        <w:overflowPunct w:val="0"/>
        <w:adjustRightInd w:val="0"/>
        <w:jc w:val="both"/>
        <w:rPr>
          <w:rFonts w:cs="Arial"/>
          <w:bCs/>
          <w:kern w:val="28"/>
          <w:szCs w:val="24"/>
          <w:lang w:val="es-ES"/>
        </w:rPr>
      </w:pPr>
      <w:r w:rsidRPr="003221C4">
        <w:rPr>
          <w:rFonts w:cs="Arial"/>
          <w:bCs/>
          <w:kern w:val="28"/>
          <w:szCs w:val="24"/>
          <w:lang w:val="es-ES"/>
        </w:rPr>
        <w:t>Por lo</w:t>
      </w:r>
      <w:r w:rsidR="00667A25" w:rsidRPr="003221C4">
        <w:rPr>
          <w:rFonts w:cs="Arial"/>
          <w:bCs/>
          <w:kern w:val="28"/>
          <w:szCs w:val="24"/>
          <w:lang w:val="es-ES"/>
        </w:rPr>
        <w:t xml:space="preserve"> expuesto en el párrafo anterior</w:t>
      </w:r>
      <w:r w:rsidRPr="003221C4">
        <w:rPr>
          <w:rFonts w:cs="Arial"/>
          <w:bCs/>
          <w:kern w:val="28"/>
          <w:szCs w:val="24"/>
          <w:lang w:val="es-ES"/>
        </w:rPr>
        <w:t xml:space="preserve">, se recomienda a la CMV </w:t>
      </w:r>
      <w:r w:rsidR="000A6F37" w:rsidRPr="003221C4">
        <w:rPr>
          <w:rFonts w:cs="Arial"/>
          <w:bCs/>
          <w:kern w:val="28"/>
          <w:szCs w:val="24"/>
          <w:lang w:val="es-ES"/>
        </w:rPr>
        <w:t>tener</w:t>
      </w:r>
      <w:r w:rsidRPr="003221C4">
        <w:rPr>
          <w:rFonts w:cs="Arial"/>
          <w:bCs/>
          <w:kern w:val="28"/>
          <w:szCs w:val="24"/>
          <w:lang w:val="es-ES"/>
        </w:rPr>
        <w:t xml:space="preserve"> en cuenta esta disposición </w:t>
      </w:r>
      <w:r w:rsidR="000A6F37" w:rsidRPr="003221C4">
        <w:rPr>
          <w:rFonts w:cs="Arial"/>
          <w:bCs/>
          <w:kern w:val="28"/>
          <w:szCs w:val="24"/>
          <w:lang w:val="es-ES"/>
        </w:rPr>
        <w:t xml:space="preserve">a </w:t>
      </w:r>
      <w:r w:rsidR="00FF4C50" w:rsidRPr="003221C4">
        <w:rPr>
          <w:rFonts w:cs="Arial"/>
          <w:bCs/>
          <w:kern w:val="28"/>
          <w:szCs w:val="24"/>
          <w:lang w:val="es-ES"/>
        </w:rPr>
        <w:t>los</w:t>
      </w:r>
      <w:r w:rsidR="000A6F37" w:rsidRPr="003221C4">
        <w:rPr>
          <w:rFonts w:cs="Arial"/>
          <w:bCs/>
          <w:kern w:val="28"/>
          <w:szCs w:val="24"/>
          <w:lang w:val="es-ES"/>
        </w:rPr>
        <w:t xml:space="preserve"> efectos</w:t>
      </w:r>
      <w:r w:rsidR="00FF4C50" w:rsidRPr="003221C4">
        <w:rPr>
          <w:rFonts w:cs="Arial"/>
          <w:bCs/>
          <w:kern w:val="28"/>
          <w:szCs w:val="24"/>
          <w:lang w:val="es-ES"/>
        </w:rPr>
        <w:t xml:space="preserve"> que correspondan</w:t>
      </w:r>
      <w:r w:rsidR="000A6F37" w:rsidRPr="003221C4">
        <w:rPr>
          <w:rFonts w:cs="Arial"/>
          <w:bCs/>
          <w:kern w:val="28"/>
          <w:szCs w:val="24"/>
          <w:lang w:val="es-ES"/>
        </w:rPr>
        <w:t xml:space="preserve"> en </w:t>
      </w:r>
      <w:r w:rsidR="00FF4C50" w:rsidRPr="003221C4">
        <w:rPr>
          <w:rFonts w:cs="Arial"/>
          <w:bCs/>
          <w:kern w:val="28"/>
          <w:szCs w:val="24"/>
          <w:lang w:val="es-ES"/>
        </w:rPr>
        <w:t xml:space="preserve">las </w:t>
      </w:r>
      <w:r w:rsidR="000A6F37" w:rsidRPr="003221C4">
        <w:rPr>
          <w:rFonts w:cs="Arial"/>
          <w:bCs/>
          <w:kern w:val="28"/>
          <w:szCs w:val="24"/>
          <w:lang w:val="es-ES"/>
        </w:rPr>
        <w:t>próximas reuniones ordinarias</w:t>
      </w:r>
      <w:r w:rsidR="00FF4C50" w:rsidRPr="003221C4">
        <w:rPr>
          <w:rFonts w:cs="Arial"/>
          <w:bCs/>
          <w:kern w:val="28"/>
          <w:szCs w:val="24"/>
          <w:lang w:val="es-ES"/>
        </w:rPr>
        <w:t xml:space="preserve"> de la comisión</w:t>
      </w:r>
      <w:r w:rsidR="000A6F37" w:rsidRPr="003221C4">
        <w:rPr>
          <w:rFonts w:cs="Arial"/>
          <w:bCs/>
          <w:kern w:val="28"/>
          <w:szCs w:val="24"/>
          <w:lang w:val="es-ES"/>
        </w:rPr>
        <w:t>.</w:t>
      </w:r>
    </w:p>
    <w:p w14:paraId="50831521" w14:textId="77777777" w:rsidR="00667A25" w:rsidRPr="003221C4" w:rsidRDefault="00667A25" w:rsidP="001C4EBE">
      <w:pPr>
        <w:widowControl w:val="0"/>
        <w:overflowPunct w:val="0"/>
        <w:adjustRightInd w:val="0"/>
        <w:jc w:val="both"/>
        <w:rPr>
          <w:rFonts w:cs="Arial"/>
          <w:bCs/>
          <w:kern w:val="28"/>
          <w:szCs w:val="24"/>
          <w:lang w:val="es-ES"/>
        </w:rPr>
      </w:pPr>
    </w:p>
    <w:p w14:paraId="76AA3415" w14:textId="057BA1CB" w:rsidR="00FF4C50" w:rsidRPr="003221C4" w:rsidRDefault="00C63577" w:rsidP="001C4EBE">
      <w:pPr>
        <w:widowControl w:val="0"/>
        <w:overflowPunct w:val="0"/>
        <w:adjustRightInd w:val="0"/>
        <w:jc w:val="both"/>
        <w:rPr>
          <w:rFonts w:cs="Arial"/>
          <w:bCs/>
          <w:kern w:val="28"/>
          <w:szCs w:val="24"/>
          <w:lang w:val="es-ES"/>
        </w:rPr>
      </w:pPr>
      <w:r w:rsidRPr="003221C4">
        <w:rPr>
          <w:rFonts w:cs="Arial"/>
          <w:bCs/>
          <w:kern w:val="28"/>
          <w:szCs w:val="24"/>
          <w:lang w:val="es-ES"/>
        </w:rPr>
        <w:t>Con relación al Informe de Cumplimiento del Programa de Trabajo 2023-2024</w:t>
      </w:r>
      <w:r w:rsidR="001C7E18" w:rsidRPr="003221C4">
        <w:rPr>
          <w:rFonts w:cs="Arial"/>
          <w:bCs/>
          <w:kern w:val="28"/>
          <w:szCs w:val="24"/>
          <w:lang w:val="es-ES"/>
        </w:rPr>
        <w:t xml:space="preserve"> (IC),</w:t>
      </w:r>
      <w:r w:rsidRPr="003221C4">
        <w:rPr>
          <w:rFonts w:cs="Arial"/>
          <w:bCs/>
          <w:kern w:val="28"/>
          <w:szCs w:val="24"/>
          <w:lang w:val="es-ES"/>
        </w:rPr>
        <w:t xml:space="preserve"> </w:t>
      </w:r>
      <w:r w:rsidR="007770D6" w:rsidRPr="003221C4">
        <w:rPr>
          <w:rFonts w:cs="Arial"/>
          <w:bCs/>
          <w:kern w:val="28"/>
          <w:szCs w:val="24"/>
          <w:lang w:val="es-ES"/>
        </w:rPr>
        <w:t>esta</w:t>
      </w:r>
      <w:r w:rsidRPr="003221C4">
        <w:rPr>
          <w:rFonts w:cs="Arial"/>
          <w:bCs/>
          <w:kern w:val="28"/>
          <w:szCs w:val="24"/>
          <w:lang w:val="es-ES"/>
        </w:rPr>
        <w:t xml:space="preserve"> Coordinación Nacional solicitó a la </w:t>
      </w:r>
      <w:r w:rsidR="001C7E18" w:rsidRPr="003221C4">
        <w:rPr>
          <w:rFonts w:cs="Arial"/>
          <w:bCs/>
          <w:kern w:val="28"/>
          <w:szCs w:val="24"/>
          <w:lang w:val="es-ES"/>
        </w:rPr>
        <w:t>CMV</w:t>
      </w:r>
      <w:r w:rsidRPr="003221C4">
        <w:rPr>
          <w:rFonts w:cs="Arial"/>
          <w:bCs/>
          <w:kern w:val="28"/>
          <w:szCs w:val="24"/>
          <w:lang w:val="es-ES"/>
        </w:rPr>
        <w:t xml:space="preserve"> su revisión con relación en las siguientes actividades: </w:t>
      </w:r>
      <w:r w:rsidR="00667A25" w:rsidRPr="003221C4">
        <w:rPr>
          <w:rFonts w:cs="Arial"/>
          <w:bCs/>
          <w:kern w:val="28"/>
          <w:szCs w:val="24"/>
          <w:lang w:val="es-ES"/>
        </w:rPr>
        <w:t>“</w:t>
      </w:r>
      <w:r w:rsidRPr="003221C4">
        <w:rPr>
          <w:rFonts w:cs="Arial"/>
          <w:bCs/>
          <w:kern w:val="28"/>
          <w:szCs w:val="24"/>
          <w:lang w:val="es-ES"/>
        </w:rPr>
        <w:t>Elaborar un Acuerdo para facilitar la integración de los mercados de valores a nivel regional</w:t>
      </w:r>
      <w:r w:rsidR="00667A25" w:rsidRPr="003221C4">
        <w:rPr>
          <w:rFonts w:cs="Arial"/>
          <w:bCs/>
          <w:kern w:val="28"/>
          <w:szCs w:val="24"/>
          <w:lang w:val="es-ES"/>
        </w:rPr>
        <w:t>”</w:t>
      </w:r>
      <w:r w:rsidRPr="003221C4">
        <w:rPr>
          <w:rFonts w:cs="Arial"/>
          <w:bCs/>
          <w:kern w:val="28"/>
          <w:szCs w:val="24"/>
          <w:lang w:val="es-ES"/>
        </w:rPr>
        <w:t xml:space="preserve"> y </w:t>
      </w:r>
      <w:r w:rsidR="00667A25" w:rsidRPr="003221C4">
        <w:rPr>
          <w:rFonts w:cs="Arial"/>
          <w:bCs/>
          <w:kern w:val="28"/>
          <w:szCs w:val="24"/>
          <w:lang w:val="es-ES"/>
        </w:rPr>
        <w:t>“</w:t>
      </w:r>
      <w:r w:rsidRPr="003221C4">
        <w:rPr>
          <w:rFonts w:cs="Arial"/>
          <w:bCs/>
          <w:kern w:val="28"/>
          <w:szCs w:val="24"/>
          <w:lang w:val="es-ES"/>
        </w:rPr>
        <w:t xml:space="preserve">Elaborar un Acuerdo para permitir la venta de valores negociables entre los </w:t>
      </w:r>
      <w:proofErr w:type="gramStart"/>
      <w:r w:rsidRPr="003221C4">
        <w:rPr>
          <w:rFonts w:cs="Arial"/>
          <w:bCs/>
          <w:kern w:val="28"/>
          <w:szCs w:val="24"/>
          <w:lang w:val="es-ES"/>
        </w:rPr>
        <w:t>Estados Partes</w:t>
      </w:r>
      <w:proofErr w:type="gramEnd"/>
      <w:r w:rsidRPr="003221C4">
        <w:rPr>
          <w:rFonts w:cs="Arial"/>
          <w:bCs/>
          <w:kern w:val="28"/>
          <w:szCs w:val="24"/>
          <w:lang w:val="es-ES"/>
        </w:rPr>
        <w:t xml:space="preserve"> con un solo registro</w:t>
      </w:r>
      <w:r w:rsidR="00667A25" w:rsidRPr="003221C4">
        <w:rPr>
          <w:rFonts w:cs="Arial"/>
          <w:bCs/>
          <w:kern w:val="28"/>
          <w:szCs w:val="24"/>
          <w:lang w:val="es-ES"/>
        </w:rPr>
        <w:t>”</w:t>
      </w:r>
      <w:r w:rsidR="001C7E18" w:rsidRPr="003221C4">
        <w:rPr>
          <w:rFonts w:cs="Arial"/>
          <w:bCs/>
          <w:kern w:val="28"/>
          <w:szCs w:val="24"/>
          <w:lang w:val="es-ES"/>
        </w:rPr>
        <w:t>.</w:t>
      </w:r>
      <w:r w:rsidR="00667A25" w:rsidRPr="003221C4">
        <w:rPr>
          <w:rFonts w:cs="Arial"/>
          <w:bCs/>
          <w:kern w:val="28"/>
          <w:szCs w:val="24"/>
          <w:lang w:val="es-ES"/>
        </w:rPr>
        <w:t xml:space="preserve"> </w:t>
      </w:r>
      <w:r w:rsidR="001C7E18" w:rsidRPr="003221C4">
        <w:rPr>
          <w:rFonts w:cs="Arial"/>
          <w:bCs/>
          <w:kern w:val="28"/>
          <w:szCs w:val="24"/>
          <w:lang w:val="es-ES"/>
        </w:rPr>
        <w:t xml:space="preserve">La revisión obedece a que </w:t>
      </w:r>
      <w:r w:rsidR="00FF4C50" w:rsidRPr="003221C4">
        <w:rPr>
          <w:rFonts w:cs="Arial"/>
          <w:bCs/>
          <w:kern w:val="28"/>
          <w:szCs w:val="24"/>
          <w:lang w:val="es-ES"/>
        </w:rPr>
        <w:t>la CMV señaló en</w:t>
      </w:r>
      <w:r w:rsidR="00FF4C50" w:rsidRPr="003221C4">
        <w:t xml:space="preserve"> su </w:t>
      </w:r>
      <w:r w:rsidR="00FF4C50" w:rsidRPr="003221C4">
        <w:rPr>
          <w:rFonts w:cs="Arial"/>
          <w:bCs/>
          <w:kern w:val="28"/>
          <w:szCs w:val="24"/>
          <w:lang w:val="es-ES"/>
        </w:rPr>
        <w:t>Informe de Cumplimiento del Programa de Trabajo del período 2023-2024 que esta</w:t>
      </w:r>
      <w:r w:rsidR="008B1894" w:rsidRPr="003221C4">
        <w:rPr>
          <w:rFonts w:cs="Arial"/>
          <w:bCs/>
          <w:kern w:val="28"/>
          <w:szCs w:val="24"/>
          <w:lang w:val="es-ES"/>
        </w:rPr>
        <w:t>s</w:t>
      </w:r>
      <w:r w:rsidR="00FF4C50" w:rsidRPr="003221C4">
        <w:rPr>
          <w:rFonts w:cs="Arial"/>
          <w:bCs/>
          <w:kern w:val="28"/>
          <w:szCs w:val="24"/>
          <w:lang w:val="es-ES"/>
        </w:rPr>
        <w:t xml:space="preserve"> actividad</w:t>
      </w:r>
      <w:r w:rsidR="008B1894" w:rsidRPr="003221C4">
        <w:rPr>
          <w:rFonts w:cs="Arial"/>
          <w:bCs/>
          <w:kern w:val="28"/>
          <w:szCs w:val="24"/>
          <w:lang w:val="es-ES"/>
        </w:rPr>
        <w:t>es</w:t>
      </w:r>
      <w:r w:rsidR="00FF4C50" w:rsidRPr="003221C4">
        <w:rPr>
          <w:rFonts w:cs="Arial"/>
          <w:bCs/>
          <w:kern w:val="28"/>
          <w:szCs w:val="24"/>
          <w:lang w:val="es-ES"/>
        </w:rPr>
        <w:t xml:space="preserve"> se encuentra</w:t>
      </w:r>
      <w:r w:rsidR="008B1894" w:rsidRPr="003221C4">
        <w:rPr>
          <w:rFonts w:cs="Arial"/>
          <w:bCs/>
          <w:kern w:val="28"/>
          <w:szCs w:val="24"/>
          <w:lang w:val="es-ES"/>
        </w:rPr>
        <w:t>n</w:t>
      </w:r>
      <w:r w:rsidR="00FF4C50" w:rsidRPr="003221C4">
        <w:rPr>
          <w:rFonts w:cs="Arial"/>
          <w:bCs/>
          <w:kern w:val="28"/>
          <w:szCs w:val="24"/>
          <w:lang w:val="es-ES"/>
        </w:rPr>
        <w:t xml:space="preserve"> “</w:t>
      </w:r>
      <w:r w:rsidR="00FF4C50" w:rsidRPr="003221C4">
        <w:rPr>
          <w:rFonts w:cs="Arial"/>
          <w:bCs/>
          <w:i/>
          <w:kern w:val="28"/>
          <w:szCs w:val="24"/>
          <w:lang w:val="es-ES"/>
        </w:rPr>
        <w:t>Con dificultades</w:t>
      </w:r>
      <w:r w:rsidR="00FF4C50" w:rsidRPr="003221C4">
        <w:rPr>
          <w:rFonts w:cs="Arial"/>
          <w:bCs/>
          <w:kern w:val="28"/>
          <w:szCs w:val="24"/>
          <w:lang w:val="es-ES"/>
        </w:rPr>
        <w:t>” observando “</w:t>
      </w:r>
      <w:r w:rsidR="00FF4C50" w:rsidRPr="003221C4">
        <w:rPr>
          <w:rFonts w:cs="Arial"/>
          <w:bCs/>
          <w:i/>
          <w:kern w:val="28"/>
          <w:szCs w:val="24"/>
          <w:lang w:val="es-ES"/>
        </w:rPr>
        <w:t>en espera de modificación legal de Bolivia</w:t>
      </w:r>
      <w:r w:rsidR="00FF4C50" w:rsidRPr="003221C4">
        <w:rPr>
          <w:rFonts w:cs="Arial"/>
          <w:bCs/>
          <w:kern w:val="28"/>
          <w:szCs w:val="24"/>
          <w:lang w:val="es-ES"/>
        </w:rPr>
        <w:t>”</w:t>
      </w:r>
      <w:r w:rsidR="001C7E18" w:rsidRPr="003221C4">
        <w:rPr>
          <w:rFonts w:cs="Arial"/>
          <w:bCs/>
          <w:kern w:val="28"/>
          <w:szCs w:val="24"/>
          <w:lang w:val="es-ES"/>
        </w:rPr>
        <w:t xml:space="preserve"> y teniendo en cuenta lo señalado anteriormente no se corresponde</w:t>
      </w:r>
      <w:r w:rsidR="008B1894" w:rsidRPr="003221C4">
        <w:rPr>
          <w:rFonts w:cs="Arial"/>
          <w:bCs/>
          <w:kern w:val="28"/>
          <w:szCs w:val="24"/>
          <w:lang w:val="es-ES"/>
        </w:rPr>
        <w:t>n</w:t>
      </w:r>
      <w:r w:rsidR="001C7E18" w:rsidRPr="003221C4">
        <w:rPr>
          <w:rFonts w:cs="Arial"/>
          <w:bCs/>
          <w:kern w:val="28"/>
          <w:szCs w:val="24"/>
          <w:lang w:val="es-ES"/>
        </w:rPr>
        <w:t xml:space="preserve"> con las instrucciones indicadas en el PAB y en las Decisiones CMC </w:t>
      </w:r>
      <w:proofErr w:type="spellStart"/>
      <w:r w:rsidR="001C7E18" w:rsidRPr="003221C4">
        <w:rPr>
          <w:rFonts w:cs="Arial"/>
          <w:bCs/>
          <w:kern w:val="28"/>
          <w:szCs w:val="24"/>
          <w:lang w:val="es-ES"/>
        </w:rPr>
        <w:t>N°</w:t>
      </w:r>
      <w:proofErr w:type="spellEnd"/>
      <w:r w:rsidR="001C7E18" w:rsidRPr="003221C4">
        <w:rPr>
          <w:rFonts w:cs="Arial"/>
          <w:bCs/>
          <w:kern w:val="28"/>
          <w:szCs w:val="24"/>
          <w:lang w:val="es-ES"/>
        </w:rPr>
        <w:t xml:space="preserve"> 28/05, 14/18 y 20/19 al respecto, </w:t>
      </w:r>
      <w:r w:rsidR="0048749F" w:rsidRPr="003221C4">
        <w:rPr>
          <w:rFonts w:cs="Arial"/>
          <w:bCs/>
          <w:kern w:val="28"/>
          <w:szCs w:val="24"/>
          <w:lang w:val="es-ES"/>
        </w:rPr>
        <w:t>debiendo presentar</w:t>
      </w:r>
      <w:r w:rsidR="001C7E18" w:rsidRPr="003221C4">
        <w:rPr>
          <w:rFonts w:cs="Arial"/>
          <w:bCs/>
          <w:kern w:val="28"/>
          <w:szCs w:val="24"/>
          <w:lang w:val="es-ES"/>
        </w:rPr>
        <w:t xml:space="preserve"> </w:t>
      </w:r>
      <w:r w:rsidR="00382129" w:rsidRPr="003221C4">
        <w:rPr>
          <w:rFonts w:cs="Arial"/>
          <w:bCs/>
          <w:kern w:val="28"/>
          <w:szCs w:val="24"/>
          <w:lang w:val="es-ES"/>
        </w:rPr>
        <w:t>dicho</w:t>
      </w:r>
      <w:r w:rsidR="001C7E18" w:rsidRPr="003221C4">
        <w:rPr>
          <w:rFonts w:cs="Arial"/>
          <w:bCs/>
          <w:kern w:val="28"/>
          <w:szCs w:val="24"/>
          <w:lang w:val="es-ES"/>
        </w:rPr>
        <w:t xml:space="preserve"> IC </w:t>
      </w:r>
      <w:r w:rsidR="008B1894" w:rsidRPr="003221C4">
        <w:rPr>
          <w:rFonts w:cs="Arial"/>
          <w:bCs/>
          <w:kern w:val="28"/>
          <w:szCs w:val="24"/>
          <w:lang w:val="es-ES"/>
        </w:rPr>
        <w:t xml:space="preserve">ajustado </w:t>
      </w:r>
      <w:r w:rsidR="003968D1" w:rsidRPr="003221C4">
        <w:rPr>
          <w:rFonts w:cs="Arial"/>
          <w:bCs/>
          <w:kern w:val="28"/>
          <w:szCs w:val="24"/>
          <w:lang w:val="es-ES"/>
        </w:rPr>
        <w:t>en su próxima reunión.</w:t>
      </w:r>
    </w:p>
    <w:p w14:paraId="08B4E1E2" w14:textId="77777777" w:rsidR="00FF4C50" w:rsidRPr="003221C4" w:rsidRDefault="00FF4C50" w:rsidP="001C4EBE">
      <w:pPr>
        <w:widowControl w:val="0"/>
        <w:overflowPunct w:val="0"/>
        <w:adjustRightInd w:val="0"/>
        <w:jc w:val="both"/>
        <w:rPr>
          <w:rFonts w:cs="Arial"/>
          <w:bCs/>
          <w:kern w:val="28"/>
          <w:szCs w:val="24"/>
          <w:lang w:val="es-ES"/>
        </w:rPr>
      </w:pPr>
    </w:p>
    <w:p w14:paraId="48F4A1B9" w14:textId="77777777" w:rsidR="001C4EBE" w:rsidRPr="003221C4" w:rsidRDefault="001C4EBE" w:rsidP="00C44A8D">
      <w:pPr>
        <w:widowControl w:val="0"/>
        <w:overflowPunct w:val="0"/>
        <w:adjustRightInd w:val="0"/>
        <w:ind w:left="1134" w:hanging="567"/>
        <w:jc w:val="both"/>
        <w:rPr>
          <w:rFonts w:cs="Arial"/>
          <w:b/>
          <w:kern w:val="28"/>
          <w:szCs w:val="24"/>
          <w:lang w:val="es-ES"/>
        </w:rPr>
      </w:pPr>
      <w:r w:rsidRPr="003221C4">
        <w:rPr>
          <w:rFonts w:cs="Arial"/>
          <w:b/>
          <w:kern w:val="28"/>
          <w:szCs w:val="24"/>
          <w:lang w:val="es-ES"/>
        </w:rPr>
        <w:t>3.3.</w:t>
      </w:r>
      <w:r w:rsidRPr="003221C4">
        <w:rPr>
          <w:rFonts w:cs="Arial"/>
          <w:b/>
          <w:kern w:val="28"/>
          <w:szCs w:val="24"/>
          <w:lang w:val="es-ES"/>
        </w:rPr>
        <w:tab/>
        <w:t>Comisión de Seguros</w:t>
      </w:r>
      <w:r w:rsidR="00A46A87" w:rsidRPr="003221C4">
        <w:rPr>
          <w:rFonts w:cs="Arial"/>
          <w:b/>
          <w:kern w:val="28"/>
          <w:szCs w:val="24"/>
          <w:lang w:val="es-ES"/>
        </w:rPr>
        <w:t xml:space="preserve"> (CS)</w:t>
      </w:r>
    </w:p>
    <w:p w14:paraId="6BED2181" w14:textId="77777777" w:rsidR="00B011F1" w:rsidRPr="003221C4" w:rsidRDefault="00B011F1" w:rsidP="001C4EBE">
      <w:pPr>
        <w:widowControl w:val="0"/>
        <w:overflowPunct w:val="0"/>
        <w:adjustRightInd w:val="0"/>
        <w:jc w:val="both"/>
        <w:rPr>
          <w:rFonts w:cs="Arial"/>
          <w:b/>
          <w:kern w:val="28"/>
          <w:szCs w:val="24"/>
          <w:lang w:val="es-ES"/>
        </w:rPr>
      </w:pPr>
    </w:p>
    <w:p w14:paraId="032B2FE7" w14:textId="72FAA489" w:rsidR="00B011F1" w:rsidRPr="003221C4" w:rsidRDefault="00041F7E" w:rsidP="001C4EBE">
      <w:pPr>
        <w:widowControl w:val="0"/>
        <w:overflowPunct w:val="0"/>
        <w:adjustRightInd w:val="0"/>
        <w:jc w:val="both"/>
        <w:rPr>
          <w:rFonts w:cs="Arial"/>
          <w:b/>
          <w:kern w:val="28"/>
          <w:szCs w:val="24"/>
          <w:lang w:val="es-ES"/>
        </w:rPr>
      </w:pPr>
      <w:r w:rsidRPr="003221C4">
        <w:rPr>
          <w:rFonts w:cs="Arial"/>
          <w:bCs/>
          <w:kern w:val="28"/>
          <w:szCs w:val="24"/>
          <w:lang w:val="es-ES"/>
        </w:rPr>
        <w:t>La Coordinació</w:t>
      </w:r>
      <w:r w:rsidR="00BD103A" w:rsidRPr="003221C4">
        <w:rPr>
          <w:rFonts w:cs="Arial"/>
          <w:bCs/>
          <w:kern w:val="28"/>
          <w:szCs w:val="24"/>
          <w:lang w:val="es-ES"/>
        </w:rPr>
        <w:t>n Nacional recibió el Acta N° 02</w:t>
      </w:r>
      <w:r w:rsidRPr="003221C4">
        <w:rPr>
          <w:rFonts w:cs="Arial"/>
          <w:bCs/>
          <w:kern w:val="28"/>
          <w:szCs w:val="24"/>
          <w:lang w:val="es-ES"/>
        </w:rPr>
        <w:t xml:space="preserve">/24 de la reunión de la Comisión de Seguros, realizada por medio del sistema de videoconferencia, conforme se establece en la Resolución GMC N° 19/12 “Reuniones por el sistema de videoconferencia”, los días </w:t>
      </w:r>
      <w:r w:rsidR="00BD103A" w:rsidRPr="003221C4">
        <w:rPr>
          <w:rFonts w:cs="Arial"/>
          <w:bCs/>
          <w:kern w:val="28"/>
          <w:szCs w:val="24"/>
          <w:lang w:val="es-ES"/>
        </w:rPr>
        <w:t>7</w:t>
      </w:r>
      <w:r w:rsidRPr="003221C4">
        <w:rPr>
          <w:rFonts w:cs="Arial"/>
          <w:bCs/>
          <w:kern w:val="28"/>
          <w:szCs w:val="24"/>
          <w:lang w:val="es-ES"/>
        </w:rPr>
        <w:t xml:space="preserve"> al </w:t>
      </w:r>
      <w:r w:rsidR="00BD103A" w:rsidRPr="003221C4">
        <w:rPr>
          <w:rFonts w:cs="Arial"/>
          <w:bCs/>
          <w:kern w:val="28"/>
          <w:szCs w:val="24"/>
          <w:lang w:val="es-ES"/>
        </w:rPr>
        <w:t>9</w:t>
      </w:r>
      <w:r w:rsidRPr="003221C4">
        <w:rPr>
          <w:rFonts w:cs="Arial"/>
          <w:bCs/>
          <w:kern w:val="28"/>
          <w:szCs w:val="24"/>
          <w:lang w:val="es-ES"/>
        </w:rPr>
        <w:t xml:space="preserve"> de </w:t>
      </w:r>
      <w:r w:rsidR="00BD103A" w:rsidRPr="003221C4">
        <w:rPr>
          <w:rFonts w:cs="Arial"/>
          <w:bCs/>
          <w:kern w:val="28"/>
          <w:szCs w:val="24"/>
          <w:lang w:val="es-ES"/>
        </w:rPr>
        <w:t>octubre</w:t>
      </w:r>
      <w:r w:rsidRPr="003221C4">
        <w:rPr>
          <w:rFonts w:cs="Arial"/>
          <w:bCs/>
          <w:kern w:val="28"/>
          <w:szCs w:val="24"/>
          <w:lang w:val="es-ES"/>
        </w:rPr>
        <w:t xml:space="preserve"> de 2024. El Acta y los anexos de la reunión constan como</w:t>
      </w:r>
      <w:r w:rsidRPr="003221C4">
        <w:rPr>
          <w:rFonts w:cs="Arial"/>
          <w:b/>
          <w:kern w:val="28"/>
          <w:szCs w:val="24"/>
          <w:lang w:val="es-ES"/>
        </w:rPr>
        <w:t xml:space="preserve"> Anexo </w:t>
      </w:r>
      <w:r w:rsidR="000C7B00" w:rsidRPr="003221C4">
        <w:rPr>
          <w:rFonts w:cs="Arial"/>
          <w:b/>
          <w:kern w:val="28"/>
          <w:szCs w:val="24"/>
          <w:lang w:val="es-ES"/>
        </w:rPr>
        <w:t>V</w:t>
      </w:r>
      <w:r w:rsidR="00251CC0" w:rsidRPr="003221C4">
        <w:rPr>
          <w:rFonts w:cs="Arial"/>
          <w:b/>
          <w:kern w:val="28"/>
          <w:szCs w:val="24"/>
          <w:lang w:val="es-ES"/>
        </w:rPr>
        <w:t>I</w:t>
      </w:r>
      <w:r w:rsidR="000C7B00" w:rsidRPr="003221C4">
        <w:rPr>
          <w:rFonts w:cs="Arial"/>
          <w:b/>
          <w:kern w:val="28"/>
          <w:szCs w:val="24"/>
          <w:lang w:val="es-ES"/>
        </w:rPr>
        <w:t>I</w:t>
      </w:r>
      <w:r w:rsidR="008B1894" w:rsidRPr="003221C4">
        <w:rPr>
          <w:rFonts w:cs="Arial"/>
          <w:b/>
          <w:kern w:val="28"/>
          <w:szCs w:val="24"/>
          <w:lang w:val="es-ES"/>
        </w:rPr>
        <w:t>I</w:t>
      </w:r>
      <w:r w:rsidRPr="003221C4">
        <w:rPr>
          <w:rFonts w:cs="Arial"/>
          <w:b/>
          <w:kern w:val="28"/>
          <w:szCs w:val="24"/>
          <w:lang w:val="es-ES"/>
        </w:rPr>
        <w:t>.</w:t>
      </w:r>
    </w:p>
    <w:p w14:paraId="1DFE3492" w14:textId="77777777" w:rsidR="008B1894" w:rsidRPr="003221C4" w:rsidRDefault="008B1894" w:rsidP="001C4EBE">
      <w:pPr>
        <w:widowControl w:val="0"/>
        <w:overflowPunct w:val="0"/>
        <w:adjustRightInd w:val="0"/>
        <w:jc w:val="both"/>
        <w:rPr>
          <w:rFonts w:cs="Arial"/>
          <w:b/>
          <w:kern w:val="28"/>
          <w:szCs w:val="24"/>
          <w:lang w:val="es-ES"/>
        </w:rPr>
      </w:pPr>
    </w:p>
    <w:p w14:paraId="1D6C9416" w14:textId="77777777" w:rsidR="008B1894" w:rsidRPr="003221C4" w:rsidRDefault="008B1894" w:rsidP="001C4EBE">
      <w:pPr>
        <w:widowControl w:val="0"/>
        <w:overflowPunct w:val="0"/>
        <w:adjustRightInd w:val="0"/>
        <w:jc w:val="both"/>
        <w:rPr>
          <w:rFonts w:cs="Arial"/>
          <w:b/>
          <w:kern w:val="28"/>
          <w:szCs w:val="24"/>
          <w:lang w:val="es-ES"/>
        </w:rPr>
      </w:pPr>
    </w:p>
    <w:p w14:paraId="04341136" w14:textId="77777777" w:rsidR="001C4EBE" w:rsidRPr="003221C4" w:rsidRDefault="001C4EBE" w:rsidP="001C4EBE">
      <w:pPr>
        <w:widowControl w:val="0"/>
        <w:overflowPunct w:val="0"/>
        <w:adjustRightInd w:val="0"/>
        <w:jc w:val="both"/>
        <w:rPr>
          <w:rFonts w:cs="Arial"/>
          <w:b/>
          <w:kern w:val="28"/>
          <w:szCs w:val="24"/>
          <w:lang w:val="es-ES"/>
        </w:rPr>
      </w:pPr>
    </w:p>
    <w:p w14:paraId="5C8506A1" w14:textId="79ED5772" w:rsidR="001C4EBE" w:rsidRPr="003221C4" w:rsidRDefault="001C4EBE" w:rsidP="00202838">
      <w:pPr>
        <w:widowControl w:val="0"/>
        <w:overflowPunct w:val="0"/>
        <w:adjustRightInd w:val="0"/>
        <w:ind w:left="1134" w:hanging="567"/>
        <w:jc w:val="both"/>
        <w:rPr>
          <w:rFonts w:cs="Arial"/>
          <w:b/>
          <w:kern w:val="28"/>
          <w:szCs w:val="24"/>
          <w:lang w:val="es-ES"/>
        </w:rPr>
      </w:pPr>
      <w:r w:rsidRPr="003221C4">
        <w:rPr>
          <w:rFonts w:cs="Arial"/>
          <w:b/>
          <w:kern w:val="28"/>
          <w:szCs w:val="24"/>
          <w:lang w:val="es-ES"/>
        </w:rPr>
        <w:lastRenderedPageBreak/>
        <w:t>3.4.</w:t>
      </w:r>
      <w:r w:rsidRPr="003221C4">
        <w:rPr>
          <w:rFonts w:cs="Arial"/>
          <w:b/>
          <w:kern w:val="28"/>
          <w:szCs w:val="24"/>
          <w:lang w:val="es-ES"/>
        </w:rPr>
        <w:tab/>
        <w:t>Comisión del Sistema Bancario</w:t>
      </w:r>
      <w:r w:rsidR="00A46A87" w:rsidRPr="003221C4">
        <w:rPr>
          <w:rFonts w:cs="Arial"/>
          <w:b/>
          <w:kern w:val="28"/>
          <w:szCs w:val="24"/>
          <w:lang w:val="es-ES"/>
        </w:rPr>
        <w:t xml:space="preserve"> (CSB)</w:t>
      </w:r>
      <w:r w:rsidR="00DF0E6D" w:rsidRPr="003221C4">
        <w:rPr>
          <w:rFonts w:cs="Arial"/>
          <w:b/>
          <w:kern w:val="28"/>
          <w:szCs w:val="24"/>
          <w:lang w:val="es-ES"/>
        </w:rPr>
        <w:t xml:space="preserve"> </w:t>
      </w:r>
    </w:p>
    <w:p w14:paraId="765C294C" w14:textId="77777777" w:rsidR="00A46A87" w:rsidRPr="003221C4" w:rsidRDefault="00A46A87" w:rsidP="001C4EBE">
      <w:pPr>
        <w:widowControl w:val="0"/>
        <w:overflowPunct w:val="0"/>
        <w:adjustRightInd w:val="0"/>
        <w:jc w:val="both"/>
        <w:rPr>
          <w:rFonts w:cs="Arial"/>
          <w:b/>
          <w:kern w:val="28"/>
          <w:szCs w:val="24"/>
          <w:lang w:val="es-ES"/>
        </w:rPr>
      </w:pPr>
    </w:p>
    <w:p w14:paraId="48A94E82" w14:textId="002FF6D9" w:rsidR="00041F7E" w:rsidRPr="003221C4" w:rsidRDefault="00041F7E" w:rsidP="00041F7E">
      <w:pPr>
        <w:jc w:val="both"/>
        <w:rPr>
          <w:rFonts w:cs="Arial"/>
          <w:b/>
          <w:bCs/>
          <w:szCs w:val="24"/>
          <w:lang w:val="es-UY"/>
        </w:rPr>
      </w:pPr>
      <w:r w:rsidRPr="003221C4">
        <w:rPr>
          <w:rFonts w:cs="Arial"/>
          <w:szCs w:val="24"/>
          <w:lang w:val="es-UY"/>
        </w:rPr>
        <w:t>La Coordinación Nacional recibió el Acta N° 0</w:t>
      </w:r>
      <w:r w:rsidR="00BD103A" w:rsidRPr="003221C4">
        <w:rPr>
          <w:rFonts w:cs="Arial"/>
          <w:szCs w:val="24"/>
          <w:lang w:val="es-UY"/>
        </w:rPr>
        <w:t>2</w:t>
      </w:r>
      <w:r w:rsidRPr="003221C4">
        <w:rPr>
          <w:rFonts w:cs="Arial"/>
          <w:szCs w:val="24"/>
          <w:lang w:val="es-UY"/>
        </w:rPr>
        <w:t xml:space="preserve">/24 de la reunión de la Comisión del Sistema Bancario (CSB), realizada por medio del sistema de videoconferencia, conforme se establece en la Resolución GMC N° 19/12 “Reuniones por el sistema de videoconferencia”, los días </w:t>
      </w:r>
      <w:r w:rsidR="00BD103A" w:rsidRPr="003221C4">
        <w:rPr>
          <w:rFonts w:cs="Arial"/>
          <w:szCs w:val="24"/>
          <w:lang w:val="es-UY"/>
        </w:rPr>
        <w:t>7</w:t>
      </w:r>
      <w:r w:rsidRPr="003221C4">
        <w:rPr>
          <w:rFonts w:cs="Arial"/>
          <w:szCs w:val="24"/>
          <w:lang w:val="es-UY"/>
        </w:rPr>
        <w:t xml:space="preserve"> al </w:t>
      </w:r>
      <w:r w:rsidR="00035202" w:rsidRPr="003221C4">
        <w:rPr>
          <w:rFonts w:cs="Arial"/>
          <w:szCs w:val="24"/>
          <w:lang w:val="es-UY"/>
        </w:rPr>
        <w:t>9</w:t>
      </w:r>
      <w:r w:rsidRPr="003221C4">
        <w:rPr>
          <w:rFonts w:cs="Arial"/>
          <w:szCs w:val="24"/>
          <w:lang w:val="es-UY"/>
        </w:rPr>
        <w:t xml:space="preserve"> de o</w:t>
      </w:r>
      <w:r w:rsidR="00BD103A" w:rsidRPr="003221C4">
        <w:rPr>
          <w:rFonts w:cs="Arial"/>
          <w:szCs w:val="24"/>
          <w:lang w:val="es-UY"/>
        </w:rPr>
        <w:t>ctubre</w:t>
      </w:r>
      <w:r w:rsidRPr="003221C4">
        <w:rPr>
          <w:rFonts w:cs="Arial"/>
          <w:szCs w:val="24"/>
          <w:lang w:val="es-UY"/>
        </w:rPr>
        <w:t xml:space="preserve"> de 2024. El Acta y los anexos de la reunión constan como </w:t>
      </w:r>
      <w:r w:rsidRPr="003221C4">
        <w:rPr>
          <w:rFonts w:cs="Arial"/>
          <w:b/>
          <w:bCs/>
          <w:szCs w:val="24"/>
          <w:lang w:val="es-UY"/>
        </w:rPr>
        <w:t xml:space="preserve">Anexo </w:t>
      </w:r>
      <w:r w:rsidR="008B1894" w:rsidRPr="003221C4">
        <w:rPr>
          <w:rFonts w:cs="Arial"/>
          <w:b/>
          <w:bCs/>
          <w:szCs w:val="24"/>
          <w:lang w:val="es-UY"/>
        </w:rPr>
        <w:t>IX</w:t>
      </w:r>
      <w:r w:rsidRPr="003221C4">
        <w:rPr>
          <w:rFonts w:cs="Arial"/>
          <w:b/>
          <w:bCs/>
          <w:szCs w:val="24"/>
          <w:lang w:val="es-UY"/>
        </w:rPr>
        <w:t>.</w:t>
      </w:r>
    </w:p>
    <w:p w14:paraId="1707DC35" w14:textId="77777777" w:rsidR="00816A6D" w:rsidRPr="003221C4" w:rsidRDefault="00816A6D" w:rsidP="00041F7E">
      <w:pPr>
        <w:jc w:val="both"/>
        <w:rPr>
          <w:rFonts w:cs="Arial"/>
          <w:b/>
          <w:bCs/>
          <w:szCs w:val="24"/>
          <w:highlight w:val="yellow"/>
          <w:lang w:val="es-UY"/>
        </w:rPr>
      </w:pPr>
    </w:p>
    <w:p w14:paraId="724F7C70" w14:textId="28F42C36" w:rsidR="00816A6D" w:rsidRPr="003221C4" w:rsidRDefault="00816A6D" w:rsidP="001C4EBE">
      <w:pPr>
        <w:widowControl w:val="0"/>
        <w:overflowPunct w:val="0"/>
        <w:adjustRightInd w:val="0"/>
        <w:jc w:val="both"/>
        <w:rPr>
          <w:rFonts w:cs="Arial"/>
          <w:bCs/>
          <w:kern w:val="28"/>
          <w:szCs w:val="24"/>
          <w:lang w:val="es-ES"/>
        </w:rPr>
      </w:pPr>
      <w:r w:rsidRPr="003221C4">
        <w:rPr>
          <w:rFonts w:cs="Arial"/>
          <w:bCs/>
          <w:kern w:val="28"/>
          <w:szCs w:val="24"/>
          <w:lang w:val="es-ES"/>
        </w:rPr>
        <w:t xml:space="preserve">Asimismo, la Coordinación Nacional recibió los documentos a ser remitidos a la SM/UCIM para su publicación de conformidad a lo establecido en la Resolución GMC </w:t>
      </w:r>
      <w:proofErr w:type="spellStart"/>
      <w:r w:rsidRPr="003221C4">
        <w:rPr>
          <w:rFonts w:cs="Arial"/>
          <w:bCs/>
          <w:kern w:val="28"/>
          <w:szCs w:val="24"/>
          <w:lang w:val="es-ES"/>
        </w:rPr>
        <w:t>N°</w:t>
      </w:r>
      <w:proofErr w:type="spellEnd"/>
      <w:r w:rsidRPr="003221C4">
        <w:rPr>
          <w:rFonts w:cs="Arial"/>
          <w:bCs/>
          <w:kern w:val="28"/>
          <w:szCs w:val="24"/>
          <w:lang w:val="es-ES"/>
        </w:rPr>
        <w:t xml:space="preserve"> 32/22.</w:t>
      </w:r>
    </w:p>
    <w:p w14:paraId="0BE0B0D6" w14:textId="77777777" w:rsidR="001C4EBE" w:rsidRPr="003221C4" w:rsidRDefault="001C4EBE" w:rsidP="001C4EBE">
      <w:pPr>
        <w:widowControl w:val="0"/>
        <w:overflowPunct w:val="0"/>
        <w:adjustRightInd w:val="0"/>
        <w:jc w:val="both"/>
        <w:rPr>
          <w:rFonts w:cs="Arial"/>
          <w:b/>
          <w:kern w:val="28"/>
          <w:szCs w:val="24"/>
          <w:lang w:val="es-ES"/>
        </w:rPr>
      </w:pPr>
    </w:p>
    <w:p w14:paraId="45ECB1B2" w14:textId="7BEC6FB1" w:rsidR="001C4EBE" w:rsidRPr="003221C4" w:rsidRDefault="001C4EBE" w:rsidP="00202838">
      <w:pPr>
        <w:widowControl w:val="0"/>
        <w:overflowPunct w:val="0"/>
        <w:adjustRightInd w:val="0"/>
        <w:ind w:left="1134" w:hanging="567"/>
        <w:jc w:val="both"/>
        <w:rPr>
          <w:rFonts w:cs="Arial"/>
          <w:b/>
          <w:kern w:val="28"/>
          <w:szCs w:val="24"/>
          <w:lang w:val="es-ES"/>
        </w:rPr>
      </w:pPr>
      <w:r w:rsidRPr="003221C4">
        <w:rPr>
          <w:rFonts w:cs="Arial"/>
          <w:b/>
          <w:kern w:val="28"/>
          <w:szCs w:val="24"/>
          <w:lang w:val="es-ES"/>
        </w:rPr>
        <w:t>3.5.</w:t>
      </w:r>
      <w:r w:rsidRPr="003221C4">
        <w:rPr>
          <w:rFonts w:cs="Arial"/>
          <w:b/>
          <w:kern w:val="28"/>
          <w:szCs w:val="24"/>
          <w:lang w:val="es-ES"/>
        </w:rPr>
        <w:tab/>
        <w:t>Comisión de Prevención del Lavado de Dinero y Financiamiento del Terrorismo</w:t>
      </w:r>
      <w:r w:rsidR="00A46A87" w:rsidRPr="003221C4">
        <w:rPr>
          <w:rFonts w:cs="Arial"/>
          <w:b/>
          <w:kern w:val="28"/>
          <w:szCs w:val="24"/>
          <w:lang w:val="es-ES"/>
        </w:rPr>
        <w:t xml:space="preserve"> (CPLDFT)</w:t>
      </w:r>
      <w:r w:rsidR="00DF0E6D" w:rsidRPr="003221C4">
        <w:rPr>
          <w:rFonts w:cs="Arial"/>
          <w:b/>
          <w:kern w:val="28"/>
          <w:szCs w:val="24"/>
          <w:lang w:val="es-ES"/>
        </w:rPr>
        <w:t xml:space="preserve"> </w:t>
      </w:r>
    </w:p>
    <w:p w14:paraId="2469DD19" w14:textId="77777777" w:rsidR="00A46A87" w:rsidRPr="003221C4" w:rsidRDefault="00A46A87" w:rsidP="00A46A87">
      <w:pPr>
        <w:widowControl w:val="0"/>
        <w:overflowPunct w:val="0"/>
        <w:adjustRightInd w:val="0"/>
        <w:ind w:left="705" w:hanging="705"/>
        <w:jc w:val="both"/>
        <w:rPr>
          <w:rFonts w:cs="Arial"/>
          <w:b/>
          <w:kern w:val="28"/>
          <w:szCs w:val="24"/>
          <w:lang w:val="es-ES"/>
        </w:rPr>
      </w:pPr>
    </w:p>
    <w:p w14:paraId="0C53BCFC" w14:textId="3B67D1C4" w:rsidR="00A46A87" w:rsidRPr="003221C4" w:rsidRDefault="002B5CA5" w:rsidP="002B5CA5">
      <w:pPr>
        <w:widowControl w:val="0"/>
        <w:overflowPunct w:val="0"/>
        <w:adjustRightInd w:val="0"/>
        <w:jc w:val="both"/>
        <w:rPr>
          <w:rFonts w:cs="Arial"/>
          <w:bCs/>
          <w:kern w:val="28"/>
          <w:szCs w:val="24"/>
          <w:lang w:val="es-ES"/>
        </w:rPr>
      </w:pPr>
      <w:r w:rsidRPr="003221C4">
        <w:rPr>
          <w:rFonts w:cs="Arial"/>
          <w:bCs/>
          <w:kern w:val="28"/>
          <w:szCs w:val="24"/>
          <w:lang w:val="es-ES"/>
        </w:rPr>
        <w:t>La Coordinación Nacional recibió el Acta N° 0</w:t>
      </w:r>
      <w:r w:rsidR="00827C6A" w:rsidRPr="003221C4">
        <w:rPr>
          <w:rFonts w:cs="Arial"/>
          <w:bCs/>
          <w:kern w:val="28"/>
          <w:szCs w:val="24"/>
          <w:lang w:val="es-ES"/>
        </w:rPr>
        <w:t>2</w:t>
      </w:r>
      <w:r w:rsidRPr="003221C4">
        <w:rPr>
          <w:rFonts w:cs="Arial"/>
          <w:bCs/>
          <w:kern w:val="28"/>
          <w:szCs w:val="24"/>
          <w:lang w:val="es-ES"/>
        </w:rPr>
        <w:t>/24 de la reunión de la Comisión de Prevención del Lavado de Dinero y Financiamiento del Terrorismo</w:t>
      </w:r>
      <w:r w:rsidR="00671F92" w:rsidRPr="003221C4">
        <w:rPr>
          <w:rFonts w:cs="Arial"/>
          <w:bCs/>
          <w:kern w:val="28"/>
          <w:szCs w:val="24"/>
          <w:lang w:val="es-ES"/>
        </w:rPr>
        <w:t xml:space="preserve"> (CPLDFT)</w:t>
      </w:r>
      <w:r w:rsidRPr="003221C4">
        <w:rPr>
          <w:rFonts w:cs="Arial"/>
          <w:bCs/>
          <w:kern w:val="28"/>
          <w:szCs w:val="24"/>
          <w:lang w:val="es-ES"/>
        </w:rPr>
        <w:t xml:space="preserve">, </w:t>
      </w:r>
      <w:r w:rsidR="00671F92" w:rsidRPr="003221C4">
        <w:rPr>
          <w:rFonts w:cs="Arial"/>
          <w:bCs/>
          <w:kern w:val="28"/>
          <w:szCs w:val="24"/>
          <w:lang w:val="es-ES"/>
        </w:rPr>
        <w:t xml:space="preserve">realizada por medio del sistema de videoconferencia, conforme se establece en la Resolución GMC N° 19/12 “Reuniones por el sistema de videoconferencia”, los días </w:t>
      </w:r>
      <w:r w:rsidR="001A6C39" w:rsidRPr="003221C4">
        <w:rPr>
          <w:rFonts w:cs="Arial"/>
          <w:bCs/>
          <w:kern w:val="28"/>
          <w:szCs w:val="24"/>
          <w:lang w:val="es-ES"/>
        </w:rPr>
        <w:t>7</w:t>
      </w:r>
      <w:r w:rsidR="00671F92" w:rsidRPr="003221C4">
        <w:rPr>
          <w:rFonts w:cs="Arial"/>
          <w:bCs/>
          <w:kern w:val="28"/>
          <w:szCs w:val="24"/>
          <w:lang w:val="es-ES"/>
        </w:rPr>
        <w:t xml:space="preserve"> al </w:t>
      </w:r>
      <w:r w:rsidR="001A6C39" w:rsidRPr="003221C4">
        <w:rPr>
          <w:rFonts w:cs="Arial"/>
          <w:bCs/>
          <w:kern w:val="28"/>
          <w:szCs w:val="24"/>
          <w:lang w:val="es-ES"/>
        </w:rPr>
        <w:t>9</w:t>
      </w:r>
      <w:r w:rsidR="00671F92" w:rsidRPr="003221C4">
        <w:rPr>
          <w:rFonts w:cs="Arial"/>
          <w:bCs/>
          <w:kern w:val="28"/>
          <w:szCs w:val="24"/>
          <w:lang w:val="es-ES"/>
        </w:rPr>
        <w:t xml:space="preserve"> de </w:t>
      </w:r>
      <w:r w:rsidR="001A6C39" w:rsidRPr="003221C4">
        <w:rPr>
          <w:rFonts w:cs="Arial"/>
          <w:bCs/>
          <w:kern w:val="28"/>
          <w:szCs w:val="24"/>
          <w:lang w:val="es-ES"/>
        </w:rPr>
        <w:t>octubre</w:t>
      </w:r>
      <w:r w:rsidR="00671F92" w:rsidRPr="003221C4">
        <w:rPr>
          <w:rFonts w:cs="Arial"/>
          <w:bCs/>
          <w:kern w:val="28"/>
          <w:szCs w:val="24"/>
          <w:lang w:val="es-ES"/>
        </w:rPr>
        <w:t xml:space="preserve"> de 2024. El Acta y los anexos de la reunión constan como</w:t>
      </w:r>
      <w:r w:rsidR="00671F92" w:rsidRPr="003221C4">
        <w:rPr>
          <w:rFonts w:cs="Arial"/>
          <w:b/>
          <w:kern w:val="28"/>
          <w:szCs w:val="24"/>
          <w:lang w:val="es-ES"/>
        </w:rPr>
        <w:t xml:space="preserve"> </w:t>
      </w:r>
      <w:r w:rsidRPr="003221C4">
        <w:rPr>
          <w:rFonts w:cs="Arial"/>
          <w:b/>
          <w:kern w:val="28"/>
          <w:szCs w:val="24"/>
          <w:lang w:val="es-ES"/>
        </w:rPr>
        <w:t xml:space="preserve">Anexo </w:t>
      </w:r>
      <w:r w:rsidR="00251CC0" w:rsidRPr="003221C4">
        <w:rPr>
          <w:rFonts w:cs="Arial"/>
          <w:b/>
          <w:kern w:val="28"/>
          <w:szCs w:val="24"/>
          <w:lang w:val="es-ES"/>
        </w:rPr>
        <w:t>X</w:t>
      </w:r>
      <w:r w:rsidRPr="003221C4">
        <w:rPr>
          <w:rFonts w:cs="Arial"/>
          <w:bCs/>
          <w:kern w:val="28"/>
          <w:szCs w:val="24"/>
          <w:lang w:val="es-ES"/>
        </w:rPr>
        <w:t>.</w:t>
      </w:r>
    </w:p>
    <w:p w14:paraId="4E2581F3" w14:textId="0FF735F3" w:rsidR="005360A5" w:rsidRPr="003221C4" w:rsidRDefault="005360A5" w:rsidP="002B5CA5">
      <w:pPr>
        <w:widowControl w:val="0"/>
        <w:overflowPunct w:val="0"/>
        <w:adjustRightInd w:val="0"/>
        <w:jc w:val="both"/>
        <w:rPr>
          <w:rFonts w:cs="Arial"/>
          <w:bCs/>
          <w:kern w:val="28"/>
          <w:szCs w:val="24"/>
          <w:lang w:val="es-ES"/>
        </w:rPr>
      </w:pPr>
    </w:p>
    <w:p w14:paraId="749298DA" w14:textId="426B2CAA" w:rsidR="00523AD4" w:rsidRPr="003221C4" w:rsidRDefault="005360A5" w:rsidP="00523AD4">
      <w:pPr>
        <w:widowControl w:val="0"/>
        <w:overflowPunct w:val="0"/>
        <w:adjustRightInd w:val="0"/>
        <w:jc w:val="both"/>
        <w:rPr>
          <w:rFonts w:cs="Arial"/>
          <w:bCs/>
          <w:kern w:val="28"/>
          <w:szCs w:val="24"/>
          <w:lang w:val="es-ES"/>
        </w:rPr>
      </w:pPr>
      <w:r w:rsidRPr="003221C4">
        <w:rPr>
          <w:rFonts w:cs="Arial"/>
          <w:bCs/>
          <w:kern w:val="28"/>
          <w:szCs w:val="24"/>
          <w:lang w:val="es-ES"/>
        </w:rPr>
        <w:t xml:space="preserve">Los Coordinadores Nacionales </w:t>
      </w:r>
      <w:r w:rsidR="00523AD4" w:rsidRPr="003221C4">
        <w:rPr>
          <w:rFonts w:cs="Arial"/>
          <w:bCs/>
          <w:kern w:val="28"/>
          <w:szCs w:val="24"/>
          <w:lang w:val="es-ES"/>
        </w:rPr>
        <w:t>recibieron</w:t>
      </w:r>
      <w:r w:rsidRPr="003221C4">
        <w:rPr>
          <w:rFonts w:cs="Arial"/>
          <w:bCs/>
          <w:kern w:val="28"/>
          <w:szCs w:val="24"/>
          <w:lang w:val="es-ES"/>
        </w:rPr>
        <w:t xml:space="preserve"> de la </w:t>
      </w:r>
      <w:r w:rsidR="00523AD4" w:rsidRPr="003221C4">
        <w:rPr>
          <w:rFonts w:cs="Arial"/>
          <w:bCs/>
          <w:kern w:val="28"/>
          <w:szCs w:val="24"/>
          <w:lang w:val="es-ES"/>
        </w:rPr>
        <w:t xml:space="preserve">CPLDFT el trabajo que realizaron para dar </w:t>
      </w:r>
      <w:r w:rsidRPr="003221C4">
        <w:rPr>
          <w:rFonts w:cs="Arial"/>
          <w:bCs/>
          <w:kern w:val="28"/>
          <w:szCs w:val="24"/>
          <w:lang w:val="es-ES"/>
        </w:rPr>
        <w:t xml:space="preserve">respuesta a la </w:t>
      </w:r>
      <w:r w:rsidR="00523AD4" w:rsidRPr="003221C4">
        <w:rPr>
          <w:rFonts w:cs="Arial"/>
          <w:bCs/>
          <w:kern w:val="28"/>
          <w:szCs w:val="24"/>
          <w:lang w:val="es-ES"/>
        </w:rPr>
        <w:t xml:space="preserve">solicitud </w:t>
      </w:r>
      <w:r w:rsidRPr="003221C4">
        <w:rPr>
          <w:rFonts w:cs="Arial"/>
          <w:bCs/>
          <w:kern w:val="28"/>
          <w:szCs w:val="24"/>
          <w:lang w:val="es-ES"/>
        </w:rPr>
        <w:t>realizada por la Comisión de Sistemas de Pagos Transfronterizos</w:t>
      </w:r>
      <w:r w:rsidR="008873F1" w:rsidRPr="003221C4">
        <w:rPr>
          <w:rFonts w:cs="Arial"/>
          <w:bCs/>
          <w:kern w:val="28"/>
          <w:szCs w:val="24"/>
          <w:lang w:val="es-ES"/>
        </w:rPr>
        <w:t xml:space="preserve"> (CSPT)</w:t>
      </w:r>
      <w:r w:rsidRPr="003221C4">
        <w:rPr>
          <w:rFonts w:cs="Arial"/>
          <w:bCs/>
          <w:kern w:val="28"/>
          <w:szCs w:val="24"/>
          <w:lang w:val="es-ES"/>
        </w:rPr>
        <w:t xml:space="preserve"> </w:t>
      </w:r>
      <w:r w:rsidR="00523AD4" w:rsidRPr="003221C4">
        <w:rPr>
          <w:rFonts w:cs="Arial"/>
          <w:bCs/>
          <w:kern w:val="28"/>
          <w:szCs w:val="24"/>
          <w:lang w:val="es-ES"/>
        </w:rPr>
        <w:t>respecto de la normativa actualmente vigente, en cada uno de los países miembros del MERCOSUR, en materia de prevención de lavado de dinero y financiamiento del terrorismo respecto a la documentación que deben exigir las entidades financieras para el pago y cobro de operaciones de exportaciones e importaciones de bienes y servicios</w:t>
      </w:r>
      <w:r w:rsidR="00605C2F" w:rsidRPr="003221C4">
        <w:rPr>
          <w:rFonts w:cs="Arial"/>
          <w:bCs/>
          <w:kern w:val="28"/>
          <w:szCs w:val="24"/>
          <w:lang w:val="es-ES"/>
        </w:rPr>
        <w:t xml:space="preserve">. </w:t>
      </w:r>
      <w:r w:rsidR="00CF70C4" w:rsidRPr="003221C4">
        <w:rPr>
          <w:rFonts w:cs="Arial"/>
          <w:bCs/>
          <w:kern w:val="28"/>
          <w:szCs w:val="24"/>
          <w:lang w:val="es-ES"/>
        </w:rPr>
        <w:t>La r</w:t>
      </w:r>
      <w:r w:rsidR="00CF70C4" w:rsidRPr="003221C4">
        <w:rPr>
          <w:rFonts w:cs="Arial"/>
          <w:bCs/>
          <w:kern w:val="28"/>
          <w:szCs w:val="24"/>
          <w:lang w:val="es-ES"/>
        </w:rPr>
        <w:t>espuesta de la CPLDFT a la CSPT</w:t>
      </w:r>
      <w:r w:rsidR="00CF70C4" w:rsidRPr="003221C4">
        <w:rPr>
          <w:rFonts w:cs="Arial"/>
          <w:bCs/>
          <w:kern w:val="28"/>
          <w:szCs w:val="24"/>
          <w:lang w:val="es-ES"/>
        </w:rPr>
        <w:t xml:space="preserve"> consta </w:t>
      </w:r>
      <w:r w:rsidR="00523AD4" w:rsidRPr="003221C4">
        <w:rPr>
          <w:rFonts w:cs="Arial"/>
          <w:b/>
          <w:bCs/>
          <w:kern w:val="28"/>
          <w:szCs w:val="24"/>
          <w:lang w:val="es-ES"/>
        </w:rPr>
        <w:t>Anexo X</w:t>
      </w:r>
      <w:r w:rsidR="00CF70C4" w:rsidRPr="003221C4">
        <w:rPr>
          <w:rFonts w:cs="Arial"/>
          <w:b/>
          <w:bCs/>
          <w:kern w:val="28"/>
          <w:szCs w:val="24"/>
          <w:lang w:val="es-ES"/>
        </w:rPr>
        <w:t>I</w:t>
      </w:r>
      <w:r w:rsidR="00757106">
        <w:rPr>
          <w:rFonts w:cs="Arial"/>
          <w:b/>
          <w:bCs/>
          <w:kern w:val="28"/>
          <w:szCs w:val="24"/>
          <w:lang w:val="es-ES"/>
        </w:rPr>
        <w:t>-</w:t>
      </w:r>
      <w:r w:rsidR="00BC5052" w:rsidRPr="003221C4">
        <w:rPr>
          <w:rFonts w:cs="Arial"/>
          <w:b/>
          <w:bCs/>
          <w:kern w:val="28"/>
          <w:szCs w:val="24"/>
          <w:lang w:val="es-ES"/>
        </w:rPr>
        <w:t xml:space="preserve"> R</w:t>
      </w:r>
      <w:r w:rsidR="002A26B8" w:rsidRPr="003221C4">
        <w:rPr>
          <w:rFonts w:cs="Arial"/>
          <w:b/>
          <w:bCs/>
          <w:kern w:val="28"/>
          <w:szCs w:val="24"/>
          <w:lang w:val="es-ES"/>
        </w:rPr>
        <w:t>ESERVADO</w:t>
      </w:r>
      <w:r w:rsidR="00523AD4" w:rsidRPr="003221C4">
        <w:rPr>
          <w:rFonts w:cs="Arial"/>
          <w:bCs/>
          <w:kern w:val="28"/>
          <w:szCs w:val="24"/>
          <w:lang w:val="es-ES"/>
        </w:rPr>
        <w:t>.</w:t>
      </w:r>
    </w:p>
    <w:p w14:paraId="0767E823" w14:textId="44EB0476" w:rsidR="00523AD4" w:rsidRPr="003221C4" w:rsidRDefault="00523AD4" w:rsidP="002B5CA5">
      <w:pPr>
        <w:widowControl w:val="0"/>
        <w:overflowPunct w:val="0"/>
        <w:adjustRightInd w:val="0"/>
        <w:jc w:val="both"/>
        <w:rPr>
          <w:rFonts w:cs="Arial"/>
          <w:bCs/>
          <w:kern w:val="28"/>
          <w:szCs w:val="24"/>
          <w:lang w:val="es-ES"/>
        </w:rPr>
      </w:pPr>
    </w:p>
    <w:p w14:paraId="07170BD8" w14:textId="62B33F49" w:rsidR="008873F1" w:rsidRPr="003221C4" w:rsidRDefault="008873F1" w:rsidP="002B5CA5">
      <w:pPr>
        <w:widowControl w:val="0"/>
        <w:overflowPunct w:val="0"/>
        <w:adjustRightInd w:val="0"/>
        <w:jc w:val="both"/>
        <w:rPr>
          <w:rFonts w:cs="Arial"/>
          <w:bCs/>
          <w:kern w:val="28"/>
          <w:szCs w:val="24"/>
          <w:lang w:val="es-ES"/>
        </w:rPr>
      </w:pPr>
      <w:r w:rsidRPr="003221C4">
        <w:rPr>
          <w:rFonts w:cs="Arial"/>
          <w:bCs/>
          <w:kern w:val="28"/>
          <w:szCs w:val="24"/>
          <w:lang w:val="es-ES"/>
        </w:rPr>
        <w:t>En ese sentido</w:t>
      </w:r>
      <w:r w:rsidR="003F50F4" w:rsidRPr="003221C4">
        <w:rPr>
          <w:rFonts w:cs="Arial"/>
          <w:bCs/>
          <w:kern w:val="28"/>
          <w:szCs w:val="24"/>
          <w:lang w:val="es-ES"/>
        </w:rPr>
        <w:t>,</w:t>
      </w:r>
      <w:r w:rsidRPr="003221C4">
        <w:rPr>
          <w:rFonts w:cs="Arial"/>
          <w:bCs/>
          <w:kern w:val="28"/>
          <w:szCs w:val="24"/>
          <w:lang w:val="es-ES"/>
        </w:rPr>
        <w:t xml:space="preserve"> la Coordinación Nacional tomó nota del trabajo realizado el que será remitido a la CSPT durante la PPTU.</w:t>
      </w:r>
    </w:p>
    <w:p w14:paraId="0076F376" w14:textId="77777777" w:rsidR="001C4EBE" w:rsidRPr="003221C4" w:rsidRDefault="001C4EBE" w:rsidP="001C4EBE">
      <w:pPr>
        <w:widowControl w:val="0"/>
        <w:overflowPunct w:val="0"/>
        <w:adjustRightInd w:val="0"/>
        <w:jc w:val="both"/>
        <w:rPr>
          <w:rFonts w:cs="Arial"/>
          <w:bCs/>
          <w:kern w:val="28"/>
          <w:szCs w:val="24"/>
          <w:lang w:val="es-ES"/>
        </w:rPr>
      </w:pPr>
    </w:p>
    <w:p w14:paraId="6E66939C" w14:textId="644F9FEB" w:rsidR="001C4EBE" w:rsidRPr="003221C4" w:rsidRDefault="001C4EBE" w:rsidP="00202838">
      <w:pPr>
        <w:widowControl w:val="0"/>
        <w:overflowPunct w:val="0"/>
        <w:adjustRightInd w:val="0"/>
        <w:ind w:left="1134" w:hanging="567"/>
        <w:jc w:val="both"/>
        <w:rPr>
          <w:rFonts w:ascii="Helv" w:eastAsia="Calibri" w:hAnsi="Helv" w:cs="Helv"/>
          <w:b/>
          <w:bCs/>
          <w:szCs w:val="24"/>
          <w:lang w:val="es-UY" w:eastAsia="en-US"/>
        </w:rPr>
      </w:pPr>
      <w:r w:rsidRPr="003221C4">
        <w:rPr>
          <w:rFonts w:cs="Arial"/>
          <w:b/>
          <w:kern w:val="28"/>
          <w:szCs w:val="24"/>
          <w:lang w:val="es-ES"/>
        </w:rPr>
        <w:t>3.6.</w:t>
      </w:r>
      <w:r w:rsidRPr="003221C4">
        <w:rPr>
          <w:rFonts w:cs="Arial"/>
          <w:b/>
          <w:kern w:val="28"/>
          <w:szCs w:val="24"/>
          <w:lang w:val="es-ES"/>
        </w:rPr>
        <w:tab/>
        <w:t xml:space="preserve">Comisión de Sistemas de Pagos Transfronterizos </w:t>
      </w:r>
      <w:r w:rsidR="00A46A87" w:rsidRPr="003221C4">
        <w:rPr>
          <w:rFonts w:ascii="Helv" w:eastAsia="Calibri" w:hAnsi="Helv" w:cs="Helv"/>
          <w:b/>
          <w:bCs/>
          <w:szCs w:val="24"/>
          <w:lang w:val="es-UY" w:eastAsia="en-US"/>
        </w:rPr>
        <w:t>(CSPT)</w:t>
      </w:r>
      <w:r w:rsidR="00FA48F0" w:rsidRPr="003221C4">
        <w:rPr>
          <w:rFonts w:ascii="Helv" w:eastAsia="Calibri" w:hAnsi="Helv" w:cs="Helv"/>
          <w:b/>
          <w:bCs/>
          <w:szCs w:val="24"/>
          <w:lang w:val="es-UY" w:eastAsia="en-US"/>
        </w:rPr>
        <w:t xml:space="preserve"> </w:t>
      </w:r>
    </w:p>
    <w:p w14:paraId="7039CC25" w14:textId="77777777" w:rsidR="00A46A87" w:rsidRPr="003221C4" w:rsidRDefault="00A46A87" w:rsidP="001C4EBE">
      <w:pPr>
        <w:widowControl w:val="0"/>
        <w:overflowPunct w:val="0"/>
        <w:adjustRightInd w:val="0"/>
        <w:jc w:val="both"/>
        <w:rPr>
          <w:rFonts w:ascii="Helv" w:eastAsia="Calibri" w:hAnsi="Helv" w:cs="Helv"/>
          <w:b/>
          <w:bCs/>
          <w:szCs w:val="24"/>
          <w:lang w:val="es-UY" w:eastAsia="en-US"/>
        </w:rPr>
      </w:pPr>
    </w:p>
    <w:p w14:paraId="74599236" w14:textId="4AFBC067" w:rsidR="00671F92" w:rsidRPr="003221C4" w:rsidRDefault="00671F92" w:rsidP="00671F92">
      <w:pPr>
        <w:jc w:val="both"/>
        <w:rPr>
          <w:rFonts w:cs="Arial"/>
          <w:b/>
          <w:bCs/>
          <w:szCs w:val="24"/>
          <w:highlight w:val="yellow"/>
          <w:lang w:val="es-UY"/>
        </w:rPr>
      </w:pPr>
      <w:r w:rsidRPr="003221C4">
        <w:rPr>
          <w:rFonts w:cs="Arial"/>
          <w:szCs w:val="24"/>
          <w:lang w:val="es-UY"/>
        </w:rPr>
        <w:t>La Coordinación Nacional recibió el Acta N° 0</w:t>
      </w:r>
      <w:r w:rsidR="00B3765E" w:rsidRPr="003221C4">
        <w:rPr>
          <w:rFonts w:cs="Arial"/>
          <w:szCs w:val="24"/>
          <w:lang w:val="es-UY"/>
        </w:rPr>
        <w:t>2</w:t>
      </w:r>
      <w:r w:rsidRPr="003221C4">
        <w:rPr>
          <w:rFonts w:cs="Arial"/>
          <w:szCs w:val="24"/>
          <w:lang w:val="es-UY"/>
        </w:rPr>
        <w:t>/24 de la reunión de la Comisión de Sistemas de Pagos Transfronterizos (C</w:t>
      </w:r>
      <w:r w:rsidR="00373E50" w:rsidRPr="003221C4">
        <w:rPr>
          <w:rFonts w:cs="Arial"/>
          <w:szCs w:val="24"/>
          <w:lang w:val="es-UY"/>
        </w:rPr>
        <w:t>S</w:t>
      </w:r>
      <w:r w:rsidRPr="003221C4">
        <w:rPr>
          <w:rFonts w:cs="Arial"/>
          <w:szCs w:val="24"/>
          <w:lang w:val="es-UY"/>
        </w:rPr>
        <w:t xml:space="preserve">PT), realizada por medio del sistema de videoconferencia, conforme se establece en la Resolución GMC N° 19/12 “Reuniones por el sistema de videoconferencia”, el día </w:t>
      </w:r>
      <w:r w:rsidR="00B3765E" w:rsidRPr="003221C4">
        <w:rPr>
          <w:rFonts w:cs="Arial"/>
          <w:szCs w:val="24"/>
          <w:lang w:val="es-UY"/>
        </w:rPr>
        <w:t>10</w:t>
      </w:r>
      <w:r w:rsidR="00555AC1" w:rsidRPr="003221C4">
        <w:rPr>
          <w:rFonts w:cs="Arial"/>
          <w:szCs w:val="24"/>
          <w:lang w:val="es-UY"/>
        </w:rPr>
        <w:t xml:space="preserve"> </w:t>
      </w:r>
      <w:r w:rsidRPr="003221C4">
        <w:rPr>
          <w:rFonts w:cs="Arial"/>
          <w:szCs w:val="24"/>
          <w:lang w:val="es-UY"/>
        </w:rPr>
        <w:t xml:space="preserve">de </w:t>
      </w:r>
      <w:r w:rsidR="00B3765E" w:rsidRPr="003221C4">
        <w:rPr>
          <w:rFonts w:cs="Arial"/>
          <w:szCs w:val="24"/>
          <w:lang w:val="es-UY"/>
        </w:rPr>
        <w:t>octubre</w:t>
      </w:r>
      <w:r w:rsidRPr="003221C4">
        <w:rPr>
          <w:rFonts w:cs="Arial"/>
          <w:szCs w:val="24"/>
          <w:lang w:val="es-UY"/>
        </w:rPr>
        <w:t xml:space="preserve"> de 2024. El Acta y los anexos de la reunión constan como </w:t>
      </w:r>
      <w:r w:rsidRPr="003221C4">
        <w:rPr>
          <w:rFonts w:cs="Arial"/>
          <w:b/>
          <w:bCs/>
          <w:szCs w:val="24"/>
          <w:lang w:val="es-UY"/>
        </w:rPr>
        <w:t xml:space="preserve">Anexo </w:t>
      </w:r>
      <w:r w:rsidR="00251CC0" w:rsidRPr="003221C4">
        <w:rPr>
          <w:rFonts w:cs="Arial"/>
          <w:b/>
          <w:bCs/>
          <w:szCs w:val="24"/>
          <w:lang w:val="es-UY"/>
        </w:rPr>
        <w:t>X</w:t>
      </w:r>
      <w:r w:rsidR="00CF70C4" w:rsidRPr="003221C4">
        <w:rPr>
          <w:rFonts w:cs="Arial"/>
          <w:b/>
          <w:bCs/>
          <w:szCs w:val="24"/>
          <w:lang w:val="es-UY"/>
        </w:rPr>
        <w:t>II</w:t>
      </w:r>
      <w:r w:rsidRPr="003221C4">
        <w:rPr>
          <w:rFonts w:cs="Arial"/>
          <w:b/>
          <w:bCs/>
          <w:szCs w:val="24"/>
          <w:lang w:val="es-UY"/>
        </w:rPr>
        <w:t>.</w:t>
      </w:r>
    </w:p>
    <w:p w14:paraId="0F6D5B0E" w14:textId="714AF39C" w:rsidR="00373E50" w:rsidRPr="003221C4" w:rsidRDefault="00373E50" w:rsidP="00671F92">
      <w:pPr>
        <w:jc w:val="both"/>
        <w:rPr>
          <w:rFonts w:cs="Arial"/>
          <w:b/>
          <w:bCs/>
          <w:szCs w:val="24"/>
          <w:lang w:val="es-UY"/>
        </w:rPr>
      </w:pPr>
    </w:p>
    <w:p w14:paraId="4550AEBB" w14:textId="4B5AD7AA" w:rsidR="008065A6" w:rsidRPr="003221C4" w:rsidRDefault="00BC5052" w:rsidP="008065A6">
      <w:pPr>
        <w:widowControl w:val="0"/>
        <w:overflowPunct w:val="0"/>
        <w:adjustRightInd w:val="0"/>
        <w:jc w:val="both"/>
        <w:rPr>
          <w:rFonts w:cs="Arial"/>
          <w:bCs/>
          <w:kern w:val="28"/>
          <w:szCs w:val="24"/>
          <w:lang w:val="es-ES"/>
        </w:rPr>
      </w:pPr>
      <w:r w:rsidRPr="003221C4">
        <w:rPr>
          <w:rFonts w:cs="Arial"/>
          <w:bCs/>
          <w:kern w:val="28"/>
          <w:szCs w:val="24"/>
          <w:lang w:val="es-ES"/>
        </w:rPr>
        <w:t>La Coordinación Nacional remitió a la CSPT el trabajo realizado por la CPLDFT respecto de la normativa actualmente vigente, en cada uno de los países miembros del MERCOSUR, en materia de prevención de lavado de dinero y financiamiento del terrorismo respecto a la documentación que deben exigir las entidades financieras para el pago y cobro de operaciones de exportaciones e importaciones de bienes y servicios</w:t>
      </w:r>
      <w:r w:rsidR="008065A6" w:rsidRPr="003221C4">
        <w:rPr>
          <w:rFonts w:cs="Arial"/>
          <w:bCs/>
          <w:kern w:val="28"/>
          <w:szCs w:val="24"/>
          <w:lang w:val="es-ES"/>
        </w:rPr>
        <w:t xml:space="preserve">. </w:t>
      </w:r>
      <w:r w:rsidR="004D0434" w:rsidRPr="003221C4">
        <w:rPr>
          <w:rFonts w:cs="Arial"/>
          <w:bCs/>
          <w:kern w:val="28"/>
          <w:szCs w:val="24"/>
          <w:lang w:val="es-ES"/>
        </w:rPr>
        <w:t>(</w:t>
      </w:r>
      <w:r w:rsidR="002A7685" w:rsidRPr="003221C4">
        <w:rPr>
          <w:rFonts w:cs="Arial"/>
          <w:b/>
          <w:bCs/>
          <w:kern w:val="28"/>
          <w:szCs w:val="24"/>
          <w:lang w:val="es-ES"/>
        </w:rPr>
        <w:t>Anexo X</w:t>
      </w:r>
      <w:r w:rsidR="005B6BBF" w:rsidRPr="003221C4">
        <w:rPr>
          <w:rFonts w:cs="Arial"/>
          <w:b/>
          <w:bCs/>
          <w:kern w:val="28"/>
          <w:szCs w:val="24"/>
          <w:lang w:val="es-ES"/>
        </w:rPr>
        <w:t>I</w:t>
      </w:r>
      <w:r w:rsidR="00A80FB7" w:rsidRPr="003221C4">
        <w:rPr>
          <w:rFonts w:cs="Arial"/>
          <w:b/>
          <w:bCs/>
          <w:kern w:val="28"/>
          <w:szCs w:val="24"/>
          <w:lang w:val="es-ES"/>
        </w:rPr>
        <w:t>-</w:t>
      </w:r>
      <w:r w:rsidR="008065A6" w:rsidRPr="003221C4">
        <w:rPr>
          <w:rFonts w:cs="Arial"/>
          <w:b/>
          <w:bCs/>
          <w:kern w:val="28"/>
          <w:szCs w:val="24"/>
          <w:lang w:val="es-ES"/>
        </w:rPr>
        <w:t xml:space="preserve"> </w:t>
      </w:r>
      <w:r w:rsidR="005B6BBF" w:rsidRPr="003221C4">
        <w:rPr>
          <w:rFonts w:cs="Arial"/>
          <w:b/>
          <w:bCs/>
          <w:kern w:val="28"/>
          <w:szCs w:val="24"/>
          <w:lang w:val="es-ES"/>
        </w:rPr>
        <w:t>RESERVADO</w:t>
      </w:r>
      <w:r w:rsidR="008065A6" w:rsidRPr="003221C4">
        <w:rPr>
          <w:rFonts w:cs="Arial"/>
          <w:b/>
          <w:bCs/>
          <w:kern w:val="28"/>
          <w:szCs w:val="24"/>
          <w:lang w:val="es-ES"/>
        </w:rPr>
        <w:t>)</w:t>
      </w:r>
      <w:r w:rsidR="008065A6" w:rsidRPr="003221C4">
        <w:rPr>
          <w:rFonts w:cs="Arial"/>
          <w:bCs/>
          <w:kern w:val="28"/>
          <w:szCs w:val="24"/>
          <w:lang w:val="es-ES"/>
        </w:rPr>
        <w:t>.</w:t>
      </w:r>
    </w:p>
    <w:p w14:paraId="78FBADF6" w14:textId="77777777" w:rsidR="00041F7E" w:rsidRPr="003221C4" w:rsidRDefault="00041F7E" w:rsidP="001C4EBE">
      <w:pPr>
        <w:widowControl w:val="0"/>
        <w:overflowPunct w:val="0"/>
        <w:adjustRightInd w:val="0"/>
        <w:jc w:val="both"/>
        <w:rPr>
          <w:rFonts w:cs="Arial"/>
          <w:b/>
          <w:kern w:val="28"/>
          <w:szCs w:val="24"/>
          <w:lang w:val="es-ES"/>
        </w:rPr>
      </w:pPr>
    </w:p>
    <w:p w14:paraId="6A4DBD16" w14:textId="77777777" w:rsidR="001C4EBE" w:rsidRPr="003221C4" w:rsidRDefault="001C4EBE" w:rsidP="001C4EBE">
      <w:pPr>
        <w:widowControl w:val="0"/>
        <w:overflowPunct w:val="0"/>
        <w:adjustRightInd w:val="0"/>
        <w:jc w:val="both"/>
        <w:rPr>
          <w:rFonts w:cs="Arial"/>
          <w:b/>
          <w:kern w:val="28"/>
          <w:szCs w:val="24"/>
          <w:lang w:val="es-ES"/>
        </w:rPr>
      </w:pPr>
    </w:p>
    <w:p w14:paraId="34F86324" w14:textId="1E4CB4E7" w:rsidR="00964633" w:rsidRPr="003221C4" w:rsidRDefault="00964633" w:rsidP="00202838">
      <w:pPr>
        <w:pStyle w:val="Prrafodelista"/>
        <w:widowControl w:val="0"/>
        <w:numPr>
          <w:ilvl w:val="0"/>
          <w:numId w:val="4"/>
        </w:numPr>
        <w:overflowPunct w:val="0"/>
        <w:adjustRightInd w:val="0"/>
        <w:ind w:left="567" w:hanging="567"/>
        <w:jc w:val="both"/>
        <w:rPr>
          <w:rFonts w:cs="Arial"/>
          <w:b/>
          <w:kern w:val="28"/>
          <w:szCs w:val="24"/>
          <w:lang w:val="es-ES"/>
        </w:rPr>
      </w:pPr>
      <w:r w:rsidRPr="003221C4">
        <w:rPr>
          <w:rFonts w:cs="Arial"/>
          <w:b/>
          <w:kern w:val="28"/>
          <w:szCs w:val="24"/>
          <w:lang w:val="es-ES"/>
        </w:rPr>
        <w:lastRenderedPageBreak/>
        <w:t>INSTRUCCIONES Y RECOMENDACIONES</w:t>
      </w:r>
    </w:p>
    <w:p w14:paraId="7B2CC986" w14:textId="77777777" w:rsidR="00964633" w:rsidRPr="003221C4" w:rsidRDefault="00964633" w:rsidP="00964633">
      <w:pPr>
        <w:pStyle w:val="Prrafodelista"/>
        <w:widowControl w:val="0"/>
        <w:overflowPunct w:val="0"/>
        <w:adjustRightInd w:val="0"/>
        <w:ind w:left="426"/>
        <w:jc w:val="both"/>
        <w:rPr>
          <w:rFonts w:cs="Arial"/>
          <w:b/>
          <w:kern w:val="28"/>
          <w:szCs w:val="24"/>
          <w:lang w:val="es-ES"/>
        </w:rPr>
      </w:pPr>
    </w:p>
    <w:p w14:paraId="6D37B076" w14:textId="53B8A4B0" w:rsidR="00F237B3" w:rsidRPr="003221C4" w:rsidRDefault="00F237B3" w:rsidP="00202838">
      <w:pPr>
        <w:pStyle w:val="Prrafodelista"/>
        <w:widowControl w:val="0"/>
        <w:numPr>
          <w:ilvl w:val="1"/>
          <w:numId w:val="4"/>
        </w:numPr>
        <w:overflowPunct w:val="0"/>
        <w:adjustRightInd w:val="0"/>
        <w:ind w:left="1134" w:hanging="567"/>
        <w:jc w:val="both"/>
        <w:rPr>
          <w:rFonts w:cs="Arial"/>
          <w:b/>
          <w:kern w:val="28"/>
          <w:szCs w:val="24"/>
          <w:lang w:val="es-ES"/>
        </w:rPr>
      </w:pPr>
      <w:r w:rsidRPr="003221C4">
        <w:rPr>
          <w:rFonts w:cs="Arial"/>
          <w:b/>
          <w:kern w:val="28"/>
          <w:szCs w:val="24"/>
          <w:lang w:val="es-ES"/>
        </w:rPr>
        <w:t>INSTRUCCIONES</w:t>
      </w:r>
      <w:r w:rsidR="00C31088" w:rsidRPr="003221C4">
        <w:rPr>
          <w:rFonts w:cs="Arial"/>
          <w:b/>
          <w:kern w:val="28"/>
          <w:szCs w:val="24"/>
          <w:lang w:val="es-ES"/>
        </w:rPr>
        <w:t xml:space="preserve"> GENERALES Y ESPECÍFICAS</w:t>
      </w:r>
      <w:r w:rsidRPr="003221C4">
        <w:rPr>
          <w:rFonts w:cs="Arial"/>
          <w:b/>
          <w:kern w:val="28"/>
          <w:szCs w:val="24"/>
          <w:lang w:val="es-ES"/>
        </w:rPr>
        <w:t xml:space="preserve"> DEL GMC</w:t>
      </w:r>
    </w:p>
    <w:p w14:paraId="0D93B1B7" w14:textId="10E324AA" w:rsidR="00F237B3" w:rsidRPr="003221C4" w:rsidRDefault="00F237B3" w:rsidP="00F237B3">
      <w:pPr>
        <w:widowControl w:val="0"/>
        <w:overflowPunct w:val="0"/>
        <w:adjustRightInd w:val="0"/>
        <w:jc w:val="both"/>
        <w:rPr>
          <w:rFonts w:cs="Arial"/>
          <w:b/>
          <w:kern w:val="28"/>
          <w:szCs w:val="24"/>
          <w:lang w:val="es-ES"/>
        </w:rPr>
      </w:pPr>
    </w:p>
    <w:p w14:paraId="00E224FD" w14:textId="2B489241" w:rsidR="00F237B3" w:rsidRPr="003221C4" w:rsidRDefault="00F237B3" w:rsidP="00F237B3">
      <w:pPr>
        <w:widowControl w:val="0"/>
        <w:overflowPunct w:val="0"/>
        <w:adjustRightInd w:val="0"/>
        <w:jc w:val="both"/>
        <w:rPr>
          <w:rFonts w:eastAsia="Calibri" w:cs="Arial"/>
          <w:kern w:val="28"/>
          <w:szCs w:val="24"/>
          <w:lang w:val="es-UY" w:eastAsia="en-US"/>
        </w:rPr>
      </w:pPr>
      <w:r w:rsidRPr="003221C4">
        <w:rPr>
          <w:rFonts w:cs="Arial"/>
          <w:bCs/>
          <w:kern w:val="28"/>
          <w:szCs w:val="24"/>
          <w:lang w:val="es-ES"/>
        </w:rPr>
        <w:t>Los Coordinadores N</w:t>
      </w:r>
      <w:r w:rsidR="00C31088" w:rsidRPr="003221C4">
        <w:rPr>
          <w:rFonts w:cs="Arial"/>
          <w:bCs/>
          <w:kern w:val="28"/>
          <w:szCs w:val="24"/>
          <w:lang w:val="es-ES"/>
        </w:rPr>
        <w:t>acionales tomaron nota e informaron</w:t>
      </w:r>
      <w:r w:rsidRPr="003221C4">
        <w:rPr>
          <w:rFonts w:cs="Arial"/>
          <w:bCs/>
          <w:kern w:val="28"/>
          <w:szCs w:val="24"/>
          <w:lang w:val="es-ES"/>
        </w:rPr>
        <w:t xml:space="preserve"> a las Comisiones dependientes de la Instrucción </w:t>
      </w:r>
      <w:r w:rsidRPr="003221C4">
        <w:rPr>
          <w:rFonts w:eastAsia="Calibri" w:cs="Arial"/>
          <w:kern w:val="28"/>
          <w:szCs w:val="24"/>
          <w:lang w:val="es-UY" w:eastAsia="en-US"/>
        </w:rPr>
        <w:t>impartida en la CXXXII GMC, ítem 12 del CXXXII en la cual el GMC instruyó a los órganos y foros de la estructura institucional a incluir en la agenda de sus reuniones un punto de tratamiento permanente en el cual se tome nota de las instrucciones generales y específicas dirigidas a los órganos o foros. Asimismo, solicitó a sus órganos y foros dependientes que instruyan a sus instancias internas a seguir el mismo curso de acción.</w:t>
      </w:r>
    </w:p>
    <w:p w14:paraId="7EB1A984" w14:textId="77777777" w:rsidR="00F237B3" w:rsidRPr="003221C4" w:rsidRDefault="00F237B3" w:rsidP="00F237B3">
      <w:pPr>
        <w:widowControl w:val="0"/>
        <w:overflowPunct w:val="0"/>
        <w:adjustRightInd w:val="0"/>
        <w:ind w:left="360"/>
        <w:jc w:val="both"/>
        <w:rPr>
          <w:rFonts w:cs="Arial"/>
          <w:bCs/>
          <w:kern w:val="28"/>
          <w:szCs w:val="24"/>
          <w:lang w:val="es-ES"/>
        </w:rPr>
      </w:pPr>
      <w:r w:rsidRPr="003221C4">
        <w:rPr>
          <w:rFonts w:eastAsia="Calibri" w:cs="Arial"/>
          <w:kern w:val="28"/>
          <w:szCs w:val="24"/>
          <w:lang w:val="es-UY" w:eastAsia="en-US"/>
        </w:rPr>
        <w:t xml:space="preserve"> </w:t>
      </w:r>
    </w:p>
    <w:p w14:paraId="00C12239" w14:textId="77777777" w:rsidR="00F237B3" w:rsidRPr="003221C4" w:rsidRDefault="00F237B3" w:rsidP="00F237B3">
      <w:pPr>
        <w:widowControl w:val="0"/>
        <w:tabs>
          <w:tab w:val="left" w:pos="425"/>
        </w:tabs>
        <w:overflowPunct w:val="0"/>
        <w:adjustRightInd w:val="0"/>
        <w:spacing w:after="160" w:line="259" w:lineRule="auto"/>
        <w:jc w:val="both"/>
        <w:rPr>
          <w:rFonts w:eastAsia="Calibri" w:cs="Arial"/>
          <w:kern w:val="28"/>
          <w:szCs w:val="24"/>
          <w:lang w:val="es-UY" w:eastAsia="en-US"/>
        </w:rPr>
      </w:pPr>
      <w:r w:rsidRPr="003221C4">
        <w:rPr>
          <w:rFonts w:eastAsia="Calibri" w:cs="Arial"/>
          <w:kern w:val="28"/>
          <w:szCs w:val="24"/>
          <w:lang w:val="es-UY" w:eastAsia="en-US"/>
        </w:rPr>
        <w:t>El GMC recordó que las reuniones de órganos y foros dependientes solo pueden realizarse hasta tres (3) días hábiles antes de las reuniones de los órganos decisorios del cual dependen y hasta diez (10) días antes de las reuniones finales de esos órganos en el semestre, de conformidad con lo dispuesto en el Artículo 14 de la Decisión CMC Nº 59/00.</w:t>
      </w:r>
    </w:p>
    <w:p w14:paraId="0C4A87B4" w14:textId="77777777" w:rsidR="00F237B3" w:rsidRPr="003221C4" w:rsidRDefault="00F237B3" w:rsidP="00F237B3">
      <w:pPr>
        <w:widowControl w:val="0"/>
        <w:tabs>
          <w:tab w:val="left" w:pos="425"/>
        </w:tabs>
        <w:overflowPunct w:val="0"/>
        <w:adjustRightInd w:val="0"/>
        <w:spacing w:after="160" w:line="259" w:lineRule="auto"/>
        <w:jc w:val="both"/>
        <w:rPr>
          <w:rFonts w:eastAsia="Calibri" w:cs="Arial"/>
          <w:kern w:val="28"/>
          <w:szCs w:val="24"/>
          <w:lang w:val="es-UY" w:eastAsia="en-US"/>
        </w:rPr>
      </w:pPr>
      <w:r w:rsidRPr="003221C4">
        <w:rPr>
          <w:rFonts w:eastAsia="Calibri" w:cs="Arial"/>
          <w:kern w:val="28"/>
          <w:szCs w:val="24"/>
          <w:lang w:val="es-UY" w:eastAsia="en-US"/>
        </w:rPr>
        <w:t xml:space="preserve">Por otra parte, el GMC comunicó a sus órganos y foros dependientes que solo serán considerados los resultados de sus reuniones cuyas actas firmadas y anexos sean remitidos a la Secretaría del MERCOSUR (SM) por la Coordinación Nacional del Estado Parte en ejercicio de la Presidencia Pro Tempore (PPT) hasta diez días antes de la reunión del órgano decisorio del que dependen. </w:t>
      </w:r>
    </w:p>
    <w:p w14:paraId="2244B133" w14:textId="77777777" w:rsidR="00F237B3" w:rsidRPr="003221C4" w:rsidRDefault="00F237B3" w:rsidP="00F237B3">
      <w:pPr>
        <w:widowControl w:val="0"/>
        <w:tabs>
          <w:tab w:val="left" w:pos="425"/>
        </w:tabs>
        <w:overflowPunct w:val="0"/>
        <w:adjustRightInd w:val="0"/>
        <w:spacing w:after="160" w:line="259" w:lineRule="auto"/>
        <w:jc w:val="both"/>
        <w:rPr>
          <w:rFonts w:eastAsia="Calibri" w:cs="Arial"/>
          <w:kern w:val="28"/>
          <w:szCs w:val="24"/>
          <w:lang w:val="es-UY" w:eastAsia="en-US"/>
        </w:rPr>
      </w:pPr>
      <w:r w:rsidRPr="003221C4">
        <w:rPr>
          <w:rFonts w:eastAsia="Calibri" w:cs="Arial"/>
          <w:kern w:val="28"/>
          <w:szCs w:val="24"/>
          <w:lang w:val="es-UY" w:eastAsia="en-US"/>
        </w:rPr>
        <w:t xml:space="preserve">En tal sentido, reiteró que las actas de las reuniones presenciales deben ser firmadas el último día de la reunión por todas las delegaciones presentes. En caso de que alguna delegación participe por sistema de videoconferencia, las actas deberán ser firmadas por representantes diplomáticos que revistan funciones en la jurisdicción del lugar donde se celebran las reuniones, de conformidad con el artículo 7 de la Decisión CMC N° 44/15. </w:t>
      </w:r>
    </w:p>
    <w:p w14:paraId="404EC855" w14:textId="77777777" w:rsidR="00F237B3" w:rsidRPr="003221C4" w:rsidRDefault="00F237B3" w:rsidP="00F237B3">
      <w:pPr>
        <w:widowControl w:val="0"/>
        <w:tabs>
          <w:tab w:val="left" w:pos="425"/>
        </w:tabs>
        <w:overflowPunct w:val="0"/>
        <w:adjustRightInd w:val="0"/>
        <w:spacing w:after="160" w:line="259" w:lineRule="auto"/>
        <w:jc w:val="both"/>
        <w:rPr>
          <w:rFonts w:eastAsia="Calibri" w:cs="Arial"/>
          <w:kern w:val="28"/>
          <w:szCs w:val="24"/>
          <w:lang w:val="es-UY" w:eastAsia="en-US"/>
        </w:rPr>
      </w:pPr>
      <w:r w:rsidRPr="003221C4">
        <w:rPr>
          <w:rFonts w:eastAsia="Calibri" w:cs="Arial"/>
          <w:kern w:val="28"/>
          <w:szCs w:val="24"/>
          <w:lang w:val="es-UY" w:eastAsia="en-US"/>
        </w:rPr>
        <w:t>Asimismo, recordó que las actas de las reuniones realizadas por sistema de videoconferencia deben ser consensuadas el último día de la reunión. Dichas actas, con las firmas de todas las delegaciones, deben ser remitidas a la SM por la Coordinación Nacional del Estado Parte en ejercicio de la PPT en un plazo no mayor a cinco (5) días de la conclusión de la respectiva reunión, de conformidad con lo establecido en la Resolución GMC N° 19/12.</w:t>
      </w:r>
    </w:p>
    <w:p w14:paraId="66963356" w14:textId="671C0F4F" w:rsidR="00F237B3" w:rsidRPr="003221C4" w:rsidRDefault="00F237B3" w:rsidP="007770D6">
      <w:pPr>
        <w:widowControl w:val="0"/>
        <w:tabs>
          <w:tab w:val="left" w:pos="425"/>
        </w:tabs>
        <w:overflowPunct w:val="0"/>
        <w:adjustRightInd w:val="0"/>
        <w:spacing w:after="160" w:line="259" w:lineRule="auto"/>
        <w:jc w:val="both"/>
        <w:rPr>
          <w:rFonts w:eastAsia="Calibri" w:cs="Arial"/>
          <w:kern w:val="28"/>
          <w:szCs w:val="24"/>
          <w:lang w:val="es-UY" w:eastAsia="en-US"/>
        </w:rPr>
      </w:pPr>
      <w:r w:rsidRPr="003221C4">
        <w:rPr>
          <w:rFonts w:eastAsia="Calibri" w:cs="Arial"/>
          <w:kern w:val="28"/>
          <w:szCs w:val="24"/>
          <w:lang w:val="es-UY" w:eastAsia="en-US"/>
        </w:rPr>
        <w:t xml:space="preserve">Con relación a los proyectos de norma que se elevan a los órganos decisorios, el GMC reiteró que deben ser remitidos a las respectivas Secciones Nacionales del GMC con diez (10) días de anticipación a la realización de su reunión técnica preparatoria, de conformidad con lo establecido en la Resolución GMC N° 23/98, a efectos de permitir el análisis correspondiente. Igualmente, destacó que los referidos proyectos, en sus versiones en español y portugués, deben ser inicialados en todas sus páginas al momento de la firma del acta, conforme lo dispuesto en la Resolución GMC </w:t>
      </w:r>
      <w:proofErr w:type="spellStart"/>
      <w:r w:rsidRPr="003221C4">
        <w:rPr>
          <w:rFonts w:eastAsia="Calibri" w:cs="Arial"/>
          <w:kern w:val="28"/>
          <w:szCs w:val="24"/>
          <w:lang w:val="es-UY" w:eastAsia="en-US"/>
        </w:rPr>
        <w:t>N°</w:t>
      </w:r>
      <w:proofErr w:type="spellEnd"/>
      <w:r w:rsidRPr="003221C4">
        <w:rPr>
          <w:rFonts w:eastAsia="Calibri" w:cs="Arial"/>
          <w:kern w:val="28"/>
          <w:szCs w:val="24"/>
          <w:lang w:val="es-UY" w:eastAsia="en-US"/>
        </w:rPr>
        <w:t xml:space="preserve"> 26/01.</w:t>
      </w:r>
    </w:p>
    <w:p w14:paraId="4A51D9F5" w14:textId="77777777" w:rsidR="002246E1" w:rsidRPr="003221C4" w:rsidRDefault="002246E1" w:rsidP="007770D6">
      <w:pPr>
        <w:widowControl w:val="0"/>
        <w:tabs>
          <w:tab w:val="left" w:pos="425"/>
        </w:tabs>
        <w:overflowPunct w:val="0"/>
        <w:adjustRightInd w:val="0"/>
        <w:spacing w:after="160" w:line="259" w:lineRule="auto"/>
        <w:jc w:val="both"/>
        <w:rPr>
          <w:rFonts w:eastAsia="Calibri" w:cs="Arial"/>
          <w:kern w:val="28"/>
          <w:szCs w:val="24"/>
          <w:lang w:val="es-UY" w:eastAsia="en-US"/>
        </w:rPr>
      </w:pPr>
    </w:p>
    <w:p w14:paraId="4A5ECD0D" w14:textId="77777777" w:rsidR="005B6BBF" w:rsidRPr="003221C4" w:rsidRDefault="005B6BBF" w:rsidP="007770D6">
      <w:pPr>
        <w:widowControl w:val="0"/>
        <w:tabs>
          <w:tab w:val="left" w:pos="425"/>
        </w:tabs>
        <w:overflowPunct w:val="0"/>
        <w:adjustRightInd w:val="0"/>
        <w:spacing w:after="160" w:line="259" w:lineRule="auto"/>
        <w:jc w:val="both"/>
        <w:rPr>
          <w:rFonts w:eastAsia="Calibri" w:cs="Arial"/>
          <w:kern w:val="28"/>
          <w:szCs w:val="24"/>
          <w:lang w:val="es-UY" w:eastAsia="en-US"/>
        </w:rPr>
      </w:pPr>
    </w:p>
    <w:p w14:paraId="752E0705" w14:textId="77777777" w:rsidR="005B6BBF" w:rsidRPr="003221C4" w:rsidRDefault="005B6BBF" w:rsidP="007770D6">
      <w:pPr>
        <w:widowControl w:val="0"/>
        <w:tabs>
          <w:tab w:val="left" w:pos="425"/>
        </w:tabs>
        <w:overflowPunct w:val="0"/>
        <w:adjustRightInd w:val="0"/>
        <w:spacing w:after="160" w:line="259" w:lineRule="auto"/>
        <w:jc w:val="both"/>
        <w:rPr>
          <w:rFonts w:eastAsia="Calibri" w:cs="Arial"/>
          <w:kern w:val="28"/>
          <w:szCs w:val="24"/>
          <w:lang w:val="es-UY" w:eastAsia="en-US"/>
        </w:rPr>
      </w:pPr>
    </w:p>
    <w:p w14:paraId="435BE59C" w14:textId="6332D385" w:rsidR="001C4EBE" w:rsidRPr="003221C4" w:rsidRDefault="001C4EBE" w:rsidP="00202838">
      <w:pPr>
        <w:pStyle w:val="Prrafodelista"/>
        <w:widowControl w:val="0"/>
        <w:numPr>
          <w:ilvl w:val="1"/>
          <w:numId w:val="4"/>
        </w:numPr>
        <w:overflowPunct w:val="0"/>
        <w:adjustRightInd w:val="0"/>
        <w:ind w:left="1134" w:hanging="567"/>
        <w:jc w:val="both"/>
        <w:rPr>
          <w:rFonts w:cs="Arial"/>
          <w:b/>
          <w:kern w:val="28"/>
          <w:szCs w:val="24"/>
          <w:lang w:val="es-ES"/>
        </w:rPr>
      </w:pPr>
      <w:r w:rsidRPr="003221C4">
        <w:rPr>
          <w:rFonts w:cs="Arial"/>
          <w:b/>
          <w:kern w:val="28"/>
          <w:szCs w:val="24"/>
          <w:lang w:val="es-ES"/>
        </w:rPr>
        <w:t xml:space="preserve">INSTRUCCIONES Y RECOMENDACIONES DE LA COORDINACIÓN </w:t>
      </w:r>
      <w:r w:rsidR="005647FF" w:rsidRPr="003221C4">
        <w:rPr>
          <w:rFonts w:cs="Arial"/>
          <w:b/>
          <w:kern w:val="28"/>
          <w:szCs w:val="24"/>
          <w:lang w:val="es-ES"/>
        </w:rPr>
        <w:t xml:space="preserve">NACIONAL </w:t>
      </w:r>
      <w:r w:rsidRPr="003221C4">
        <w:rPr>
          <w:rFonts w:cs="Arial"/>
          <w:b/>
          <w:kern w:val="28"/>
          <w:szCs w:val="24"/>
          <w:lang w:val="es-ES"/>
        </w:rPr>
        <w:t>A LAS COMISIONES</w:t>
      </w:r>
    </w:p>
    <w:p w14:paraId="32109B5A" w14:textId="017505EA" w:rsidR="005373BC" w:rsidRPr="003221C4" w:rsidRDefault="005373BC" w:rsidP="00964633">
      <w:pPr>
        <w:pStyle w:val="Prrafodelista"/>
        <w:widowControl w:val="0"/>
        <w:overflowPunct w:val="0"/>
        <w:adjustRightInd w:val="0"/>
        <w:ind w:left="1065"/>
        <w:jc w:val="both"/>
        <w:rPr>
          <w:rFonts w:cs="Arial"/>
          <w:bCs/>
          <w:kern w:val="28"/>
          <w:szCs w:val="24"/>
          <w:lang w:val="es-ES"/>
        </w:rPr>
      </w:pPr>
    </w:p>
    <w:p w14:paraId="5BDCE766" w14:textId="671F2D10" w:rsidR="00D50381" w:rsidRPr="003221C4" w:rsidRDefault="00671F92" w:rsidP="004275DA">
      <w:pPr>
        <w:widowControl w:val="0"/>
        <w:overflowPunct w:val="0"/>
        <w:adjustRightInd w:val="0"/>
        <w:jc w:val="both"/>
        <w:rPr>
          <w:rFonts w:cs="Arial"/>
          <w:bCs/>
          <w:kern w:val="28"/>
          <w:szCs w:val="24"/>
          <w:lang w:val="es-ES"/>
        </w:rPr>
      </w:pPr>
      <w:r w:rsidRPr="003221C4">
        <w:rPr>
          <w:rFonts w:cs="Arial"/>
          <w:bCs/>
          <w:kern w:val="28"/>
          <w:szCs w:val="24"/>
          <w:lang w:val="es-ES"/>
        </w:rPr>
        <w:t xml:space="preserve">Los Coordinadores Nacionales </w:t>
      </w:r>
      <w:r w:rsidR="004275DA" w:rsidRPr="003221C4">
        <w:rPr>
          <w:rFonts w:cs="Arial"/>
          <w:bCs/>
          <w:kern w:val="28"/>
          <w:szCs w:val="24"/>
          <w:lang w:val="es-ES"/>
        </w:rPr>
        <w:t>recomendaron</w:t>
      </w:r>
      <w:r w:rsidRPr="003221C4">
        <w:rPr>
          <w:rFonts w:cs="Arial"/>
          <w:bCs/>
          <w:kern w:val="28"/>
          <w:szCs w:val="24"/>
          <w:lang w:val="es-ES"/>
        </w:rPr>
        <w:t xml:space="preserve"> a las Comisione</w:t>
      </w:r>
      <w:r w:rsidR="004275DA" w:rsidRPr="003221C4">
        <w:rPr>
          <w:rFonts w:cs="Arial"/>
          <w:bCs/>
          <w:kern w:val="28"/>
          <w:szCs w:val="24"/>
          <w:lang w:val="es-ES"/>
        </w:rPr>
        <w:t>s</w:t>
      </w:r>
      <w:r w:rsidR="00D50381" w:rsidRPr="003221C4">
        <w:rPr>
          <w:rFonts w:cs="Arial"/>
          <w:bCs/>
          <w:kern w:val="28"/>
          <w:szCs w:val="24"/>
          <w:lang w:val="es-ES"/>
        </w:rPr>
        <w:t xml:space="preserve"> que:</w:t>
      </w:r>
    </w:p>
    <w:p w14:paraId="31E8966F" w14:textId="77777777" w:rsidR="00D50381" w:rsidRPr="003221C4" w:rsidRDefault="00D50381" w:rsidP="004275DA">
      <w:pPr>
        <w:widowControl w:val="0"/>
        <w:overflowPunct w:val="0"/>
        <w:adjustRightInd w:val="0"/>
        <w:jc w:val="both"/>
        <w:rPr>
          <w:rFonts w:cs="Arial"/>
          <w:bCs/>
          <w:kern w:val="28"/>
          <w:szCs w:val="24"/>
          <w:lang w:val="es-ES"/>
        </w:rPr>
      </w:pPr>
    </w:p>
    <w:p w14:paraId="244C324C" w14:textId="3EEF392C" w:rsidR="004275DA" w:rsidRPr="003221C4" w:rsidRDefault="00D50381" w:rsidP="00D50381">
      <w:pPr>
        <w:pStyle w:val="Prrafodelista"/>
        <w:widowControl w:val="0"/>
        <w:numPr>
          <w:ilvl w:val="0"/>
          <w:numId w:val="3"/>
        </w:numPr>
        <w:overflowPunct w:val="0"/>
        <w:adjustRightInd w:val="0"/>
        <w:jc w:val="both"/>
        <w:rPr>
          <w:rFonts w:cs="Arial"/>
          <w:bCs/>
          <w:kern w:val="28"/>
          <w:szCs w:val="24"/>
          <w:lang w:val="es-ES"/>
        </w:rPr>
      </w:pPr>
      <w:r w:rsidRPr="003221C4">
        <w:rPr>
          <w:rFonts w:cs="Arial"/>
          <w:bCs/>
          <w:kern w:val="28"/>
          <w:szCs w:val="24"/>
          <w:lang w:val="es-ES"/>
        </w:rPr>
        <w:t>Manten</w:t>
      </w:r>
      <w:r w:rsidR="009C202C" w:rsidRPr="003221C4">
        <w:rPr>
          <w:rFonts w:cs="Arial"/>
          <w:bCs/>
          <w:kern w:val="28"/>
          <w:szCs w:val="24"/>
          <w:lang w:val="es-ES"/>
        </w:rPr>
        <w:t>gan</w:t>
      </w:r>
      <w:r w:rsidRPr="003221C4">
        <w:rPr>
          <w:rFonts w:cs="Arial"/>
          <w:bCs/>
          <w:kern w:val="28"/>
          <w:szCs w:val="24"/>
          <w:lang w:val="es-ES"/>
        </w:rPr>
        <w:t xml:space="preserve"> la </w:t>
      </w:r>
      <w:r w:rsidR="004275DA" w:rsidRPr="003221C4">
        <w:rPr>
          <w:rFonts w:cs="Arial"/>
          <w:bCs/>
          <w:kern w:val="28"/>
          <w:szCs w:val="24"/>
          <w:lang w:val="es-ES"/>
        </w:rPr>
        <w:t>participación activa en las reuniones compartiendo las novedades y experiencias para los puntos estipulados en sus agendas, siempre que sea posible, para que los debates sean enriquecedores.</w:t>
      </w:r>
      <w:r w:rsidR="00D83347" w:rsidRPr="003221C4">
        <w:rPr>
          <w:rFonts w:cs="Arial"/>
          <w:bCs/>
          <w:kern w:val="28"/>
          <w:szCs w:val="24"/>
          <w:lang w:val="es-ES"/>
        </w:rPr>
        <w:t xml:space="preserve"> </w:t>
      </w:r>
    </w:p>
    <w:p w14:paraId="65C95C1D" w14:textId="77777777" w:rsidR="00A54ED8" w:rsidRPr="003221C4" w:rsidRDefault="00A54ED8" w:rsidP="00A54ED8">
      <w:pPr>
        <w:widowControl w:val="0"/>
        <w:overflowPunct w:val="0"/>
        <w:adjustRightInd w:val="0"/>
        <w:jc w:val="both"/>
        <w:rPr>
          <w:rFonts w:cs="Arial"/>
          <w:bCs/>
          <w:kern w:val="28"/>
          <w:szCs w:val="24"/>
          <w:lang w:val="es-ES"/>
        </w:rPr>
      </w:pPr>
    </w:p>
    <w:p w14:paraId="22CCF29E" w14:textId="2C767171" w:rsidR="00A54ED8" w:rsidRPr="003221C4" w:rsidRDefault="00067410" w:rsidP="00A83022">
      <w:pPr>
        <w:pStyle w:val="Prrafodelista"/>
        <w:widowControl w:val="0"/>
        <w:numPr>
          <w:ilvl w:val="0"/>
          <w:numId w:val="5"/>
        </w:numPr>
        <w:overflowPunct w:val="0"/>
        <w:adjustRightInd w:val="0"/>
        <w:jc w:val="both"/>
        <w:rPr>
          <w:rFonts w:cs="Arial"/>
          <w:bCs/>
          <w:kern w:val="28"/>
          <w:szCs w:val="24"/>
          <w:lang w:val="es-ES"/>
        </w:rPr>
      </w:pPr>
      <w:r w:rsidRPr="003221C4">
        <w:rPr>
          <w:rFonts w:cs="Arial"/>
          <w:bCs/>
          <w:kern w:val="28"/>
          <w:szCs w:val="24"/>
          <w:lang w:val="es-ES"/>
        </w:rPr>
        <w:t>S</w:t>
      </w:r>
      <w:r w:rsidR="00A54ED8" w:rsidRPr="003221C4">
        <w:rPr>
          <w:rFonts w:cs="Arial"/>
          <w:bCs/>
          <w:kern w:val="28"/>
          <w:szCs w:val="24"/>
          <w:lang w:val="es-ES"/>
        </w:rPr>
        <w:t>in perjuicio de lo importante de compartir experiencias, sigan buscando ámbitos para la integración y armonización del sistema financiero del MERCOSUR.</w:t>
      </w:r>
    </w:p>
    <w:p w14:paraId="0DC8FE95" w14:textId="77777777" w:rsidR="00A54ED8" w:rsidRPr="003221C4" w:rsidRDefault="00A54ED8" w:rsidP="004275DA">
      <w:pPr>
        <w:widowControl w:val="0"/>
        <w:overflowPunct w:val="0"/>
        <w:adjustRightInd w:val="0"/>
        <w:jc w:val="both"/>
        <w:rPr>
          <w:rFonts w:cs="Arial"/>
          <w:bCs/>
          <w:kern w:val="28"/>
          <w:szCs w:val="24"/>
          <w:lang w:val="es-ES"/>
        </w:rPr>
      </w:pPr>
    </w:p>
    <w:p w14:paraId="3EDA9110" w14:textId="403D46B0" w:rsidR="000F032F" w:rsidRPr="003221C4" w:rsidRDefault="000F032F" w:rsidP="000F032F">
      <w:pPr>
        <w:pStyle w:val="Prrafodelista"/>
        <w:widowControl w:val="0"/>
        <w:numPr>
          <w:ilvl w:val="0"/>
          <w:numId w:val="3"/>
        </w:numPr>
        <w:overflowPunct w:val="0"/>
        <w:adjustRightInd w:val="0"/>
        <w:jc w:val="both"/>
        <w:rPr>
          <w:rFonts w:cs="Arial"/>
          <w:bCs/>
          <w:kern w:val="28"/>
          <w:szCs w:val="24"/>
          <w:lang w:val="es-ES"/>
        </w:rPr>
      </w:pPr>
      <w:r w:rsidRPr="003221C4">
        <w:rPr>
          <w:rFonts w:cs="Arial"/>
          <w:bCs/>
          <w:kern w:val="28"/>
          <w:szCs w:val="24"/>
          <w:lang w:val="es-ES"/>
        </w:rPr>
        <w:t xml:space="preserve">El ingreso de Bolivia como miembro pleno no trae consigo impedimentos para avanzar en la firma de acuerdos y normativas por parte del resto de los Estados Parte del </w:t>
      </w:r>
      <w:r w:rsidR="007770D6" w:rsidRPr="003221C4">
        <w:rPr>
          <w:rFonts w:cs="Arial"/>
          <w:bCs/>
          <w:kern w:val="28"/>
          <w:szCs w:val="24"/>
          <w:lang w:val="es-ES"/>
        </w:rPr>
        <w:t>MERCOSUR</w:t>
      </w:r>
      <w:r w:rsidRPr="003221C4">
        <w:rPr>
          <w:rFonts w:cs="Arial"/>
          <w:bCs/>
          <w:kern w:val="28"/>
          <w:szCs w:val="24"/>
          <w:lang w:val="es-ES"/>
        </w:rPr>
        <w:t xml:space="preserve">. Ello así, teniendo en cuenta lo dispuesto en el punto 8 de la Comunicación del 6 de agosto de 2024 de los Coordinadores Nacionales del GMC al Coordinador Nacional de  Bolivia ante el GMC que en su punto 8 establece “La participación de las Coordinaciones Nacionales del Estado Plurinacional de Bolivia en las negociaciones de los proyectos de norma y su posterior aprobación se efectuará una vez dicho Estado haya cumplido con las obligaciones previstas en el PAB y en las Decisiones CMC N° 28/05, 14/18 y 20/19. Sin perjuicio de ello, las Coordinaciones Nacionales del Estado Plurinacional de Bolivia podrán participar en calidad de observador en las referidas negociaciones” </w:t>
      </w:r>
      <w:r w:rsidR="00757106">
        <w:rPr>
          <w:rFonts w:cs="Arial"/>
          <w:bCs/>
          <w:kern w:val="28"/>
          <w:szCs w:val="24"/>
          <w:lang w:val="es-ES"/>
        </w:rPr>
        <w:t>(</w:t>
      </w:r>
      <w:r w:rsidRPr="003221C4">
        <w:rPr>
          <w:rFonts w:cs="Arial"/>
          <w:b/>
          <w:bCs/>
          <w:kern w:val="28"/>
          <w:szCs w:val="24"/>
          <w:lang w:val="es-ES"/>
        </w:rPr>
        <w:t xml:space="preserve">Anexo </w:t>
      </w:r>
      <w:r w:rsidR="00F211AB" w:rsidRPr="003221C4">
        <w:rPr>
          <w:rFonts w:cs="Arial"/>
          <w:b/>
          <w:bCs/>
          <w:kern w:val="28"/>
          <w:szCs w:val="24"/>
          <w:lang w:val="es-ES"/>
        </w:rPr>
        <w:t>V</w:t>
      </w:r>
      <w:r w:rsidR="00ED087A" w:rsidRPr="003221C4">
        <w:rPr>
          <w:rFonts w:cs="Arial"/>
          <w:b/>
          <w:bCs/>
          <w:kern w:val="28"/>
          <w:szCs w:val="24"/>
          <w:lang w:val="es-ES"/>
        </w:rPr>
        <w:t>II</w:t>
      </w:r>
      <w:r w:rsidR="00757106">
        <w:rPr>
          <w:rFonts w:cs="Arial"/>
          <w:b/>
          <w:bCs/>
          <w:kern w:val="28"/>
          <w:szCs w:val="24"/>
          <w:lang w:val="es-ES"/>
        </w:rPr>
        <w:t>)</w:t>
      </w:r>
      <w:r w:rsidRPr="003221C4">
        <w:rPr>
          <w:rFonts w:cs="Arial"/>
          <w:bCs/>
          <w:kern w:val="28"/>
          <w:szCs w:val="24"/>
          <w:lang w:val="es-ES"/>
        </w:rPr>
        <w:t>.</w:t>
      </w:r>
    </w:p>
    <w:p w14:paraId="0966208C" w14:textId="77777777" w:rsidR="000F032F" w:rsidRPr="003221C4" w:rsidRDefault="000F032F" w:rsidP="000F032F">
      <w:pPr>
        <w:pStyle w:val="Prrafodelista"/>
        <w:widowControl w:val="0"/>
        <w:overflowPunct w:val="0"/>
        <w:adjustRightInd w:val="0"/>
        <w:jc w:val="both"/>
        <w:rPr>
          <w:rFonts w:cs="Arial"/>
          <w:bCs/>
          <w:kern w:val="28"/>
          <w:szCs w:val="24"/>
          <w:lang w:val="es-ES"/>
        </w:rPr>
      </w:pPr>
    </w:p>
    <w:p w14:paraId="4775EAB8" w14:textId="255BB968" w:rsidR="008C215C" w:rsidRPr="003221C4" w:rsidRDefault="00D50381" w:rsidP="003F480B">
      <w:pPr>
        <w:pStyle w:val="Prrafodelista"/>
        <w:widowControl w:val="0"/>
        <w:numPr>
          <w:ilvl w:val="0"/>
          <w:numId w:val="3"/>
        </w:numPr>
        <w:overflowPunct w:val="0"/>
        <w:adjustRightInd w:val="0"/>
        <w:jc w:val="both"/>
        <w:rPr>
          <w:rFonts w:cs="Arial"/>
          <w:bCs/>
          <w:kern w:val="28"/>
          <w:szCs w:val="24"/>
          <w:lang w:val="es-ES"/>
        </w:rPr>
      </w:pPr>
      <w:proofErr w:type="gramStart"/>
      <w:r w:rsidRPr="003221C4">
        <w:rPr>
          <w:rFonts w:cs="Arial"/>
          <w:bCs/>
          <w:kern w:val="28"/>
          <w:szCs w:val="24"/>
          <w:lang w:val="es-ES"/>
        </w:rPr>
        <w:t>L</w:t>
      </w:r>
      <w:r w:rsidR="00EE7E72" w:rsidRPr="003221C4">
        <w:rPr>
          <w:rFonts w:cs="Arial"/>
          <w:bCs/>
          <w:kern w:val="28"/>
          <w:szCs w:val="24"/>
          <w:lang w:val="es-ES"/>
        </w:rPr>
        <w:t>os nuevos contenidos a ser publicados</w:t>
      </w:r>
      <w:proofErr w:type="gramEnd"/>
      <w:r w:rsidR="00EE7E72" w:rsidRPr="003221C4">
        <w:rPr>
          <w:rFonts w:cs="Arial"/>
          <w:bCs/>
          <w:kern w:val="28"/>
          <w:szCs w:val="24"/>
          <w:lang w:val="es-ES"/>
        </w:rPr>
        <w:t xml:space="preserve"> en </w:t>
      </w:r>
      <w:r w:rsidR="00F211AB" w:rsidRPr="003221C4">
        <w:rPr>
          <w:rFonts w:cs="Arial"/>
          <w:bCs/>
          <w:kern w:val="28"/>
          <w:szCs w:val="24"/>
          <w:lang w:val="es-ES"/>
        </w:rPr>
        <w:t>el</w:t>
      </w:r>
      <w:r w:rsidR="00EE7E72" w:rsidRPr="003221C4">
        <w:rPr>
          <w:rFonts w:cs="Arial"/>
          <w:bCs/>
          <w:kern w:val="28"/>
          <w:szCs w:val="24"/>
          <w:lang w:val="es-ES"/>
        </w:rPr>
        <w:t xml:space="preserve"> </w:t>
      </w:r>
      <w:r w:rsidR="005B6BBF" w:rsidRPr="003221C4">
        <w:rPr>
          <w:rFonts w:cs="Arial"/>
          <w:bCs/>
          <w:kern w:val="28"/>
          <w:szCs w:val="24"/>
          <w:lang w:val="es-ES"/>
        </w:rPr>
        <w:t>portal</w:t>
      </w:r>
      <w:r w:rsidR="00EE7E72" w:rsidRPr="003221C4">
        <w:rPr>
          <w:rFonts w:cs="Arial"/>
          <w:bCs/>
          <w:kern w:val="28"/>
          <w:szCs w:val="24"/>
          <w:lang w:val="es-ES"/>
        </w:rPr>
        <w:t xml:space="preserve"> web del MERCOSUR deben ajustarse a lo establecido en la Decisión CMC Nº </w:t>
      </w:r>
      <w:r w:rsidR="002C0E9A" w:rsidRPr="003221C4">
        <w:rPr>
          <w:rFonts w:cs="Arial"/>
          <w:bCs/>
          <w:kern w:val="28"/>
          <w:szCs w:val="24"/>
          <w:lang w:val="es-ES"/>
        </w:rPr>
        <w:t>2</w:t>
      </w:r>
      <w:r w:rsidR="00EE7E72" w:rsidRPr="003221C4">
        <w:rPr>
          <w:rFonts w:cs="Arial"/>
          <w:bCs/>
          <w:kern w:val="28"/>
          <w:szCs w:val="24"/>
          <w:lang w:val="es-ES"/>
        </w:rPr>
        <w:t xml:space="preserve">6/21 y la Resolución GMC Nº 32/22 (reglamentación de la </w:t>
      </w:r>
      <w:proofErr w:type="spellStart"/>
      <w:r w:rsidR="00EE7E72" w:rsidRPr="003221C4">
        <w:rPr>
          <w:rFonts w:cs="Arial"/>
          <w:bCs/>
          <w:kern w:val="28"/>
          <w:szCs w:val="24"/>
          <w:lang w:val="es-ES"/>
        </w:rPr>
        <w:t>Dec</w:t>
      </w:r>
      <w:proofErr w:type="spellEnd"/>
      <w:r w:rsidR="00EE7E72" w:rsidRPr="003221C4">
        <w:rPr>
          <w:rFonts w:cs="Arial"/>
          <w:bCs/>
          <w:kern w:val="28"/>
          <w:szCs w:val="24"/>
          <w:lang w:val="es-ES"/>
        </w:rPr>
        <w:t xml:space="preserve">. CMC Nº </w:t>
      </w:r>
      <w:r w:rsidR="002C0E9A" w:rsidRPr="003221C4">
        <w:rPr>
          <w:rFonts w:cs="Arial"/>
          <w:bCs/>
          <w:kern w:val="28"/>
          <w:szCs w:val="24"/>
          <w:lang w:val="es-ES"/>
        </w:rPr>
        <w:t>2</w:t>
      </w:r>
      <w:r w:rsidR="00EE7E72" w:rsidRPr="003221C4">
        <w:rPr>
          <w:rFonts w:cs="Arial"/>
          <w:bCs/>
          <w:kern w:val="28"/>
          <w:szCs w:val="24"/>
          <w:lang w:val="es-ES"/>
        </w:rPr>
        <w:t>6/21) y completar sus correspondientes formularios anexos I para noticias o II para publicaciones</w:t>
      </w:r>
      <w:r w:rsidR="00CA0577" w:rsidRPr="003221C4">
        <w:rPr>
          <w:rFonts w:cs="Arial"/>
          <w:bCs/>
          <w:kern w:val="28"/>
          <w:szCs w:val="24"/>
          <w:lang w:val="es-ES"/>
        </w:rPr>
        <w:t>.  En ese sentido,</w:t>
      </w:r>
      <w:r w:rsidR="00EE7E72" w:rsidRPr="003221C4">
        <w:rPr>
          <w:rFonts w:cs="Arial"/>
          <w:bCs/>
          <w:kern w:val="28"/>
          <w:szCs w:val="24"/>
          <w:lang w:val="es-ES"/>
        </w:rPr>
        <w:t xml:space="preserve"> se </w:t>
      </w:r>
      <w:r w:rsidR="0050748E" w:rsidRPr="003221C4">
        <w:rPr>
          <w:rFonts w:cs="Arial"/>
          <w:bCs/>
          <w:kern w:val="28"/>
          <w:szCs w:val="24"/>
          <w:lang w:val="es-ES"/>
        </w:rPr>
        <w:t>requiere</w:t>
      </w:r>
      <w:r w:rsidR="00EE7E72" w:rsidRPr="003221C4">
        <w:rPr>
          <w:rFonts w:cs="Arial"/>
          <w:bCs/>
          <w:kern w:val="28"/>
          <w:szCs w:val="24"/>
          <w:lang w:val="es-ES"/>
        </w:rPr>
        <w:t xml:space="preserve"> a las Comisiones que </w:t>
      </w:r>
      <w:r w:rsidR="004D639E" w:rsidRPr="003221C4">
        <w:rPr>
          <w:rFonts w:cs="Arial"/>
          <w:bCs/>
          <w:kern w:val="28"/>
          <w:szCs w:val="24"/>
          <w:lang w:val="es-ES"/>
        </w:rPr>
        <w:t>estas</w:t>
      </w:r>
      <w:r w:rsidR="00EE7E72" w:rsidRPr="003221C4">
        <w:rPr>
          <w:rFonts w:cs="Arial"/>
          <w:bCs/>
          <w:kern w:val="28"/>
          <w:szCs w:val="24"/>
          <w:lang w:val="es-ES"/>
        </w:rPr>
        <w:t xml:space="preserve"> solicitudes sean remitidas primeramente a consideración de esta Coordinación Nacional para su posterior remisión a la </w:t>
      </w:r>
      <w:r w:rsidR="00CA7728" w:rsidRPr="003221C4">
        <w:rPr>
          <w:rFonts w:cs="Arial"/>
          <w:bCs/>
          <w:kern w:val="28"/>
          <w:szCs w:val="24"/>
          <w:lang w:val="es-ES"/>
        </w:rPr>
        <w:t>secretar</w:t>
      </w:r>
      <w:r w:rsidR="00DC16C4" w:rsidRPr="003221C4">
        <w:rPr>
          <w:rFonts w:cs="Arial"/>
          <w:bCs/>
          <w:kern w:val="28"/>
          <w:szCs w:val="24"/>
          <w:lang w:val="es-ES"/>
        </w:rPr>
        <w:t>í</w:t>
      </w:r>
      <w:r w:rsidR="00CA7728" w:rsidRPr="003221C4">
        <w:rPr>
          <w:rFonts w:cs="Arial"/>
          <w:bCs/>
          <w:kern w:val="28"/>
          <w:szCs w:val="24"/>
          <w:lang w:val="es-ES"/>
        </w:rPr>
        <w:t>a</w:t>
      </w:r>
      <w:r w:rsidR="00EE7E72" w:rsidRPr="003221C4">
        <w:rPr>
          <w:rFonts w:cs="Arial"/>
          <w:bCs/>
          <w:kern w:val="28"/>
          <w:szCs w:val="24"/>
          <w:lang w:val="es-ES"/>
        </w:rPr>
        <w:t xml:space="preserve"> del MERCOSUR.</w:t>
      </w:r>
      <w:r w:rsidR="0050748E" w:rsidRPr="003221C4">
        <w:rPr>
          <w:rFonts w:cs="Arial"/>
          <w:bCs/>
          <w:kern w:val="28"/>
          <w:szCs w:val="24"/>
          <w:lang w:val="es-ES"/>
        </w:rPr>
        <w:t xml:space="preserve"> </w:t>
      </w:r>
    </w:p>
    <w:p w14:paraId="227C3D3F" w14:textId="77777777" w:rsidR="00641A38" w:rsidRPr="003221C4" w:rsidRDefault="00641A38" w:rsidP="00641A38">
      <w:pPr>
        <w:widowControl w:val="0"/>
        <w:overflowPunct w:val="0"/>
        <w:adjustRightInd w:val="0"/>
        <w:jc w:val="both"/>
        <w:rPr>
          <w:rFonts w:cs="Arial"/>
          <w:bCs/>
          <w:kern w:val="28"/>
          <w:szCs w:val="24"/>
          <w:lang w:val="es-ES"/>
        </w:rPr>
      </w:pPr>
    </w:p>
    <w:p w14:paraId="15778811" w14:textId="1DE0B94E" w:rsidR="000C5194" w:rsidRPr="003221C4" w:rsidRDefault="000C5194" w:rsidP="000C5194">
      <w:pPr>
        <w:pStyle w:val="Prrafodelista"/>
        <w:numPr>
          <w:ilvl w:val="0"/>
          <w:numId w:val="5"/>
        </w:numPr>
        <w:jc w:val="both"/>
      </w:pPr>
      <w:r w:rsidRPr="003221C4">
        <w:t xml:space="preserve">Respecto a la Nota de Prensa que habitualmente elabora esta Coordinación Nacional para la publicación en el </w:t>
      </w:r>
      <w:r w:rsidR="00FB2BB8" w:rsidRPr="003221C4">
        <w:t>portal</w:t>
      </w:r>
      <w:r w:rsidRPr="003221C4">
        <w:t xml:space="preserve"> web del </w:t>
      </w:r>
      <w:r w:rsidR="00FB2BB8" w:rsidRPr="003221C4">
        <w:t>MERCOSUR</w:t>
      </w:r>
      <w:r w:rsidRPr="003221C4">
        <w:t>, y para la cual recibe los aportes de cada una de las Comisiones, se les sugiere a dichas instancias que para su elaboración tengan a bien destacar las cuestiones más significativas de la reunión.</w:t>
      </w:r>
    </w:p>
    <w:p w14:paraId="29902B7E" w14:textId="77777777" w:rsidR="000641B5" w:rsidRPr="003221C4" w:rsidRDefault="000641B5" w:rsidP="009961DC">
      <w:pPr>
        <w:pStyle w:val="Prrafodelista"/>
        <w:ind w:left="1416" w:hanging="696"/>
        <w:jc w:val="both"/>
      </w:pPr>
    </w:p>
    <w:p w14:paraId="1D24B60C" w14:textId="74C489D0" w:rsidR="001555FE" w:rsidRPr="003221C4" w:rsidRDefault="001555FE" w:rsidP="00CA0577">
      <w:pPr>
        <w:widowControl w:val="0"/>
        <w:overflowPunct w:val="0"/>
        <w:adjustRightInd w:val="0"/>
        <w:jc w:val="both"/>
        <w:rPr>
          <w:rFonts w:cs="Arial"/>
          <w:b/>
          <w:bCs/>
          <w:kern w:val="28"/>
          <w:szCs w:val="24"/>
          <w:lang w:val="es-ES"/>
        </w:rPr>
      </w:pPr>
    </w:p>
    <w:p w14:paraId="32E7D857" w14:textId="6624CE0A" w:rsidR="009759E2" w:rsidRPr="003221C4" w:rsidRDefault="00946D78" w:rsidP="00202838">
      <w:pPr>
        <w:pStyle w:val="Prrafodelista"/>
        <w:widowControl w:val="0"/>
        <w:numPr>
          <w:ilvl w:val="0"/>
          <w:numId w:val="4"/>
        </w:numPr>
        <w:overflowPunct w:val="0"/>
        <w:adjustRightInd w:val="0"/>
        <w:ind w:left="567" w:hanging="567"/>
        <w:jc w:val="both"/>
        <w:rPr>
          <w:rFonts w:cs="Arial"/>
          <w:b/>
          <w:bCs/>
          <w:kern w:val="28"/>
          <w:szCs w:val="24"/>
          <w:lang w:val="es-ES"/>
        </w:rPr>
      </w:pPr>
      <w:r w:rsidRPr="003221C4">
        <w:rPr>
          <w:rFonts w:cs="Arial"/>
          <w:b/>
          <w:bCs/>
          <w:kern w:val="28"/>
          <w:szCs w:val="24"/>
          <w:lang w:val="es-ES"/>
        </w:rPr>
        <w:t>PRESENTACIÓN FINANZAS ABIERTAS Y PAGOS RÁPIDOS</w:t>
      </w:r>
    </w:p>
    <w:p w14:paraId="38C8639C" w14:textId="41A087C4" w:rsidR="002A7685" w:rsidRPr="003221C4" w:rsidRDefault="002A7685" w:rsidP="00946D78">
      <w:pPr>
        <w:pStyle w:val="Prrafodelista"/>
        <w:widowControl w:val="0"/>
        <w:overflowPunct w:val="0"/>
        <w:adjustRightInd w:val="0"/>
        <w:ind w:left="705"/>
        <w:jc w:val="both"/>
        <w:rPr>
          <w:rFonts w:cs="Arial"/>
          <w:b/>
          <w:bCs/>
          <w:kern w:val="28"/>
          <w:szCs w:val="24"/>
          <w:lang w:val="es-ES"/>
        </w:rPr>
      </w:pPr>
    </w:p>
    <w:p w14:paraId="16E8BDBC" w14:textId="12BEFF10" w:rsidR="002A7685" w:rsidRPr="003221C4" w:rsidRDefault="00014336" w:rsidP="002A7685">
      <w:pPr>
        <w:pStyle w:val="Prrafodelista"/>
        <w:widowControl w:val="0"/>
        <w:overflowPunct w:val="0"/>
        <w:adjustRightInd w:val="0"/>
        <w:ind w:left="0"/>
        <w:jc w:val="both"/>
        <w:rPr>
          <w:rFonts w:cs="Arial"/>
          <w:bCs/>
          <w:kern w:val="28"/>
          <w:szCs w:val="24"/>
          <w:lang w:val="es-ES"/>
        </w:rPr>
      </w:pPr>
      <w:r w:rsidRPr="003221C4">
        <w:rPr>
          <w:rFonts w:cs="Arial"/>
          <w:bCs/>
          <w:kern w:val="28"/>
          <w:szCs w:val="24"/>
          <w:lang w:val="es-ES"/>
        </w:rPr>
        <w:t xml:space="preserve">La </w:t>
      </w:r>
      <w:r w:rsidR="009961DC" w:rsidRPr="003221C4">
        <w:rPr>
          <w:rFonts w:cs="Arial"/>
          <w:bCs/>
          <w:kern w:val="28"/>
          <w:szCs w:val="24"/>
          <w:lang w:val="es-ES"/>
        </w:rPr>
        <w:t>delegación de Uruguay</w:t>
      </w:r>
      <w:r w:rsidRPr="003221C4">
        <w:rPr>
          <w:rFonts w:cs="Arial"/>
          <w:bCs/>
          <w:kern w:val="28"/>
          <w:szCs w:val="24"/>
          <w:lang w:val="es-ES"/>
        </w:rPr>
        <w:t xml:space="preserve"> organizó la realización de una presentación </w:t>
      </w:r>
      <w:r w:rsidR="002A7685" w:rsidRPr="003221C4">
        <w:rPr>
          <w:rFonts w:cs="Arial"/>
          <w:bCs/>
          <w:kern w:val="28"/>
          <w:szCs w:val="24"/>
          <w:lang w:val="es-ES"/>
        </w:rPr>
        <w:t xml:space="preserve">a la </w:t>
      </w:r>
      <w:r w:rsidR="009961DC" w:rsidRPr="003221C4">
        <w:rPr>
          <w:rFonts w:cs="Arial"/>
          <w:bCs/>
          <w:kern w:val="28"/>
          <w:szCs w:val="24"/>
          <w:lang w:val="es-ES"/>
        </w:rPr>
        <w:t>Coordinación N</w:t>
      </w:r>
      <w:r w:rsidR="002A7685" w:rsidRPr="003221C4">
        <w:rPr>
          <w:rFonts w:cs="Arial"/>
          <w:bCs/>
          <w:kern w:val="28"/>
          <w:szCs w:val="24"/>
          <w:lang w:val="es-ES"/>
        </w:rPr>
        <w:t>acional y a todas las comisiones del SGT</w:t>
      </w:r>
      <w:r w:rsidR="00A80FB7" w:rsidRPr="003221C4">
        <w:rPr>
          <w:rFonts w:cs="Arial"/>
          <w:bCs/>
          <w:kern w:val="28"/>
          <w:szCs w:val="24"/>
          <w:lang w:val="es-ES"/>
        </w:rPr>
        <w:t xml:space="preserve"> </w:t>
      </w:r>
      <w:proofErr w:type="spellStart"/>
      <w:r w:rsidR="00A80FB7" w:rsidRPr="003221C4">
        <w:rPr>
          <w:rFonts w:cs="Arial"/>
          <w:bCs/>
          <w:kern w:val="28"/>
          <w:szCs w:val="24"/>
          <w:lang w:val="es-ES"/>
        </w:rPr>
        <w:t>N°</w:t>
      </w:r>
      <w:proofErr w:type="spellEnd"/>
      <w:r w:rsidR="00A80FB7" w:rsidRPr="003221C4">
        <w:rPr>
          <w:rFonts w:cs="Arial"/>
          <w:bCs/>
          <w:kern w:val="28"/>
          <w:szCs w:val="24"/>
          <w:lang w:val="es-ES"/>
        </w:rPr>
        <w:t xml:space="preserve"> </w:t>
      </w:r>
      <w:r w:rsidR="002A7685" w:rsidRPr="003221C4">
        <w:rPr>
          <w:rFonts w:cs="Arial"/>
          <w:bCs/>
          <w:kern w:val="28"/>
          <w:szCs w:val="24"/>
          <w:lang w:val="es-ES"/>
        </w:rPr>
        <w:t xml:space="preserve">4 sobre Finanzas Abiertas y Pagos Rápidos. </w:t>
      </w:r>
    </w:p>
    <w:p w14:paraId="15554359" w14:textId="77777777" w:rsidR="00014336" w:rsidRPr="003221C4" w:rsidRDefault="00014336" w:rsidP="002A7685">
      <w:pPr>
        <w:pStyle w:val="Prrafodelista"/>
        <w:widowControl w:val="0"/>
        <w:overflowPunct w:val="0"/>
        <w:adjustRightInd w:val="0"/>
        <w:ind w:left="0"/>
        <w:jc w:val="both"/>
        <w:rPr>
          <w:rFonts w:cs="Arial"/>
          <w:bCs/>
          <w:kern w:val="28"/>
          <w:szCs w:val="24"/>
          <w:lang w:val="es-ES"/>
        </w:rPr>
      </w:pPr>
    </w:p>
    <w:p w14:paraId="363C27A0" w14:textId="33164231" w:rsidR="002A7685" w:rsidRPr="003221C4" w:rsidRDefault="002A7685" w:rsidP="002A7685">
      <w:pPr>
        <w:pStyle w:val="Prrafodelista"/>
        <w:widowControl w:val="0"/>
        <w:overflowPunct w:val="0"/>
        <w:adjustRightInd w:val="0"/>
        <w:ind w:left="0"/>
        <w:jc w:val="both"/>
        <w:rPr>
          <w:rFonts w:cs="Arial"/>
          <w:bCs/>
          <w:kern w:val="28"/>
          <w:szCs w:val="24"/>
          <w:lang w:val="es-ES"/>
        </w:rPr>
      </w:pPr>
      <w:r w:rsidRPr="003221C4">
        <w:rPr>
          <w:rFonts w:cs="Arial"/>
          <w:bCs/>
          <w:kern w:val="28"/>
          <w:szCs w:val="24"/>
          <w:lang w:val="es-ES"/>
        </w:rPr>
        <w:t>La</w:t>
      </w:r>
      <w:r w:rsidR="00014336" w:rsidRPr="003221C4">
        <w:rPr>
          <w:rFonts w:cs="Arial"/>
          <w:bCs/>
          <w:kern w:val="28"/>
          <w:szCs w:val="24"/>
          <w:lang w:val="es-ES"/>
        </w:rPr>
        <w:t xml:space="preserve">s ponencias fueron realizadas por </w:t>
      </w:r>
      <w:r w:rsidRPr="003221C4">
        <w:rPr>
          <w:rFonts w:cs="Arial"/>
          <w:bCs/>
          <w:kern w:val="28"/>
          <w:szCs w:val="24"/>
          <w:lang w:val="es-ES"/>
        </w:rPr>
        <w:t xml:space="preserve">la Oficina de Innovación y </w:t>
      </w:r>
      <w:r w:rsidR="00014336" w:rsidRPr="003221C4">
        <w:rPr>
          <w:rFonts w:cs="Arial"/>
          <w:bCs/>
          <w:kern w:val="28"/>
          <w:szCs w:val="24"/>
          <w:lang w:val="es-ES"/>
        </w:rPr>
        <w:t>Sistema de Pagos del B</w:t>
      </w:r>
      <w:r w:rsidR="009961DC" w:rsidRPr="003221C4">
        <w:rPr>
          <w:rFonts w:cs="Arial"/>
          <w:bCs/>
          <w:kern w:val="28"/>
          <w:szCs w:val="24"/>
          <w:lang w:val="es-ES"/>
        </w:rPr>
        <w:t xml:space="preserve">anco </w:t>
      </w:r>
      <w:r w:rsidR="00014336" w:rsidRPr="003221C4">
        <w:rPr>
          <w:rFonts w:cs="Arial"/>
          <w:bCs/>
          <w:kern w:val="28"/>
          <w:szCs w:val="24"/>
          <w:lang w:val="es-ES"/>
        </w:rPr>
        <w:t>C</w:t>
      </w:r>
      <w:r w:rsidR="009961DC" w:rsidRPr="003221C4">
        <w:rPr>
          <w:rFonts w:cs="Arial"/>
          <w:bCs/>
          <w:kern w:val="28"/>
          <w:szCs w:val="24"/>
          <w:lang w:val="es-ES"/>
        </w:rPr>
        <w:t xml:space="preserve">entral del </w:t>
      </w:r>
      <w:r w:rsidR="00014336" w:rsidRPr="003221C4">
        <w:rPr>
          <w:rFonts w:cs="Arial"/>
          <w:bCs/>
          <w:kern w:val="28"/>
          <w:szCs w:val="24"/>
          <w:lang w:val="es-ES"/>
        </w:rPr>
        <w:t>U</w:t>
      </w:r>
      <w:r w:rsidR="009961DC" w:rsidRPr="003221C4">
        <w:rPr>
          <w:rFonts w:cs="Arial"/>
          <w:bCs/>
          <w:kern w:val="28"/>
          <w:szCs w:val="24"/>
          <w:lang w:val="es-ES"/>
        </w:rPr>
        <w:t>ruguay (BCU)</w:t>
      </w:r>
      <w:r w:rsidR="00014336" w:rsidRPr="003221C4">
        <w:rPr>
          <w:rFonts w:cs="Arial"/>
          <w:bCs/>
          <w:kern w:val="28"/>
          <w:szCs w:val="24"/>
          <w:lang w:val="es-ES"/>
        </w:rPr>
        <w:t xml:space="preserve"> y durante las mismas se intercambiaron comentarios entre los países. </w:t>
      </w:r>
      <w:r w:rsidRPr="003221C4">
        <w:rPr>
          <w:rFonts w:cs="Arial"/>
          <w:bCs/>
          <w:kern w:val="28"/>
          <w:szCs w:val="24"/>
          <w:lang w:val="es-ES"/>
        </w:rPr>
        <w:t xml:space="preserve">  </w:t>
      </w:r>
    </w:p>
    <w:p w14:paraId="12BE8B40" w14:textId="4F2813AE" w:rsidR="00014336" w:rsidRPr="003221C4" w:rsidRDefault="00014336" w:rsidP="002A7685">
      <w:pPr>
        <w:pStyle w:val="Prrafodelista"/>
        <w:widowControl w:val="0"/>
        <w:overflowPunct w:val="0"/>
        <w:adjustRightInd w:val="0"/>
        <w:ind w:left="0"/>
        <w:jc w:val="both"/>
        <w:rPr>
          <w:rFonts w:cs="Arial"/>
          <w:bCs/>
          <w:kern w:val="28"/>
          <w:szCs w:val="24"/>
          <w:lang w:val="es-ES"/>
        </w:rPr>
      </w:pPr>
    </w:p>
    <w:p w14:paraId="4F87D360" w14:textId="68BAC85F" w:rsidR="00014336" w:rsidRPr="003221C4" w:rsidRDefault="00014336" w:rsidP="002A7685">
      <w:pPr>
        <w:pStyle w:val="Prrafodelista"/>
        <w:widowControl w:val="0"/>
        <w:overflowPunct w:val="0"/>
        <w:adjustRightInd w:val="0"/>
        <w:ind w:left="0"/>
        <w:jc w:val="both"/>
        <w:rPr>
          <w:rFonts w:cs="Arial"/>
          <w:b/>
          <w:bCs/>
          <w:kern w:val="28"/>
          <w:szCs w:val="24"/>
          <w:lang w:val="es-ES"/>
        </w:rPr>
      </w:pPr>
      <w:r w:rsidRPr="003221C4">
        <w:rPr>
          <w:rFonts w:cs="Arial"/>
          <w:bCs/>
          <w:kern w:val="28"/>
          <w:szCs w:val="24"/>
          <w:lang w:val="es-ES"/>
        </w:rPr>
        <w:t xml:space="preserve">Se incorpora la presentación como </w:t>
      </w:r>
      <w:r w:rsidRPr="003221C4">
        <w:rPr>
          <w:rFonts w:cs="Arial"/>
          <w:b/>
          <w:bCs/>
          <w:kern w:val="28"/>
          <w:szCs w:val="24"/>
          <w:lang w:val="es-ES"/>
        </w:rPr>
        <w:t>A</w:t>
      </w:r>
      <w:r w:rsidR="00A80FB7" w:rsidRPr="003221C4">
        <w:rPr>
          <w:rFonts w:cs="Arial"/>
          <w:b/>
          <w:bCs/>
          <w:kern w:val="28"/>
          <w:szCs w:val="24"/>
          <w:lang w:val="es-ES"/>
        </w:rPr>
        <w:t>nexo</w:t>
      </w:r>
      <w:r w:rsidRPr="003221C4">
        <w:rPr>
          <w:rFonts w:cs="Arial"/>
          <w:b/>
          <w:bCs/>
          <w:kern w:val="28"/>
          <w:szCs w:val="24"/>
          <w:lang w:val="es-ES"/>
        </w:rPr>
        <w:t xml:space="preserve"> X</w:t>
      </w:r>
      <w:r w:rsidR="001A4C55" w:rsidRPr="003221C4">
        <w:rPr>
          <w:rFonts w:cs="Arial"/>
          <w:b/>
          <w:bCs/>
          <w:kern w:val="28"/>
          <w:szCs w:val="24"/>
          <w:lang w:val="es-ES"/>
        </w:rPr>
        <w:t>I</w:t>
      </w:r>
      <w:r w:rsidR="00BE7CC7" w:rsidRPr="003221C4">
        <w:rPr>
          <w:rFonts w:cs="Arial"/>
          <w:b/>
          <w:bCs/>
          <w:kern w:val="28"/>
          <w:szCs w:val="24"/>
          <w:lang w:val="es-ES"/>
        </w:rPr>
        <w:t>II</w:t>
      </w:r>
      <w:r w:rsidRPr="003221C4">
        <w:rPr>
          <w:rFonts w:cs="Arial"/>
          <w:b/>
          <w:bCs/>
          <w:kern w:val="28"/>
          <w:szCs w:val="24"/>
          <w:lang w:val="es-ES"/>
        </w:rPr>
        <w:t>.</w:t>
      </w:r>
    </w:p>
    <w:p w14:paraId="089D095F" w14:textId="0B7D4819" w:rsidR="002A7685" w:rsidRPr="003221C4" w:rsidRDefault="002A7685" w:rsidP="002A7685">
      <w:pPr>
        <w:pStyle w:val="Prrafodelista"/>
        <w:widowControl w:val="0"/>
        <w:overflowPunct w:val="0"/>
        <w:adjustRightInd w:val="0"/>
        <w:ind w:left="0"/>
        <w:jc w:val="both"/>
        <w:rPr>
          <w:rFonts w:cs="Arial"/>
          <w:bCs/>
          <w:kern w:val="28"/>
          <w:szCs w:val="24"/>
          <w:lang w:val="es-ES"/>
        </w:rPr>
      </w:pPr>
    </w:p>
    <w:p w14:paraId="7C0B5331" w14:textId="77777777" w:rsidR="00A80FB7" w:rsidRPr="003221C4" w:rsidRDefault="00A80FB7" w:rsidP="001C4EBE">
      <w:pPr>
        <w:widowControl w:val="0"/>
        <w:overflowPunct w:val="0"/>
        <w:adjustRightInd w:val="0"/>
        <w:jc w:val="both"/>
        <w:rPr>
          <w:rFonts w:cs="Arial"/>
          <w:bCs/>
          <w:kern w:val="28"/>
          <w:szCs w:val="24"/>
          <w:lang w:val="es-ES"/>
        </w:rPr>
      </w:pPr>
    </w:p>
    <w:p w14:paraId="2A9F9DC5" w14:textId="5ED13D20" w:rsidR="001C4EBE" w:rsidRPr="003221C4" w:rsidRDefault="001C4EBE" w:rsidP="00202838">
      <w:pPr>
        <w:pStyle w:val="Prrafodelista"/>
        <w:widowControl w:val="0"/>
        <w:numPr>
          <w:ilvl w:val="0"/>
          <w:numId w:val="4"/>
        </w:numPr>
        <w:overflowPunct w:val="0"/>
        <w:adjustRightInd w:val="0"/>
        <w:ind w:left="567" w:hanging="567"/>
        <w:jc w:val="both"/>
        <w:rPr>
          <w:rFonts w:cs="Arial"/>
          <w:b/>
          <w:kern w:val="28"/>
          <w:szCs w:val="24"/>
          <w:lang w:val="es-ES"/>
        </w:rPr>
      </w:pPr>
      <w:r w:rsidRPr="003221C4">
        <w:rPr>
          <w:rFonts w:cs="Arial"/>
          <w:b/>
          <w:kern w:val="28"/>
          <w:szCs w:val="24"/>
          <w:lang w:val="es-ES"/>
        </w:rPr>
        <w:t>OTROS TEMAS</w:t>
      </w:r>
    </w:p>
    <w:p w14:paraId="48744FC1" w14:textId="77777777" w:rsidR="001C4EBE" w:rsidRPr="003221C4" w:rsidRDefault="001C4EBE" w:rsidP="001C4EBE">
      <w:pPr>
        <w:widowControl w:val="0"/>
        <w:overflowPunct w:val="0"/>
        <w:adjustRightInd w:val="0"/>
        <w:jc w:val="both"/>
        <w:rPr>
          <w:rFonts w:cs="Arial"/>
          <w:b/>
          <w:kern w:val="28"/>
          <w:szCs w:val="24"/>
          <w:lang w:val="es-ES"/>
        </w:rPr>
      </w:pPr>
    </w:p>
    <w:p w14:paraId="31247A01" w14:textId="19654AD8" w:rsidR="001C4EBE" w:rsidRPr="003221C4" w:rsidRDefault="00AA63E3" w:rsidP="00202838">
      <w:pPr>
        <w:widowControl w:val="0"/>
        <w:overflowPunct w:val="0"/>
        <w:adjustRightInd w:val="0"/>
        <w:ind w:left="1134" w:hanging="567"/>
        <w:jc w:val="both"/>
        <w:rPr>
          <w:rFonts w:cs="Arial"/>
          <w:b/>
          <w:kern w:val="28"/>
          <w:szCs w:val="24"/>
          <w:lang w:val="es-ES"/>
        </w:rPr>
      </w:pPr>
      <w:r w:rsidRPr="003221C4">
        <w:rPr>
          <w:rFonts w:cs="Arial"/>
          <w:b/>
          <w:kern w:val="28"/>
          <w:szCs w:val="24"/>
          <w:lang w:val="es-ES"/>
        </w:rPr>
        <w:t>6</w:t>
      </w:r>
      <w:r w:rsidR="001C4EBE" w:rsidRPr="003221C4">
        <w:rPr>
          <w:rFonts w:cs="Arial"/>
          <w:b/>
          <w:kern w:val="28"/>
          <w:szCs w:val="24"/>
          <w:lang w:val="es-ES"/>
        </w:rPr>
        <w:t>.1.</w:t>
      </w:r>
      <w:r w:rsidR="001C4EBE" w:rsidRPr="003221C4">
        <w:rPr>
          <w:rFonts w:cs="Arial"/>
          <w:b/>
          <w:kern w:val="28"/>
          <w:szCs w:val="24"/>
          <w:lang w:val="es-ES"/>
        </w:rPr>
        <w:tab/>
        <w:t xml:space="preserve">Informe </w:t>
      </w:r>
      <w:r w:rsidRPr="003221C4">
        <w:rPr>
          <w:rFonts w:cs="Arial"/>
          <w:b/>
          <w:kern w:val="28"/>
          <w:szCs w:val="24"/>
          <w:lang w:val="es-ES"/>
        </w:rPr>
        <w:t xml:space="preserve">de cumplimiento </w:t>
      </w:r>
      <w:r w:rsidR="001C4EBE" w:rsidRPr="003221C4">
        <w:rPr>
          <w:rFonts w:cs="Arial"/>
          <w:b/>
          <w:kern w:val="28"/>
          <w:szCs w:val="24"/>
          <w:lang w:val="es-ES"/>
        </w:rPr>
        <w:t>del Programa de Trabajo 2023-2024</w:t>
      </w:r>
    </w:p>
    <w:p w14:paraId="5F693880" w14:textId="77777777" w:rsidR="00671F92" w:rsidRPr="003221C4" w:rsidRDefault="00671F92" w:rsidP="00671F92">
      <w:pPr>
        <w:widowControl w:val="0"/>
        <w:overflowPunct w:val="0"/>
        <w:adjustRightInd w:val="0"/>
        <w:jc w:val="both"/>
        <w:rPr>
          <w:rFonts w:cs="Arial"/>
          <w:b/>
          <w:kern w:val="28"/>
          <w:szCs w:val="24"/>
          <w:lang w:val="es-ES"/>
        </w:rPr>
      </w:pPr>
    </w:p>
    <w:p w14:paraId="62A972EB" w14:textId="09CDA648" w:rsidR="00671F92" w:rsidRPr="003221C4" w:rsidRDefault="005373BC" w:rsidP="00671F92">
      <w:pPr>
        <w:widowControl w:val="0"/>
        <w:overflowPunct w:val="0"/>
        <w:adjustRightInd w:val="0"/>
        <w:jc w:val="both"/>
        <w:rPr>
          <w:rFonts w:cs="Arial"/>
          <w:bCs/>
          <w:kern w:val="28"/>
          <w:szCs w:val="24"/>
          <w:lang w:val="es-ES"/>
        </w:rPr>
      </w:pPr>
      <w:r w:rsidRPr="003221C4">
        <w:rPr>
          <w:rFonts w:cs="Arial"/>
          <w:bCs/>
          <w:kern w:val="28"/>
          <w:szCs w:val="24"/>
          <w:lang w:val="es-ES"/>
        </w:rPr>
        <w:t>Los Coordinadores Nacionales elaboraron su informe de Cumplimiento del Programa d</w:t>
      </w:r>
      <w:r w:rsidR="009B5B05" w:rsidRPr="003221C4">
        <w:rPr>
          <w:rFonts w:cs="Arial"/>
          <w:bCs/>
          <w:kern w:val="28"/>
          <w:szCs w:val="24"/>
          <w:lang w:val="es-ES"/>
        </w:rPr>
        <w:t xml:space="preserve">e Trabajo del período 2023-2024. </w:t>
      </w:r>
      <w:r w:rsidRPr="003221C4">
        <w:rPr>
          <w:rFonts w:cs="Arial"/>
          <w:bCs/>
          <w:kern w:val="28"/>
          <w:szCs w:val="24"/>
          <w:lang w:val="es-ES"/>
        </w:rPr>
        <w:t xml:space="preserve">Asimismo, revisaron los Informes de cumplimiento de los Programas de Trabajo del período 2023-2024 de las Comisiones. Estos informes </w:t>
      </w:r>
      <w:r w:rsidR="00FB2BB8" w:rsidRPr="003221C4">
        <w:rPr>
          <w:rFonts w:cs="Arial"/>
          <w:bCs/>
          <w:kern w:val="28"/>
          <w:szCs w:val="24"/>
          <w:lang w:val="es-ES"/>
        </w:rPr>
        <w:t xml:space="preserve">(a excepción del IC de la CMV) </w:t>
      </w:r>
      <w:r w:rsidRPr="003221C4">
        <w:rPr>
          <w:rFonts w:cs="Arial"/>
          <w:bCs/>
          <w:kern w:val="28"/>
          <w:szCs w:val="24"/>
          <w:lang w:val="es-ES"/>
        </w:rPr>
        <w:t xml:space="preserve">se elevaron a consideración del GMC conforme a lo establecido en el Anexo III de la </w:t>
      </w:r>
      <w:proofErr w:type="spellStart"/>
      <w:r w:rsidRPr="003221C4">
        <w:rPr>
          <w:rFonts w:cs="Arial"/>
          <w:bCs/>
          <w:kern w:val="28"/>
          <w:szCs w:val="24"/>
          <w:lang w:val="es-ES"/>
        </w:rPr>
        <w:t>Dec</w:t>
      </w:r>
      <w:proofErr w:type="spellEnd"/>
      <w:r w:rsidRPr="003221C4">
        <w:rPr>
          <w:rFonts w:cs="Arial"/>
          <w:bCs/>
          <w:kern w:val="28"/>
          <w:szCs w:val="24"/>
          <w:lang w:val="es-ES"/>
        </w:rPr>
        <w:t xml:space="preserve">. CMC </w:t>
      </w:r>
      <w:proofErr w:type="spellStart"/>
      <w:r w:rsidRPr="003221C4">
        <w:rPr>
          <w:rFonts w:cs="Arial"/>
          <w:bCs/>
          <w:kern w:val="28"/>
          <w:szCs w:val="24"/>
          <w:lang w:val="es-ES"/>
        </w:rPr>
        <w:t>Nº</w:t>
      </w:r>
      <w:proofErr w:type="spellEnd"/>
      <w:r w:rsidRPr="003221C4">
        <w:rPr>
          <w:rFonts w:cs="Arial"/>
          <w:bCs/>
          <w:kern w:val="28"/>
          <w:szCs w:val="24"/>
          <w:lang w:val="es-ES"/>
        </w:rPr>
        <w:t xml:space="preserve"> 36/10 </w:t>
      </w:r>
      <w:r w:rsidR="00522477" w:rsidRPr="003221C4">
        <w:rPr>
          <w:rFonts w:cs="Arial"/>
          <w:b/>
          <w:kern w:val="28"/>
          <w:szCs w:val="24"/>
          <w:lang w:val="es-ES"/>
        </w:rPr>
        <w:t>(Anexo XI</w:t>
      </w:r>
      <w:r w:rsidR="00BE7CC7" w:rsidRPr="003221C4">
        <w:rPr>
          <w:rFonts w:cs="Arial"/>
          <w:b/>
          <w:kern w:val="28"/>
          <w:szCs w:val="24"/>
          <w:lang w:val="es-ES"/>
        </w:rPr>
        <w:t>V)</w:t>
      </w:r>
      <w:r w:rsidR="00757106">
        <w:rPr>
          <w:rFonts w:cs="Arial"/>
          <w:b/>
          <w:kern w:val="28"/>
          <w:szCs w:val="24"/>
          <w:lang w:val="es-ES"/>
        </w:rPr>
        <w:t>.</w:t>
      </w:r>
    </w:p>
    <w:p w14:paraId="19AA9B35" w14:textId="77777777" w:rsidR="001C4EBE" w:rsidRPr="003221C4" w:rsidRDefault="001C4EBE" w:rsidP="001C4EBE">
      <w:pPr>
        <w:widowControl w:val="0"/>
        <w:overflowPunct w:val="0"/>
        <w:adjustRightInd w:val="0"/>
        <w:jc w:val="both"/>
        <w:rPr>
          <w:rFonts w:cs="Arial"/>
          <w:b/>
          <w:kern w:val="28"/>
          <w:szCs w:val="24"/>
          <w:lang w:val="es-ES"/>
        </w:rPr>
      </w:pPr>
    </w:p>
    <w:p w14:paraId="1E6CF6DA" w14:textId="15DB64E7" w:rsidR="001555FE" w:rsidRPr="003221C4" w:rsidRDefault="00AA63E3" w:rsidP="00202838">
      <w:pPr>
        <w:widowControl w:val="0"/>
        <w:overflowPunct w:val="0"/>
        <w:adjustRightInd w:val="0"/>
        <w:ind w:left="1134" w:hanging="567"/>
        <w:jc w:val="both"/>
        <w:rPr>
          <w:rFonts w:cs="Arial"/>
          <w:b/>
          <w:kern w:val="28"/>
          <w:szCs w:val="24"/>
          <w:lang w:val="es-ES"/>
        </w:rPr>
      </w:pPr>
      <w:r w:rsidRPr="003221C4">
        <w:rPr>
          <w:rFonts w:cs="Arial"/>
          <w:b/>
          <w:kern w:val="28"/>
          <w:szCs w:val="24"/>
          <w:lang w:val="es-ES"/>
        </w:rPr>
        <w:t>6</w:t>
      </w:r>
      <w:r w:rsidR="001C4EBE" w:rsidRPr="003221C4">
        <w:rPr>
          <w:rFonts w:cs="Arial"/>
          <w:b/>
          <w:kern w:val="28"/>
          <w:szCs w:val="24"/>
          <w:lang w:val="es-ES"/>
        </w:rPr>
        <w:t>.2.</w:t>
      </w:r>
      <w:r w:rsidR="001555FE" w:rsidRPr="003221C4">
        <w:rPr>
          <w:rFonts w:cs="Arial"/>
          <w:b/>
          <w:kern w:val="28"/>
          <w:szCs w:val="24"/>
          <w:lang w:val="es-ES"/>
        </w:rPr>
        <w:t xml:space="preserve">   </w:t>
      </w:r>
      <w:r w:rsidRPr="003221C4">
        <w:rPr>
          <w:rFonts w:cs="Arial"/>
          <w:b/>
          <w:kern w:val="28"/>
          <w:szCs w:val="24"/>
          <w:lang w:val="es-ES"/>
        </w:rPr>
        <w:t>Programa de trabajo 2025-2026</w:t>
      </w:r>
    </w:p>
    <w:p w14:paraId="54EA2A2B" w14:textId="77777777" w:rsidR="001555FE" w:rsidRPr="003221C4" w:rsidRDefault="001555FE" w:rsidP="00534B45">
      <w:pPr>
        <w:widowControl w:val="0"/>
        <w:overflowPunct w:val="0"/>
        <w:adjustRightInd w:val="0"/>
        <w:jc w:val="both"/>
        <w:rPr>
          <w:rFonts w:cs="Arial"/>
          <w:bCs/>
          <w:kern w:val="28"/>
          <w:szCs w:val="24"/>
          <w:lang w:val="es-ES"/>
        </w:rPr>
      </w:pPr>
    </w:p>
    <w:p w14:paraId="5BD0A220" w14:textId="7B573A07" w:rsidR="008536FD" w:rsidRPr="003221C4" w:rsidRDefault="005373BC" w:rsidP="00FB1784">
      <w:pPr>
        <w:jc w:val="both"/>
        <w:rPr>
          <w:rFonts w:cs="Arial"/>
          <w:bCs/>
          <w:kern w:val="28"/>
          <w:szCs w:val="24"/>
          <w:lang w:val="es-ES"/>
        </w:rPr>
      </w:pPr>
      <w:r w:rsidRPr="003221C4">
        <w:rPr>
          <w:rFonts w:cs="Arial"/>
          <w:bCs/>
          <w:kern w:val="28"/>
          <w:szCs w:val="24"/>
          <w:lang w:val="es-ES"/>
        </w:rPr>
        <w:t>Los Coordinadores Nacionales elaboraron su Programa de Trabajo del período 2025-2026</w:t>
      </w:r>
      <w:r w:rsidR="00A8605E" w:rsidRPr="003221C4">
        <w:rPr>
          <w:rFonts w:cs="Arial"/>
          <w:bCs/>
          <w:kern w:val="28"/>
          <w:szCs w:val="24"/>
          <w:lang w:val="es-ES"/>
        </w:rPr>
        <w:t xml:space="preserve">. </w:t>
      </w:r>
      <w:r w:rsidRPr="003221C4">
        <w:rPr>
          <w:rFonts w:cs="Arial"/>
          <w:bCs/>
          <w:kern w:val="28"/>
          <w:szCs w:val="24"/>
          <w:lang w:val="es-ES"/>
        </w:rPr>
        <w:t xml:space="preserve">Asimismo, revisaron los Programas de Trabajo del período 2025-2026 de las Comisiones. Estos Programas se elevaron a consideración del GMC conforme a lo establecido en el Anexo I de la </w:t>
      </w:r>
      <w:proofErr w:type="spellStart"/>
      <w:r w:rsidRPr="003221C4">
        <w:rPr>
          <w:rFonts w:cs="Arial"/>
          <w:bCs/>
          <w:kern w:val="28"/>
          <w:szCs w:val="24"/>
          <w:lang w:val="es-ES"/>
        </w:rPr>
        <w:t>Dec</w:t>
      </w:r>
      <w:proofErr w:type="spellEnd"/>
      <w:r w:rsidRPr="003221C4">
        <w:rPr>
          <w:rFonts w:cs="Arial"/>
          <w:bCs/>
          <w:kern w:val="28"/>
          <w:szCs w:val="24"/>
          <w:lang w:val="es-ES"/>
        </w:rPr>
        <w:t xml:space="preserve">. CMC </w:t>
      </w:r>
      <w:proofErr w:type="spellStart"/>
      <w:r w:rsidRPr="003221C4">
        <w:rPr>
          <w:rFonts w:cs="Arial"/>
          <w:bCs/>
          <w:kern w:val="28"/>
          <w:szCs w:val="24"/>
          <w:lang w:val="es-ES"/>
        </w:rPr>
        <w:t>Nº</w:t>
      </w:r>
      <w:proofErr w:type="spellEnd"/>
      <w:r w:rsidRPr="003221C4">
        <w:rPr>
          <w:rFonts w:cs="Arial"/>
          <w:bCs/>
          <w:kern w:val="28"/>
          <w:szCs w:val="24"/>
          <w:lang w:val="es-ES"/>
        </w:rPr>
        <w:t xml:space="preserve"> 36/10</w:t>
      </w:r>
      <w:r w:rsidR="00BE7CC7" w:rsidRPr="003221C4">
        <w:rPr>
          <w:rFonts w:cs="Arial"/>
          <w:bCs/>
          <w:kern w:val="28"/>
          <w:szCs w:val="24"/>
          <w:lang w:val="es-ES"/>
        </w:rPr>
        <w:t xml:space="preserve"> </w:t>
      </w:r>
      <w:r w:rsidR="00FB1784" w:rsidRPr="003221C4">
        <w:rPr>
          <w:rFonts w:cs="Arial"/>
          <w:b/>
          <w:kern w:val="28"/>
          <w:szCs w:val="24"/>
          <w:lang w:val="es-ES"/>
        </w:rPr>
        <w:t>(Anexo X</w:t>
      </w:r>
      <w:r w:rsidR="00BE7CC7" w:rsidRPr="003221C4">
        <w:rPr>
          <w:rFonts w:cs="Arial"/>
          <w:b/>
          <w:kern w:val="28"/>
          <w:szCs w:val="24"/>
          <w:lang w:val="es-ES"/>
        </w:rPr>
        <w:t>V</w:t>
      </w:r>
      <w:r w:rsidR="00FB1784" w:rsidRPr="003221C4">
        <w:rPr>
          <w:rFonts w:cs="Arial"/>
          <w:b/>
          <w:kern w:val="28"/>
          <w:szCs w:val="24"/>
          <w:lang w:val="es-ES"/>
        </w:rPr>
        <w:t>)</w:t>
      </w:r>
      <w:r w:rsidR="00FB1784" w:rsidRPr="003221C4">
        <w:rPr>
          <w:rFonts w:cs="Arial"/>
          <w:bCs/>
          <w:kern w:val="28"/>
          <w:szCs w:val="24"/>
          <w:lang w:val="es-ES"/>
        </w:rPr>
        <w:t>.</w:t>
      </w:r>
    </w:p>
    <w:p w14:paraId="55E807BC" w14:textId="77777777" w:rsidR="005373BC" w:rsidRPr="003221C4" w:rsidRDefault="005373BC" w:rsidP="00E944B6">
      <w:pPr>
        <w:rPr>
          <w:rFonts w:cs="Arial"/>
          <w:bCs/>
          <w:kern w:val="28"/>
          <w:szCs w:val="24"/>
          <w:lang w:val="es-ES"/>
        </w:rPr>
      </w:pPr>
    </w:p>
    <w:p w14:paraId="70910F32" w14:textId="79F70612" w:rsidR="005373BC" w:rsidRPr="003221C4" w:rsidRDefault="005373BC" w:rsidP="00202838">
      <w:pPr>
        <w:widowControl w:val="0"/>
        <w:overflowPunct w:val="0"/>
        <w:adjustRightInd w:val="0"/>
        <w:ind w:left="1134" w:hanging="567"/>
        <w:jc w:val="both"/>
        <w:rPr>
          <w:rFonts w:cs="Arial"/>
          <w:b/>
          <w:kern w:val="28"/>
          <w:szCs w:val="24"/>
          <w:lang w:val="es-ES"/>
        </w:rPr>
      </w:pPr>
      <w:r w:rsidRPr="003221C4">
        <w:rPr>
          <w:rFonts w:cs="Arial"/>
          <w:b/>
          <w:kern w:val="28"/>
          <w:szCs w:val="24"/>
          <w:lang w:val="es-ES"/>
        </w:rPr>
        <w:t xml:space="preserve">6.3.   </w:t>
      </w:r>
      <w:r w:rsidR="004E7D75" w:rsidRPr="003221C4">
        <w:rPr>
          <w:rFonts w:cs="Arial"/>
          <w:b/>
          <w:kern w:val="28"/>
          <w:szCs w:val="24"/>
          <w:lang w:val="es-ES"/>
        </w:rPr>
        <w:t xml:space="preserve">Contenido </w:t>
      </w:r>
      <w:r w:rsidRPr="003221C4">
        <w:rPr>
          <w:rFonts w:cs="Arial"/>
          <w:b/>
          <w:kern w:val="28"/>
          <w:szCs w:val="24"/>
          <w:lang w:val="es-ES"/>
        </w:rPr>
        <w:t>del SGT</w:t>
      </w:r>
      <w:r w:rsidR="00A80FB7" w:rsidRPr="003221C4">
        <w:rPr>
          <w:rFonts w:cs="Arial"/>
          <w:b/>
          <w:kern w:val="28"/>
          <w:szCs w:val="24"/>
          <w:lang w:val="es-ES"/>
        </w:rPr>
        <w:t xml:space="preserve"> </w:t>
      </w:r>
      <w:proofErr w:type="spellStart"/>
      <w:r w:rsidR="00A80FB7" w:rsidRPr="003221C4">
        <w:rPr>
          <w:rFonts w:cs="Arial"/>
          <w:b/>
          <w:kern w:val="28"/>
          <w:szCs w:val="24"/>
          <w:lang w:val="es-ES"/>
        </w:rPr>
        <w:t>N°</w:t>
      </w:r>
      <w:proofErr w:type="spellEnd"/>
      <w:r w:rsidR="00A80FB7" w:rsidRPr="003221C4">
        <w:rPr>
          <w:rFonts w:cs="Arial"/>
          <w:b/>
          <w:kern w:val="28"/>
          <w:szCs w:val="24"/>
          <w:lang w:val="es-ES"/>
        </w:rPr>
        <w:t xml:space="preserve"> </w:t>
      </w:r>
      <w:r w:rsidRPr="003221C4">
        <w:rPr>
          <w:rFonts w:cs="Arial"/>
          <w:b/>
          <w:kern w:val="28"/>
          <w:szCs w:val="24"/>
          <w:lang w:val="es-ES"/>
        </w:rPr>
        <w:t xml:space="preserve">4 </w:t>
      </w:r>
      <w:r w:rsidR="004E7D75" w:rsidRPr="003221C4">
        <w:rPr>
          <w:rFonts w:cs="Arial"/>
          <w:b/>
          <w:kern w:val="28"/>
          <w:szCs w:val="24"/>
          <w:lang w:val="es-ES"/>
        </w:rPr>
        <w:t>en</w:t>
      </w:r>
      <w:r w:rsidRPr="003221C4">
        <w:rPr>
          <w:rFonts w:cs="Arial"/>
          <w:b/>
          <w:kern w:val="28"/>
          <w:szCs w:val="24"/>
          <w:lang w:val="es-ES"/>
        </w:rPr>
        <w:t xml:space="preserve"> </w:t>
      </w:r>
      <w:r w:rsidR="004E7D75" w:rsidRPr="003221C4">
        <w:rPr>
          <w:rFonts w:cs="Arial"/>
          <w:b/>
          <w:kern w:val="28"/>
          <w:szCs w:val="24"/>
          <w:lang w:val="es-ES"/>
        </w:rPr>
        <w:t xml:space="preserve">el </w:t>
      </w:r>
      <w:r w:rsidR="00A80FB7" w:rsidRPr="003221C4">
        <w:rPr>
          <w:rFonts w:cs="Arial"/>
          <w:b/>
          <w:kern w:val="28"/>
          <w:szCs w:val="24"/>
          <w:lang w:val="es-ES"/>
        </w:rPr>
        <w:t>portal</w:t>
      </w:r>
      <w:r w:rsidR="004E7D75" w:rsidRPr="003221C4">
        <w:rPr>
          <w:rFonts w:cs="Arial"/>
          <w:b/>
          <w:kern w:val="28"/>
          <w:szCs w:val="24"/>
          <w:lang w:val="es-ES"/>
        </w:rPr>
        <w:t xml:space="preserve"> </w:t>
      </w:r>
      <w:r w:rsidRPr="003221C4">
        <w:rPr>
          <w:rFonts w:cs="Arial"/>
          <w:b/>
          <w:kern w:val="28"/>
          <w:szCs w:val="24"/>
          <w:lang w:val="es-ES"/>
        </w:rPr>
        <w:t xml:space="preserve">web del MERCOSUR </w:t>
      </w:r>
    </w:p>
    <w:p w14:paraId="2FBAE8F5" w14:textId="77777777" w:rsidR="005373BC" w:rsidRPr="003221C4" w:rsidRDefault="005373BC" w:rsidP="005373BC">
      <w:pPr>
        <w:widowControl w:val="0"/>
        <w:overflowPunct w:val="0"/>
        <w:adjustRightInd w:val="0"/>
        <w:ind w:left="705"/>
        <w:jc w:val="both"/>
        <w:rPr>
          <w:rFonts w:cs="Arial"/>
          <w:b/>
          <w:kern w:val="28"/>
          <w:szCs w:val="24"/>
          <w:lang w:val="es-ES"/>
        </w:rPr>
      </w:pPr>
    </w:p>
    <w:p w14:paraId="3DF5361F" w14:textId="53C74A37" w:rsidR="006158DB" w:rsidRPr="003221C4" w:rsidRDefault="00954E30" w:rsidP="00FB1784">
      <w:pPr>
        <w:jc w:val="both"/>
        <w:rPr>
          <w:rFonts w:cs="Arial"/>
        </w:rPr>
      </w:pPr>
      <w:r w:rsidRPr="003221C4">
        <w:rPr>
          <w:rStyle w:val="ui-provider"/>
        </w:rPr>
        <w:t xml:space="preserve">La delegación de Brasil informó </w:t>
      </w:r>
      <w:r w:rsidR="001A5137" w:rsidRPr="003221C4">
        <w:rPr>
          <w:rStyle w:val="ui-provider"/>
        </w:rPr>
        <w:t>que</w:t>
      </w:r>
      <w:r w:rsidR="00A731E9" w:rsidRPr="003221C4">
        <w:rPr>
          <w:rStyle w:val="ui-provider"/>
        </w:rPr>
        <w:t>,</w:t>
      </w:r>
      <w:r w:rsidR="001A5137" w:rsidRPr="003221C4">
        <w:rPr>
          <w:rStyle w:val="ui-provider"/>
        </w:rPr>
        <w:t xml:space="preserve"> habiendo culminado el traspaso de los archivos </w:t>
      </w:r>
      <w:r w:rsidR="002F0EFE" w:rsidRPr="003221C4">
        <w:rPr>
          <w:rStyle w:val="ui-provider"/>
        </w:rPr>
        <w:t xml:space="preserve">correspondientes al SGT </w:t>
      </w:r>
      <w:proofErr w:type="spellStart"/>
      <w:r w:rsidR="002F0EFE" w:rsidRPr="003221C4">
        <w:rPr>
          <w:rStyle w:val="ui-provider"/>
        </w:rPr>
        <w:t>N°</w:t>
      </w:r>
      <w:proofErr w:type="spellEnd"/>
      <w:r w:rsidR="002F0EFE" w:rsidRPr="003221C4">
        <w:rPr>
          <w:rStyle w:val="ui-provider"/>
        </w:rPr>
        <w:t xml:space="preserve"> 4 </w:t>
      </w:r>
      <w:r w:rsidR="001A5137" w:rsidRPr="003221C4">
        <w:rPr>
          <w:rStyle w:val="ui-provider"/>
        </w:rPr>
        <w:t xml:space="preserve">del </w:t>
      </w:r>
      <w:r w:rsidR="00A80FB7" w:rsidRPr="003221C4">
        <w:rPr>
          <w:rStyle w:val="ui-provider"/>
        </w:rPr>
        <w:t>portal</w:t>
      </w:r>
      <w:r w:rsidRPr="003221C4">
        <w:rPr>
          <w:rStyle w:val="ui-provider"/>
        </w:rPr>
        <w:t xml:space="preserve"> web del Banco Central do Brasil (BCB) </w:t>
      </w:r>
      <w:r w:rsidR="001A5137" w:rsidRPr="003221C4">
        <w:rPr>
          <w:rStyle w:val="ui-provider"/>
        </w:rPr>
        <w:t>a la Secretaría del MERCOSUR</w:t>
      </w:r>
      <w:r w:rsidR="00A731E9" w:rsidRPr="003221C4">
        <w:rPr>
          <w:rStyle w:val="ui-provider"/>
        </w:rPr>
        <w:t>,</w:t>
      </w:r>
      <w:r w:rsidR="001A5137" w:rsidRPr="003221C4">
        <w:rPr>
          <w:rStyle w:val="ui-provider"/>
        </w:rPr>
        <w:t xml:space="preserve"> ha </w:t>
      </w:r>
      <w:r w:rsidR="009D0A23" w:rsidRPr="003221C4">
        <w:rPr>
          <w:rStyle w:val="ui-provider"/>
        </w:rPr>
        <w:t>r</w:t>
      </w:r>
      <w:r w:rsidR="001A5137" w:rsidRPr="003221C4">
        <w:rPr>
          <w:rStyle w:val="ui-provider"/>
        </w:rPr>
        <w:t>etira</w:t>
      </w:r>
      <w:r w:rsidR="009D0A23" w:rsidRPr="003221C4">
        <w:rPr>
          <w:rStyle w:val="ui-provider"/>
        </w:rPr>
        <w:t>do</w:t>
      </w:r>
      <w:r w:rsidR="001A5137" w:rsidRPr="003221C4">
        <w:rPr>
          <w:rStyle w:val="ui-provider"/>
        </w:rPr>
        <w:t xml:space="preserve"> de producción el </w:t>
      </w:r>
      <w:r w:rsidR="002C68F4" w:rsidRPr="003221C4">
        <w:rPr>
          <w:rStyle w:val="ui-provider"/>
        </w:rPr>
        <w:t>portal web del</w:t>
      </w:r>
      <w:r w:rsidR="00C63FEE" w:rsidRPr="003221C4">
        <w:rPr>
          <w:rStyle w:val="ui-provider"/>
        </w:rPr>
        <w:t xml:space="preserve"> SGT </w:t>
      </w:r>
      <w:proofErr w:type="spellStart"/>
      <w:r w:rsidR="00C63FEE" w:rsidRPr="003221C4">
        <w:rPr>
          <w:rStyle w:val="ui-provider"/>
        </w:rPr>
        <w:t>N°</w:t>
      </w:r>
      <w:proofErr w:type="spellEnd"/>
      <w:r w:rsidR="00C63FEE" w:rsidRPr="003221C4">
        <w:rPr>
          <w:rStyle w:val="ui-provider"/>
        </w:rPr>
        <w:t xml:space="preserve"> 4</w:t>
      </w:r>
      <w:r w:rsidR="002C68F4" w:rsidRPr="003221C4">
        <w:rPr>
          <w:rStyle w:val="ui-provider"/>
        </w:rPr>
        <w:t xml:space="preserve"> </w:t>
      </w:r>
      <w:r w:rsidR="001A5137" w:rsidRPr="003221C4">
        <w:rPr>
          <w:rStyle w:val="ui-provider"/>
        </w:rPr>
        <w:t>mantenido por el B</w:t>
      </w:r>
      <w:r w:rsidR="00C63FEE" w:rsidRPr="003221C4">
        <w:rPr>
          <w:rStyle w:val="ui-provider"/>
        </w:rPr>
        <w:t>CB</w:t>
      </w:r>
      <w:r w:rsidR="001A5137" w:rsidRPr="003221C4">
        <w:rPr>
          <w:rStyle w:val="ui-provider"/>
        </w:rPr>
        <w:t xml:space="preserve">. </w:t>
      </w:r>
      <w:r w:rsidR="002F0EFE" w:rsidRPr="003221C4">
        <w:rPr>
          <w:rStyle w:val="ui-provider"/>
        </w:rPr>
        <w:t xml:space="preserve">La Secretaría del MERCOSUR ha creado una nube </w:t>
      </w:r>
      <w:r w:rsidR="009C55A2" w:rsidRPr="003221C4">
        <w:rPr>
          <w:rStyle w:val="ui-provider"/>
        </w:rPr>
        <w:t>de acceso restringido</w:t>
      </w:r>
      <w:r w:rsidR="002F0EFE" w:rsidRPr="003221C4">
        <w:rPr>
          <w:rStyle w:val="ui-provider"/>
        </w:rPr>
        <w:t xml:space="preserve"> a fin de que los Coordinadores del SGT </w:t>
      </w:r>
      <w:proofErr w:type="spellStart"/>
      <w:r w:rsidR="002F0EFE" w:rsidRPr="003221C4">
        <w:rPr>
          <w:rStyle w:val="ui-provider"/>
        </w:rPr>
        <w:t>N°</w:t>
      </w:r>
      <w:proofErr w:type="spellEnd"/>
      <w:r w:rsidR="002F0EFE" w:rsidRPr="003221C4">
        <w:rPr>
          <w:rStyle w:val="ui-provider"/>
        </w:rPr>
        <w:t xml:space="preserve"> 4 puedan acceder a dichos archivos </w:t>
      </w:r>
      <w:r w:rsidR="009C55A2" w:rsidRPr="003221C4">
        <w:rPr>
          <w:rStyle w:val="ui-provider"/>
          <w:rFonts w:cs="Arial"/>
        </w:rPr>
        <w:t>(</w:t>
      </w:r>
      <w:hyperlink r:id="rId10" w:history="1">
        <w:r w:rsidR="006158DB" w:rsidRPr="003221C4">
          <w:rPr>
            <w:rStyle w:val="Hipervnculo"/>
            <w:rFonts w:cs="Arial"/>
            <w:color w:val="auto"/>
          </w:rPr>
          <w:t>https://nube.mercosur.int/index.php</w:t>
        </w:r>
      </w:hyperlink>
      <w:r w:rsidR="00A748BF" w:rsidRPr="003221C4">
        <w:rPr>
          <w:rFonts w:cs="Arial"/>
        </w:rPr>
        <w:t>)</w:t>
      </w:r>
      <w:r w:rsidR="00D0294E" w:rsidRPr="003221C4">
        <w:rPr>
          <w:rFonts w:cs="Arial"/>
        </w:rPr>
        <w:t>.</w:t>
      </w:r>
    </w:p>
    <w:p w14:paraId="5F4FF987" w14:textId="77777777" w:rsidR="00A731E9" w:rsidRPr="003221C4" w:rsidRDefault="00A731E9" w:rsidP="00FB1784">
      <w:pPr>
        <w:jc w:val="both"/>
        <w:rPr>
          <w:rStyle w:val="ui-provider"/>
        </w:rPr>
      </w:pPr>
    </w:p>
    <w:p w14:paraId="106101CE" w14:textId="303AB3B0" w:rsidR="001A5137" w:rsidRPr="003221C4" w:rsidRDefault="009C55A2" w:rsidP="00FB1784">
      <w:pPr>
        <w:jc w:val="both"/>
        <w:rPr>
          <w:rStyle w:val="ui-provider"/>
        </w:rPr>
      </w:pPr>
      <w:r w:rsidRPr="003221C4">
        <w:rPr>
          <w:rStyle w:val="ui-provider"/>
        </w:rPr>
        <w:t>T</w:t>
      </w:r>
      <w:r w:rsidR="00A731E9" w:rsidRPr="003221C4">
        <w:rPr>
          <w:rStyle w:val="ui-provider"/>
        </w:rPr>
        <w:t xml:space="preserve">oda la información </w:t>
      </w:r>
      <w:r w:rsidR="002F0EFE" w:rsidRPr="003221C4">
        <w:rPr>
          <w:rStyle w:val="ui-provider"/>
        </w:rPr>
        <w:t xml:space="preserve">del SGT </w:t>
      </w:r>
      <w:proofErr w:type="spellStart"/>
      <w:r w:rsidR="002F0EFE" w:rsidRPr="003221C4">
        <w:rPr>
          <w:rStyle w:val="ui-provider"/>
        </w:rPr>
        <w:t>N°</w:t>
      </w:r>
      <w:proofErr w:type="spellEnd"/>
      <w:r w:rsidR="002F0EFE" w:rsidRPr="003221C4">
        <w:rPr>
          <w:rStyle w:val="ui-provider"/>
        </w:rPr>
        <w:t xml:space="preserve"> 4, </w:t>
      </w:r>
      <w:r w:rsidR="00A731E9" w:rsidRPr="003221C4">
        <w:rPr>
          <w:rStyle w:val="ui-provider"/>
        </w:rPr>
        <w:t>del año 2002 en adelante</w:t>
      </w:r>
      <w:r w:rsidR="002F0EFE" w:rsidRPr="003221C4">
        <w:rPr>
          <w:rStyle w:val="ui-provider"/>
        </w:rPr>
        <w:t>,</w:t>
      </w:r>
      <w:r w:rsidR="00A731E9" w:rsidRPr="003221C4">
        <w:rPr>
          <w:rStyle w:val="ui-provider"/>
        </w:rPr>
        <w:t xml:space="preserve"> ya se encuentra incorporada al </w:t>
      </w:r>
      <w:r w:rsidR="00A80FB7" w:rsidRPr="003221C4">
        <w:rPr>
          <w:rStyle w:val="ui-provider"/>
        </w:rPr>
        <w:t>portal</w:t>
      </w:r>
      <w:r w:rsidR="00A731E9" w:rsidRPr="003221C4">
        <w:rPr>
          <w:rStyle w:val="ui-provider"/>
        </w:rPr>
        <w:t xml:space="preserve"> web del MERCOSUR. Q</w:t>
      </w:r>
      <w:r w:rsidR="001A5137" w:rsidRPr="003221C4">
        <w:rPr>
          <w:rStyle w:val="ui-provider"/>
        </w:rPr>
        <w:t xml:space="preserve">ueda aún pendiente </w:t>
      </w:r>
      <w:r w:rsidR="00A731E9" w:rsidRPr="003221C4">
        <w:rPr>
          <w:rStyle w:val="ui-provider"/>
        </w:rPr>
        <w:t>l</w:t>
      </w:r>
      <w:r w:rsidR="00033BD5" w:rsidRPr="003221C4">
        <w:rPr>
          <w:rStyle w:val="ui-provider"/>
        </w:rPr>
        <w:t>a</w:t>
      </w:r>
      <w:r w:rsidR="00A731E9" w:rsidRPr="003221C4">
        <w:rPr>
          <w:rStyle w:val="ui-provider"/>
        </w:rPr>
        <w:t xml:space="preserve"> </w:t>
      </w:r>
      <w:r w:rsidR="00033BD5" w:rsidRPr="003221C4">
        <w:rPr>
          <w:lang w:val="es-ES"/>
        </w:rPr>
        <w:t xml:space="preserve">verificación documental interna, </w:t>
      </w:r>
      <w:r w:rsidR="001A5137" w:rsidRPr="003221C4">
        <w:rPr>
          <w:rStyle w:val="ui-provider"/>
        </w:rPr>
        <w:t xml:space="preserve">por parte de la Secretaría del MERCOSUR, de los archivos </w:t>
      </w:r>
      <w:r w:rsidR="00D0294E" w:rsidRPr="003221C4">
        <w:rPr>
          <w:rStyle w:val="ui-provider"/>
        </w:rPr>
        <w:t>correspondientes a los años 1995 a</w:t>
      </w:r>
      <w:r w:rsidR="009D0A23" w:rsidRPr="003221C4">
        <w:rPr>
          <w:rStyle w:val="ui-provider"/>
        </w:rPr>
        <w:t xml:space="preserve"> </w:t>
      </w:r>
      <w:r w:rsidR="001A5137" w:rsidRPr="003221C4">
        <w:rPr>
          <w:rStyle w:val="ui-provider"/>
        </w:rPr>
        <w:t>200</w:t>
      </w:r>
      <w:r w:rsidR="00D0294E" w:rsidRPr="003221C4">
        <w:rPr>
          <w:rStyle w:val="ui-provider"/>
        </w:rPr>
        <w:t xml:space="preserve">1 </w:t>
      </w:r>
      <w:r w:rsidR="002F0EFE" w:rsidRPr="003221C4">
        <w:rPr>
          <w:rStyle w:val="ui-provider"/>
        </w:rPr>
        <w:t>de</w:t>
      </w:r>
      <w:r w:rsidR="00D0294E" w:rsidRPr="003221C4">
        <w:rPr>
          <w:rStyle w:val="ui-provider"/>
        </w:rPr>
        <w:t xml:space="preserve"> </w:t>
      </w:r>
      <w:r w:rsidR="002E3207" w:rsidRPr="003221C4">
        <w:rPr>
          <w:rStyle w:val="ui-provider"/>
        </w:rPr>
        <w:t xml:space="preserve">las </w:t>
      </w:r>
      <w:r w:rsidR="00D0294E" w:rsidRPr="003221C4">
        <w:rPr>
          <w:rStyle w:val="ui-provider"/>
        </w:rPr>
        <w:t>Actas y documentos</w:t>
      </w:r>
      <w:r w:rsidR="001A5137" w:rsidRPr="003221C4">
        <w:rPr>
          <w:rStyle w:val="ui-provider"/>
        </w:rPr>
        <w:t xml:space="preserve"> </w:t>
      </w:r>
      <w:r w:rsidR="002E3207" w:rsidRPr="003221C4">
        <w:rPr>
          <w:rStyle w:val="ui-provider"/>
        </w:rPr>
        <w:t>que no están publicados antes de</w:t>
      </w:r>
      <w:r w:rsidR="001A5137" w:rsidRPr="003221C4">
        <w:rPr>
          <w:rStyle w:val="ui-provider"/>
        </w:rPr>
        <w:t xml:space="preserve"> proceder a su </w:t>
      </w:r>
      <w:r w:rsidR="002E3207" w:rsidRPr="003221C4">
        <w:rPr>
          <w:rStyle w:val="ui-provider"/>
        </w:rPr>
        <w:t>incorporación al PWM</w:t>
      </w:r>
      <w:r w:rsidR="001A5137" w:rsidRPr="003221C4">
        <w:rPr>
          <w:rStyle w:val="ui-provider"/>
        </w:rPr>
        <w:t xml:space="preserve">. </w:t>
      </w:r>
    </w:p>
    <w:p w14:paraId="7391A9CF" w14:textId="362C5C51" w:rsidR="00520307" w:rsidRPr="003221C4" w:rsidRDefault="00520307" w:rsidP="00FB1784">
      <w:pPr>
        <w:jc w:val="both"/>
        <w:rPr>
          <w:rStyle w:val="ui-provider"/>
        </w:rPr>
      </w:pPr>
    </w:p>
    <w:p w14:paraId="233A440D" w14:textId="10576239" w:rsidR="00A748BF" w:rsidRPr="003221C4" w:rsidRDefault="00520307" w:rsidP="00A832FF">
      <w:pPr>
        <w:jc w:val="both"/>
        <w:rPr>
          <w:lang w:val="es-ES"/>
        </w:rPr>
      </w:pPr>
      <w:r w:rsidRPr="003221C4">
        <w:rPr>
          <w:rStyle w:val="ui-provider"/>
        </w:rPr>
        <w:t>Se desarr</w:t>
      </w:r>
      <w:r w:rsidR="0063549C" w:rsidRPr="003221C4">
        <w:rPr>
          <w:rStyle w:val="ui-provider"/>
        </w:rPr>
        <w:t>ollaron dos</w:t>
      </w:r>
      <w:r w:rsidRPr="003221C4">
        <w:rPr>
          <w:rStyle w:val="ui-provider"/>
        </w:rPr>
        <w:t xml:space="preserve"> reuni</w:t>
      </w:r>
      <w:r w:rsidR="0063549C" w:rsidRPr="003221C4">
        <w:rPr>
          <w:rStyle w:val="ui-provider"/>
        </w:rPr>
        <w:t>ones</w:t>
      </w:r>
      <w:r w:rsidRPr="003221C4">
        <w:rPr>
          <w:rStyle w:val="ui-provider"/>
        </w:rPr>
        <w:t xml:space="preserve"> con funcionarias de UCIM a la que asistieron </w:t>
      </w:r>
      <w:r w:rsidR="0063549C" w:rsidRPr="003221C4">
        <w:rPr>
          <w:rStyle w:val="ui-provider"/>
        </w:rPr>
        <w:t xml:space="preserve">Laura Núñez, </w:t>
      </w:r>
      <w:r w:rsidRPr="003221C4">
        <w:rPr>
          <w:lang w:val="es-ES"/>
        </w:rPr>
        <w:t xml:space="preserve">Daniela </w:t>
      </w:r>
      <w:proofErr w:type="spellStart"/>
      <w:r w:rsidRPr="003221C4">
        <w:rPr>
          <w:lang w:val="es-ES"/>
        </w:rPr>
        <w:t>Peppe</w:t>
      </w:r>
      <w:proofErr w:type="spellEnd"/>
      <w:r w:rsidRPr="003221C4">
        <w:rPr>
          <w:lang w:val="es-ES"/>
        </w:rPr>
        <w:t xml:space="preserve"> y Lilia Ayala</w:t>
      </w:r>
      <w:r w:rsidR="00A832FF" w:rsidRPr="003221C4">
        <w:rPr>
          <w:lang w:val="es-ES"/>
        </w:rPr>
        <w:t xml:space="preserve">. </w:t>
      </w:r>
      <w:r w:rsidRPr="003221C4">
        <w:rPr>
          <w:lang w:val="es-ES"/>
        </w:rPr>
        <w:t xml:space="preserve"> </w:t>
      </w:r>
      <w:r w:rsidR="00A832FF" w:rsidRPr="003221C4">
        <w:rPr>
          <w:lang w:val="es-ES"/>
        </w:rPr>
        <w:t xml:space="preserve">Las funcionarias explicaron, en primer lugar, que las Actas y sus Anexos anteriores al 2002 deben incorporarse al SIM, </w:t>
      </w:r>
      <w:r w:rsidR="000410DF" w:rsidRPr="003221C4">
        <w:rPr>
          <w:lang w:val="es-ES"/>
        </w:rPr>
        <w:t xml:space="preserve">las cuales serán incorporadas al SIM por el área </w:t>
      </w:r>
      <w:r w:rsidR="00A832FF" w:rsidRPr="003221C4">
        <w:rPr>
          <w:lang w:val="es-ES"/>
        </w:rPr>
        <w:t>de Documentación</w:t>
      </w:r>
      <w:r w:rsidR="00A748BF" w:rsidRPr="003221C4">
        <w:rPr>
          <w:lang w:val="es-ES"/>
        </w:rPr>
        <w:t xml:space="preserve"> de la Secretar</w:t>
      </w:r>
      <w:r w:rsidR="000F1481" w:rsidRPr="003221C4">
        <w:rPr>
          <w:lang w:val="es-ES"/>
        </w:rPr>
        <w:t>í</w:t>
      </w:r>
      <w:r w:rsidR="00A748BF" w:rsidRPr="003221C4">
        <w:rPr>
          <w:lang w:val="es-ES"/>
        </w:rPr>
        <w:t>a del MERCOSUR</w:t>
      </w:r>
      <w:r w:rsidR="00A832FF" w:rsidRPr="003221C4">
        <w:rPr>
          <w:lang w:val="es-ES"/>
        </w:rPr>
        <w:t xml:space="preserve">. </w:t>
      </w:r>
    </w:p>
    <w:p w14:paraId="4132ECA5" w14:textId="77777777" w:rsidR="0063549C" w:rsidRPr="003221C4" w:rsidRDefault="0063549C" w:rsidP="00A832FF">
      <w:pPr>
        <w:jc w:val="both"/>
        <w:rPr>
          <w:lang w:val="es-ES"/>
        </w:rPr>
      </w:pPr>
    </w:p>
    <w:p w14:paraId="2374ECE7" w14:textId="3921D989" w:rsidR="0063549C" w:rsidRPr="003221C4" w:rsidRDefault="0063549C" w:rsidP="0063549C">
      <w:pPr>
        <w:jc w:val="both"/>
        <w:rPr>
          <w:lang w:val="es-ES"/>
        </w:rPr>
      </w:pPr>
      <w:r w:rsidRPr="003221C4">
        <w:t xml:space="preserve">La UCIM aclaró que por más que las publicaciones consten como anexos a las actas, y por lo tanto sean de acceso público por medio del SIM, se pueden enviar </w:t>
      </w:r>
      <w:r w:rsidRPr="003221C4">
        <w:lastRenderedPageBreak/>
        <w:t xml:space="preserve">a </w:t>
      </w:r>
      <w:r w:rsidR="002E3207" w:rsidRPr="003221C4">
        <w:t xml:space="preserve">la </w:t>
      </w:r>
      <w:r w:rsidR="00CF0978" w:rsidRPr="003221C4">
        <w:t>U</w:t>
      </w:r>
      <w:r w:rsidR="002E3207" w:rsidRPr="003221C4">
        <w:t>CIM</w:t>
      </w:r>
      <w:r w:rsidRPr="003221C4">
        <w:t xml:space="preserve"> a fin de dar mayor </w:t>
      </w:r>
      <w:r w:rsidR="005949B6" w:rsidRPr="003221C4">
        <w:t>visibilidad</w:t>
      </w:r>
      <w:r w:rsidRPr="003221C4">
        <w:t xml:space="preserve"> para que sean publicadas como Noticias o Publicaciones en el </w:t>
      </w:r>
      <w:r w:rsidR="002C68F4" w:rsidRPr="003221C4">
        <w:t>portal web</w:t>
      </w:r>
      <w:r w:rsidRPr="003221C4">
        <w:t xml:space="preserve"> del </w:t>
      </w:r>
      <w:r w:rsidR="007770D6" w:rsidRPr="003221C4">
        <w:t>MERCOSUR</w:t>
      </w:r>
      <w:r w:rsidR="005949B6" w:rsidRPr="003221C4">
        <w:t>.</w:t>
      </w:r>
    </w:p>
    <w:p w14:paraId="07FDA5AC" w14:textId="77777777" w:rsidR="00A748BF" w:rsidRPr="003221C4" w:rsidRDefault="00A748BF" w:rsidP="00A832FF">
      <w:pPr>
        <w:jc w:val="both"/>
        <w:rPr>
          <w:lang w:val="es-ES"/>
        </w:rPr>
      </w:pPr>
    </w:p>
    <w:p w14:paraId="3C80859D" w14:textId="7DF78CE6" w:rsidR="0063549C" w:rsidRPr="003221C4" w:rsidRDefault="00056732" w:rsidP="00A832FF">
      <w:pPr>
        <w:jc w:val="both"/>
        <w:rPr>
          <w:lang w:val="es-ES"/>
        </w:rPr>
      </w:pPr>
      <w:r w:rsidRPr="003221C4">
        <w:rPr>
          <w:lang w:val="es-ES"/>
        </w:rPr>
        <w:t>Tanto la UCIM como la presente Coordinación Nacional coincidieron en que existen ámbitos de mejora para las publicaciones, por lo que el tema se seguirá tratando en futuras reuniones.</w:t>
      </w:r>
    </w:p>
    <w:p w14:paraId="239165C5" w14:textId="77777777" w:rsidR="001555FE" w:rsidRPr="003221C4" w:rsidRDefault="001555FE" w:rsidP="001555FE">
      <w:pPr>
        <w:widowControl w:val="0"/>
        <w:overflowPunct w:val="0"/>
        <w:adjustRightInd w:val="0"/>
        <w:ind w:firstLine="708"/>
        <w:jc w:val="both"/>
        <w:rPr>
          <w:rFonts w:cs="Arial"/>
          <w:b/>
          <w:kern w:val="28"/>
          <w:szCs w:val="24"/>
          <w:lang w:val="es-ES"/>
        </w:rPr>
      </w:pPr>
    </w:p>
    <w:p w14:paraId="41110111" w14:textId="3DA259FD" w:rsidR="001C4EBE" w:rsidRPr="003221C4" w:rsidRDefault="00AA63E3" w:rsidP="00202838">
      <w:pPr>
        <w:widowControl w:val="0"/>
        <w:overflowPunct w:val="0"/>
        <w:adjustRightInd w:val="0"/>
        <w:ind w:left="1134" w:hanging="567"/>
        <w:jc w:val="both"/>
        <w:rPr>
          <w:rFonts w:cs="Arial"/>
          <w:b/>
          <w:kern w:val="28"/>
          <w:szCs w:val="24"/>
          <w:lang w:val="es-ES"/>
        </w:rPr>
      </w:pPr>
      <w:r w:rsidRPr="003221C4">
        <w:rPr>
          <w:rFonts w:cs="Arial"/>
          <w:b/>
          <w:kern w:val="28"/>
          <w:szCs w:val="24"/>
          <w:lang w:val="es-ES"/>
        </w:rPr>
        <w:t>6</w:t>
      </w:r>
      <w:r w:rsidR="00FB1784" w:rsidRPr="003221C4">
        <w:rPr>
          <w:rFonts w:cs="Arial"/>
          <w:b/>
          <w:kern w:val="28"/>
          <w:szCs w:val="24"/>
          <w:lang w:val="es-ES"/>
        </w:rPr>
        <w:t>.4</w:t>
      </w:r>
      <w:r w:rsidR="001C4EBE" w:rsidRPr="003221C4">
        <w:rPr>
          <w:rFonts w:cs="Arial"/>
          <w:b/>
          <w:kern w:val="28"/>
          <w:szCs w:val="24"/>
          <w:lang w:val="es-ES"/>
        </w:rPr>
        <w:tab/>
      </w:r>
      <w:r w:rsidR="002C68F4" w:rsidRPr="003221C4">
        <w:rPr>
          <w:rFonts w:cs="Arial"/>
          <w:b/>
          <w:kern w:val="28"/>
          <w:szCs w:val="24"/>
          <w:lang w:val="es-ES"/>
        </w:rPr>
        <w:t>Noticias y Publicaciones en el portal web del MERCOSUR</w:t>
      </w:r>
      <w:r w:rsidR="001C4EBE" w:rsidRPr="003221C4">
        <w:rPr>
          <w:rFonts w:cs="Arial"/>
          <w:b/>
          <w:kern w:val="28"/>
          <w:szCs w:val="24"/>
          <w:lang w:val="es-ES"/>
        </w:rPr>
        <w:t xml:space="preserve"> </w:t>
      </w:r>
    </w:p>
    <w:p w14:paraId="4462C796" w14:textId="77777777" w:rsidR="00671F92" w:rsidRPr="003221C4" w:rsidRDefault="00671F92" w:rsidP="001C4EBE">
      <w:pPr>
        <w:widowControl w:val="0"/>
        <w:overflowPunct w:val="0"/>
        <w:adjustRightInd w:val="0"/>
        <w:jc w:val="both"/>
        <w:rPr>
          <w:rFonts w:cs="Arial"/>
          <w:b/>
          <w:kern w:val="28"/>
          <w:szCs w:val="24"/>
          <w:lang w:val="es-ES"/>
        </w:rPr>
      </w:pPr>
    </w:p>
    <w:p w14:paraId="5DD74009" w14:textId="53B9E87E" w:rsidR="00F02261" w:rsidRPr="003221C4" w:rsidRDefault="00671F92" w:rsidP="001C4EBE">
      <w:pPr>
        <w:widowControl w:val="0"/>
        <w:overflowPunct w:val="0"/>
        <w:adjustRightInd w:val="0"/>
        <w:jc w:val="both"/>
        <w:rPr>
          <w:rFonts w:cs="Arial"/>
          <w:b/>
          <w:kern w:val="28"/>
          <w:szCs w:val="24"/>
          <w:lang w:val="es-ES"/>
        </w:rPr>
      </w:pPr>
      <w:r w:rsidRPr="003221C4">
        <w:rPr>
          <w:rFonts w:cs="Arial"/>
          <w:bCs/>
          <w:kern w:val="28"/>
          <w:szCs w:val="24"/>
          <w:lang w:val="es-ES"/>
        </w:rPr>
        <w:t xml:space="preserve">Los Coordinadores Nacionales, utilizando como base la información proporcionada por las Comisiones, elaboraron la nota de prensa con las principales novedades desde la última reunión del SGT N° 4. Dicha Nota será enviada a la SM/UCIM solicitando su publicación en </w:t>
      </w:r>
      <w:r w:rsidR="002C68F4" w:rsidRPr="003221C4">
        <w:rPr>
          <w:rFonts w:cs="Arial"/>
          <w:bCs/>
          <w:kern w:val="28"/>
          <w:szCs w:val="24"/>
          <w:lang w:val="es-ES"/>
        </w:rPr>
        <w:t>el portal web</w:t>
      </w:r>
      <w:r w:rsidRPr="003221C4">
        <w:rPr>
          <w:rFonts w:cs="Arial"/>
          <w:bCs/>
          <w:kern w:val="28"/>
          <w:szCs w:val="24"/>
          <w:lang w:val="es-ES"/>
        </w:rPr>
        <w:t xml:space="preserve"> del MERCOSUR. La </w:t>
      </w:r>
      <w:r w:rsidR="000209BB" w:rsidRPr="003221C4">
        <w:rPr>
          <w:rFonts w:cs="Arial"/>
          <w:bCs/>
          <w:kern w:val="28"/>
          <w:szCs w:val="24"/>
          <w:lang w:val="es-ES"/>
        </w:rPr>
        <w:t>nota de prensa</w:t>
      </w:r>
      <w:r w:rsidRPr="003221C4">
        <w:rPr>
          <w:rFonts w:cs="Arial"/>
          <w:bCs/>
          <w:kern w:val="28"/>
          <w:szCs w:val="24"/>
          <w:lang w:val="es-ES"/>
        </w:rPr>
        <w:t xml:space="preserve"> consta como</w:t>
      </w:r>
      <w:r w:rsidRPr="003221C4">
        <w:rPr>
          <w:rFonts w:cs="Arial"/>
          <w:b/>
          <w:kern w:val="28"/>
          <w:szCs w:val="24"/>
          <w:lang w:val="es-ES"/>
        </w:rPr>
        <w:t xml:space="preserve"> Anexo </w:t>
      </w:r>
      <w:r w:rsidR="000209BB" w:rsidRPr="003221C4">
        <w:rPr>
          <w:rFonts w:cs="Arial"/>
          <w:b/>
          <w:kern w:val="28"/>
          <w:szCs w:val="24"/>
          <w:lang w:val="es-ES"/>
        </w:rPr>
        <w:t>XV</w:t>
      </w:r>
      <w:r w:rsidR="00251CC0" w:rsidRPr="003221C4">
        <w:rPr>
          <w:rFonts w:cs="Arial"/>
          <w:b/>
          <w:kern w:val="28"/>
          <w:szCs w:val="24"/>
          <w:lang w:val="es-ES"/>
        </w:rPr>
        <w:t>I</w:t>
      </w:r>
      <w:r w:rsidRPr="003221C4">
        <w:rPr>
          <w:rFonts w:cs="Arial"/>
          <w:b/>
          <w:kern w:val="28"/>
          <w:szCs w:val="24"/>
          <w:lang w:val="es-ES"/>
        </w:rPr>
        <w:t>.</w:t>
      </w:r>
      <w:r w:rsidR="00F02261" w:rsidRPr="003221C4">
        <w:rPr>
          <w:rFonts w:cs="Arial"/>
          <w:b/>
          <w:kern w:val="28"/>
          <w:szCs w:val="24"/>
          <w:lang w:val="es-ES"/>
        </w:rPr>
        <w:t xml:space="preserve"> </w:t>
      </w:r>
    </w:p>
    <w:p w14:paraId="668DB97F" w14:textId="77777777" w:rsidR="00F02261" w:rsidRPr="003221C4" w:rsidRDefault="00F02261" w:rsidP="001C4EBE">
      <w:pPr>
        <w:widowControl w:val="0"/>
        <w:overflowPunct w:val="0"/>
        <w:adjustRightInd w:val="0"/>
        <w:jc w:val="both"/>
        <w:rPr>
          <w:rFonts w:cs="Arial"/>
          <w:b/>
          <w:kern w:val="28"/>
          <w:szCs w:val="24"/>
          <w:lang w:val="es-ES"/>
        </w:rPr>
      </w:pPr>
    </w:p>
    <w:p w14:paraId="1C8F9A3D" w14:textId="474303FE" w:rsidR="00671F92" w:rsidRPr="003221C4" w:rsidRDefault="00F02261" w:rsidP="001C4EBE">
      <w:pPr>
        <w:widowControl w:val="0"/>
        <w:overflowPunct w:val="0"/>
        <w:adjustRightInd w:val="0"/>
        <w:jc w:val="both"/>
        <w:rPr>
          <w:rFonts w:cs="Arial"/>
          <w:bCs/>
          <w:kern w:val="28"/>
          <w:szCs w:val="24"/>
          <w:lang w:val="es-ES"/>
        </w:rPr>
      </w:pPr>
      <w:r w:rsidRPr="003221C4">
        <w:rPr>
          <w:rFonts w:cs="Arial"/>
          <w:bCs/>
          <w:kern w:val="28"/>
          <w:szCs w:val="24"/>
          <w:lang w:val="es-ES"/>
        </w:rPr>
        <w:t>Asimismo, enviarán para su publicación los siguientes contenidos sustantivos elaborados por la Comisión de Sistema Bancario:</w:t>
      </w:r>
    </w:p>
    <w:p w14:paraId="544D764E" w14:textId="77777777" w:rsidR="00391110" w:rsidRPr="003221C4" w:rsidRDefault="00391110" w:rsidP="001C4EBE">
      <w:pPr>
        <w:widowControl w:val="0"/>
        <w:overflowPunct w:val="0"/>
        <w:adjustRightInd w:val="0"/>
        <w:jc w:val="both"/>
        <w:rPr>
          <w:rFonts w:cs="Arial"/>
          <w:b/>
          <w:kern w:val="28"/>
          <w:szCs w:val="24"/>
          <w:lang w:val="es-ES"/>
        </w:rPr>
      </w:pPr>
    </w:p>
    <w:p w14:paraId="5B24365C" w14:textId="77777777" w:rsidR="00391110" w:rsidRPr="003221C4" w:rsidRDefault="00391110" w:rsidP="00391110">
      <w:pPr>
        <w:pStyle w:val="Prrafodelista"/>
        <w:widowControl w:val="0"/>
        <w:numPr>
          <w:ilvl w:val="0"/>
          <w:numId w:val="6"/>
        </w:numPr>
        <w:overflowPunct w:val="0"/>
        <w:adjustRightInd w:val="0"/>
        <w:jc w:val="both"/>
        <w:rPr>
          <w:rFonts w:cs="Arial"/>
          <w:bCs/>
          <w:kern w:val="28"/>
          <w:szCs w:val="24"/>
          <w:lang w:val="es-ES"/>
        </w:rPr>
      </w:pPr>
      <w:r w:rsidRPr="003221C4">
        <w:rPr>
          <w:rFonts w:cs="Arial"/>
          <w:bCs/>
          <w:kern w:val="28"/>
          <w:szCs w:val="24"/>
        </w:rPr>
        <w:t>Cuadro de Recomendaciones Internacionales de Regulación Prudencial que considera las disposiciones del Comité de Supervisión Bancaria de Basilea y del Consejo de Estabilidad Financiera;</w:t>
      </w:r>
    </w:p>
    <w:p w14:paraId="39457323" w14:textId="77777777" w:rsidR="00391110" w:rsidRPr="003221C4" w:rsidRDefault="00391110" w:rsidP="00391110">
      <w:pPr>
        <w:pStyle w:val="Prrafodelista"/>
        <w:widowControl w:val="0"/>
        <w:numPr>
          <w:ilvl w:val="0"/>
          <w:numId w:val="6"/>
        </w:numPr>
        <w:overflowPunct w:val="0"/>
        <w:adjustRightInd w:val="0"/>
        <w:jc w:val="both"/>
        <w:rPr>
          <w:rFonts w:cs="Arial"/>
          <w:bCs/>
          <w:kern w:val="28"/>
          <w:szCs w:val="24"/>
          <w:lang w:val="es-ES"/>
        </w:rPr>
      </w:pPr>
      <w:r w:rsidRPr="003221C4">
        <w:rPr>
          <w:rFonts w:cs="Arial"/>
          <w:bCs/>
          <w:kern w:val="28"/>
          <w:szCs w:val="24"/>
        </w:rPr>
        <w:t xml:space="preserve"> Cuadro de Servicios Financieros con información relativa al marco legal y regulatorio de cada país;</w:t>
      </w:r>
    </w:p>
    <w:p w14:paraId="05299857" w14:textId="4CC5FCA7" w:rsidR="00391110" w:rsidRPr="003221C4" w:rsidRDefault="00391110" w:rsidP="00391110">
      <w:pPr>
        <w:pStyle w:val="Prrafodelista"/>
        <w:widowControl w:val="0"/>
        <w:numPr>
          <w:ilvl w:val="0"/>
          <w:numId w:val="6"/>
        </w:numPr>
        <w:overflowPunct w:val="0"/>
        <w:adjustRightInd w:val="0"/>
        <w:jc w:val="both"/>
        <w:rPr>
          <w:rFonts w:cs="Arial"/>
          <w:bCs/>
          <w:kern w:val="28"/>
          <w:szCs w:val="24"/>
          <w:lang w:val="es-ES"/>
        </w:rPr>
      </w:pPr>
      <w:r w:rsidRPr="003221C4">
        <w:rPr>
          <w:rFonts w:cs="Arial"/>
          <w:bCs/>
          <w:kern w:val="28"/>
          <w:szCs w:val="24"/>
        </w:rPr>
        <w:t>Reporte sobre Principios de Análisis de Impacto Regulatorio e Implementación en América Latina.</w:t>
      </w:r>
    </w:p>
    <w:p w14:paraId="6CE4773C" w14:textId="77777777" w:rsidR="00AA63E3" w:rsidRPr="003221C4" w:rsidRDefault="00AA63E3" w:rsidP="001C4EBE">
      <w:pPr>
        <w:widowControl w:val="0"/>
        <w:overflowPunct w:val="0"/>
        <w:adjustRightInd w:val="0"/>
        <w:jc w:val="both"/>
        <w:rPr>
          <w:rFonts w:cs="Arial"/>
          <w:b/>
          <w:kern w:val="28"/>
          <w:szCs w:val="24"/>
          <w:lang w:val="es-ES"/>
        </w:rPr>
      </w:pPr>
    </w:p>
    <w:p w14:paraId="452C8CE4" w14:textId="3F459C2F" w:rsidR="002C68F4" w:rsidRPr="003221C4" w:rsidRDefault="002C68F4" w:rsidP="001C4EBE">
      <w:pPr>
        <w:widowControl w:val="0"/>
        <w:overflowPunct w:val="0"/>
        <w:adjustRightInd w:val="0"/>
        <w:jc w:val="both"/>
        <w:rPr>
          <w:rFonts w:cs="Arial"/>
          <w:bCs/>
          <w:kern w:val="28"/>
          <w:szCs w:val="24"/>
          <w:lang w:val="es-ES"/>
        </w:rPr>
      </w:pPr>
      <w:r w:rsidRPr="003221C4">
        <w:rPr>
          <w:rFonts w:cs="Arial"/>
          <w:bCs/>
          <w:kern w:val="28"/>
          <w:szCs w:val="24"/>
          <w:lang w:val="es-ES"/>
        </w:rPr>
        <w:t>Todas la</w:t>
      </w:r>
      <w:r w:rsidR="005D248A" w:rsidRPr="003221C4">
        <w:rPr>
          <w:rFonts w:cs="Arial"/>
          <w:bCs/>
          <w:kern w:val="28"/>
          <w:szCs w:val="24"/>
          <w:lang w:val="es-ES"/>
        </w:rPr>
        <w:t>s solicitudes de</w:t>
      </w:r>
      <w:r w:rsidRPr="003221C4">
        <w:rPr>
          <w:rFonts w:cs="Arial"/>
          <w:bCs/>
          <w:kern w:val="28"/>
          <w:szCs w:val="24"/>
          <w:lang w:val="es-ES"/>
        </w:rPr>
        <w:t xml:space="preserve"> publicaci</w:t>
      </w:r>
      <w:r w:rsidR="005D248A" w:rsidRPr="003221C4">
        <w:rPr>
          <w:rFonts w:cs="Arial"/>
          <w:bCs/>
          <w:kern w:val="28"/>
          <w:szCs w:val="24"/>
          <w:lang w:val="es-ES"/>
        </w:rPr>
        <w:t xml:space="preserve">ón </w:t>
      </w:r>
      <w:r w:rsidR="005D248A" w:rsidRPr="003221C4">
        <w:rPr>
          <w:rFonts w:cs="Arial"/>
          <w:bCs/>
          <w:kern w:val="28"/>
          <w:szCs w:val="24"/>
        </w:rPr>
        <w:t xml:space="preserve">se presentarán acompañadas de los formularios establecidos en la Decisión CMC </w:t>
      </w:r>
      <w:proofErr w:type="spellStart"/>
      <w:r w:rsidR="005D248A" w:rsidRPr="003221C4">
        <w:rPr>
          <w:rFonts w:cs="Arial"/>
          <w:bCs/>
          <w:kern w:val="28"/>
          <w:szCs w:val="24"/>
        </w:rPr>
        <w:t>Nº</w:t>
      </w:r>
      <w:proofErr w:type="spellEnd"/>
      <w:r w:rsidR="005D248A" w:rsidRPr="003221C4">
        <w:rPr>
          <w:rFonts w:cs="Arial"/>
          <w:bCs/>
          <w:kern w:val="28"/>
          <w:szCs w:val="24"/>
        </w:rPr>
        <w:t xml:space="preserve"> 26/21 y la Resolución GMC </w:t>
      </w:r>
      <w:proofErr w:type="spellStart"/>
      <w:r w:rsidR="005D248A" w:rsidRPr="003221C4">
        <w:rPr>
          <w:rFonts w:cs="Arial"/>
          <w:bCs/>
          <w:kern w:val="28"/>
          <w:szCs w:val="24"/>
        </w:rPr>
        <w:t>Nº</w:t>
      </w:r>
      <w:proofErr w:type="spellEnd"/>
      <w:r w:rsidR="005D248A" w:rsidRPr="003221C4">
        <w:rPr>
          <w:rFonts w:cs="Arial"/>
          <w:bCs/>
          <w:kern w:val="28"/>
          <w:szCs w:val="24"/>
        </w:rPr>
        <w:t xml:space="preserve"> 32/22 (reglamentación de la </w:t>
      </w:r>
      <w:proofErr w:type="spellStart"/>
      <w:r w:rsidR="005D248A" w:rsidRPr="003221C4">
        <w:rPr>
          <w:rFonts w:cs="Arial"/>
          <w:bCs/>
          <w:kern w:val="28"/>
          <w:szCs w:val="24"/>
        </w:rPr>
        <w:t>Dec</w:t>
      </w:r>
      <w:proofErr w:type="spellEnd"/>
      <w:r w:rsidR="005D248A" w:rsidRPr="003221C4">
        <w:rPr>
          <w:rFonts w:cs="Arial"/>
          <w:bCs/>
          <w:kern w:val="28"/>
          <w:szCs w:val="24"/>
        </w:rPr>
        <w:t xml:space="preserve">. CMC </w:t>
      </w:r>
      <w:proofErr w:type="spellStart"/>
      <w:r w:rsidR="005D248A" w:rsidRPr="003221C4">
        <w:rPr>
          <w:rFonts w:cs="Arial"/>
          <w:bCs/>
          <w:kern w:val="28"/>
          <w:szCs w:val="24"/>
        </w:rPr>
        <w:t>Nº</w:t>
      </w:r>
      <w:proofErr w:type="spellEnd"/>
      <w:r w:rsidR="005D248A" w:rsidRPr="003221C4">
        <w:rPr>
          <w:rFonts w:cs="Arial"/>
          <w:bCs/>
          <w:kern w:val="28"/>
          <w:szCs w:val="24"/>
        </w:rPr>
        <w:t xml:space="preserve"> 26/21).</w:t>
      </w:r>
    </w:p>
    <w:p w14:paraId="1B1229DA" w14:textId="77777777" w:rsidR="002C68F4" w:rsidRPr="003221C4" w:rsidRDefault="002C68F4" w:rsidP="001C4EBE">
      <w:pPr>
        <w:widowControl w:val="0"/>
        <w:overflowPunct w:val="0"/>
        <w:adjustRightInd w:val="0"/>
        <w:jc w:val="both"/>
        <w:rPr>
          <w:rFonts w:cs="Arial"/>
          <w:b/>
          <w:kern w:val="28"/>
          <w:szCs w:val="24"/>
          <w:lang w:val="es-ES"/>
        </w:rPr>
      </w:pPr>
    </w:p>
    <w:p w14:paraId="7C4E9AA1" w14:textId="02FE8EEE" w:rsidR="00CF70E1" w:rsidRPr="003221C4" w:rsidRDefault="00CF70E1" w:rsidP="00202838">
      <w:pPr>
        <w:ind w:left="1134" w:hanging="567"/>
        <w:rPr>
          <w:rFonts w:eastAsia="Calibri" w:cs="Arial"/>
          <w:b/>
          <w:szCs w:val="24"/>
          <w:lang w:val="es-UY" w:eastAsia="zh-CN"/>
        </w:rPr>
      </w:pPr>
      <w:r w:rsidRPr="003221C4">
        <w:rPr>
          <w:rFonts w:cs="Arial"/>
          <w:b/>
          <w:kern w:val="28"/>
          <w:szCs w:val="24"/>
          <w:lang w:val="es-ES"/>
        </w:rPr>
        <w:t xml:space="preserve">6.5 </w:t>
      </w:r>
      <w:r w:rsidRPr="003221C4">
        <w:rPr>
          <w:rFonts w:cs="Arial"/>
          <w:b/>
          <w:kern w:val="28"/>
          <w:szCs w:val="24"/>
          <w:lang w:val="es-ES"/>
        </w:rPr>
        <w:tab/>
      </w:r>
      <w:r w:rsidRPr="003221C4">
        <w:rPr>
          <w:rFonts w:eastAsia="Calibri" w:cs="Arial"/>
          <w:b/>
          <w:szCs w:val="24"/>
          <w:lang w:val="es-UY" w:eastAsia="zh-CN"/>
        </w:rPr>
        <w:t xml:space="preserve">Estructura interna - Decisión CMC </w:t>
      </w:r>
      <w:proofErr w:type="spellStart"/>
      <w:r w:rsidRPr="003221C4">
        <w:rPr>
          <w:rFonts w:eastAsia="Calibri" w:cs="Arial"/>
          <w:b/>
          <w:szCs w:val="24"/>
          <w:lang w:val="es-UY" w:eastAsia="zh-CN"/>
        </w:rPr>
        <w:t>N°</w:t>
      </w:r>
      <w:proofErr w:type="spellEnd"/>
      <w:r w:rsidRPr="003221C4">
        <w:rPr>
          <w:rFonts w:eastAsia="Calibri" w:cs="Arial"/>
          <w:b/>
          <w:szCs w:val="24"/>
          <w:lang w:val="es-UY" w:eastAsia="zh-CN"/>
        </w:rPr>
        <w:t xml:space="preserve"> 19/19</w:t>
      </w:r>
    </w:p>
    <w:p w14:paraId="6E8F1DA1" w14:textId="77777777" w:rsidR="00CF70E1" w:rsidRPr="003221C4" w:rsidRDefault="00CF70E1" w:rsidP="00CF70E1">
      <w:pPr>
        <w:rPr>
          <w:rFonts w:eastAsia="Calibri" w:cs="Arial"/>
          <w:b/>
          <w:szCs w:val="24"/>
          <w:lang w:val="es-UY" w:eastAsia="zh-CN"/>
        </w:rPr>
      </w:pPr>
    </w:p>
    <w:p w14:paraId="3D93CB1C" w14:textId="6DBFF608" w:rsidR="00CF70E1" w:rsidRPr="003221C4" w:rsidRDefault="00CF70E1" w:rsidP="00CF70E1">
      <w:pPr>
        <w:widowControl w:val="0"/>
        <w:overflowPunct w:val="0"/>
        <w:adjustRightInd w:val="0"/>
        <w:jc w:val="both"/>
        <w:rPr>
          <w:rFonts w:eastAsia="Calibri" w:cs="Arial"/>
          <w:bCs/>
          <w:szCs w:val="24"/>
          <w:lang w:val="es-UY" w:eastAsia="zh-CN"/>
        </w:rPr>
      </w:pPr>
      <w:r w:rsidRPr="003221C4">
        <w:rPr>
          <w:rFonts w:eastAsia="Calibri" w:cs="Arial"/>
          <w:bCs/>
          <w:szCs w:val="24"/>
          <w:lang w:val="es-UY" w:eastAsia="zh-CN"/>
        </w:rPr>
        <w:t xml:space="preserve">Teniendo en cuenta lo establecido en el Artículo 3 de la Decisión CMC </w:t>
      </w:r>
      <w:proofErr w:type="spellStart"/>
      <w:r w:rsidRPr="003221C4">
        <w:rPr>
          <w:rFonts w:eastAsia="Calibri" w:cs="Arial"/>
          <w:bCs/>
          <w:szCs w:val="24"/>
          <w:lang w:val="es-UY" w:eastAsia="zh-CN"/>
        </w:rPr>
        <w:t>N°</w:t>
      </w:r>
      <w:proofErr w:type="spellEnd"/>
      <w:r w:rsidRPr="003221C4">
        <w:rPr>
          <w:rFonts w:eastAsia="Calibri" w:cs="Arial"/>
          <w:bCs/>
          <w:szCs w:val="24"/>
          <w:lang w:val="es-UY" w:eastAsia="zh-CN"/>
        </w:rPr>
        <w:t xml:space="preserve"> 19/19, los Coordinadores Nacionales informaron al GMC que su estructura interna no </w:t>
      </w:r>
      <w:r w:rsidR="00A748BF" w:rsidRPr="003221C4">
        <w:rPr>
          <w:rFonts w:eastAsia="Calibri" w:cs="Arial"/>
          <w:bCs/>
          <w:szCs w:val="24"/>
          <w:lang w:val="es-UY" w:eastAsia="zh-CN"/>
        </w:rPr>
        <w:t>h</w:t>
      </w:r>
      <w:r w:rsidRPr="003221C4">
        <w:rPr>
          <w:rFonts w:eastAsia="Calibri" w:cs="Arial"/>
          <w:bCs/>
          <w:szCs w:val="24"/>
          <w:lang w:val="es-UY" w:eastAsia="zh-CN"/>
        </w:rPr>
        <w:t>a</w:t>
      </w:r>
      <w:r w:rsidR="00A748BF" w:rsidRPr="003221C4">
        <w:rPr>
          <w:rFonts w:eastAsia="Calibri" w:cs="Arial"/>
          <w:bCs/>
          <w:szCs w:val="24"/>
          <w:lang w:val="es-UY" w:eastAsia="zh-CN"/>
        </w:rPr>
        <w:t xml:space="preserve"> </w:t>
      </w:r>
      <w:r w:rsidRPr="003221C4">
        <w:rPr>
          <w:rFonts w:eastAsia="Calibri" w:cs="Arial"/>
          <w:bCs/>
          <w:szCs w:val="24"/>
          <w:lang w:val="es-UY" w:eastAsia="zh-CN"/>
        </w:rPr>
        <w:t>sufrido modificaciones</w:t>
      </w:r>
      <w:r w:rsidR="00A748BF" w:rsidRPr="003221C4">
        <w:rPr>
          <w:rFonts w:eastAsia="Calibri" w:cs="Arial"/>
          <w:bCs/>
          <w:szCs w:val="24"/>
          <w:lang w:val="es-UY" w:eastAsia="zh-CN"/>
        </w:rPr>
        <w:t>.</w:t>
      </w:r>
    </w:p>
    <w:p w14:paraId="7454EF3E" w14:textId="77777777" w:rsidR="00A748BF" w:rsidRPr="003221C4" w:rsidRDefault="00A748BF" w:rsidP="00CF70E1">
      <w:pPr>
        <w:widowControl w:val="0"/>
        <w:overflowPunct w:val="0"/>
        <w:adjustRightInd w:val="0"/>
        <w:jc w:val="both"/>
        <w:rPr>
          <w:rFonts w:cs="Arial"/>
          <w:b/>
          <w:kern w:val="28"/>
          <w:szCs w:val="24"/>
          <w:lang w:val="es-ES"/>
        </w:rPr>
      </w:pPr>
    </w:p>
    <w:p w14:paraId="49B08693" w14:textId="77777777" w:rsidR="00E44944" w:rsidRPr="003221C4" w:rsidRDefault="00E44944" w:rsidP="00E44944">
      <w:pPr>
        <w:widowControl w:val="0"/>
        <w:overflowPunct w:val="0"/>
        <w:adjustRightInd w:val="0"/>
        <w:jc w:val="both"/>
        <w:rPr>
          <w:rFonts w:cs="Arial"/>
          <w:bCs/>
          <w:kern w:val="28"/>
          <w:szCs w:val="24"/>
          <w:lang w:val="es-ES"/>
        </w:rPr>
      </w:pPr>
    </w:p>
    <w:p w14:paraId="4D306960" w14:textId="77777777" w:rsidR="00E44944" w:rsidRPr="003221C4" w:rsidRDefault="00E44944" w:rsidP="00E44944">
      <w:pPr>
        <w:suppressAutoHyphens/>
        <w:jc w:val="both"/>
        <w:rPr>
          <w:rFonts w:cs="Arial"/>
          <w:b/>
          <w:szCs w:val="24"/>
          <w:lang w:val="es-UY" w:eastAsia="ar-SA"/>
        </w:rPr>
      </w:pPr>
      <w:r w:rsidRPr="003221C4">
        <w:rPr>
          <w:rFonts w:cs="Arial"/>
          <w:b/>
          <w:szCs w:val="24"/>
          <w:lang w:val="es-UY" w:eastAsia="ar-SA"/>
        </w:rPr>
        <w:t>AGRADECIMIENTO</w:t>
      </w:r>
    </w:p>
    <w:p w14:paraId="554767A2" w14:textId="77777777" w:rsidR="00E44944" w:rsidRPr="003221C4" w:rsidRDefault="00E44944" w:rsidP="00E44944">
      <w:pPr>
        <w:suppressAutoHyphens/>
        <w:jc w:val="both"/>
        <w:rPr>
          <w:rFonts w:cs="Arial"/>
          <w:b/>
          <w:szCs w:val="24"/>
          <w:highlight w:val="yellow"/>
          <w:lang w:val="es-UY" w:eastAsia="ar-SA"/>
        </w:rPr>
      </w:pPr>
    </w:p>
    <w:p w14:paraId="00480DED" w14:textId="5D8CDCEA" w:rsidR="00E44944" w:rsidRPr="003221C4" w:rsidRDefault="005373BC" w:rsidP="00E44944">
      <w:pPr>
        <w:widowControl w:val="0"/>
        <w:tabs>
          <w:tab w:val="left" w:pos="425"/>
        </w:tabs>
        <w:overflowPunct w:val="0"/>
        <w:adjustRightInd w:val="0"/>
        <w:jc w:val="both"/>
        <w:rPr>
          <w:rFonts w:cs="Arial"/>
          <w:b/>
          <w:bCs/>
          <w:kern w:val="28"/>
          <w:szCs w:val="24"/>
          <w:highlight w:val="yellow"/>
          <w:lang w:val="es-ES"/>
        </w:rPr>
      </w:pPr>
      <w:r w:rsidRPr="003221C4">
        <w:rPr>
          <w:rFonts w:cs="Arial"/>
          <w:bCs/>
          <w:kern w:val="28"/>
          <w:szCs w:val="24"/>
          <w:lang w:val="es-ES"/>
        </w:rPr>
        <w:t>Las delegaciones agradecieron a la PPTU</w:t>
      </w:r>
      <w:r w:rsidR="00202838" w:rsidRPr="003221C4">
        <w:rPr>
          <w:rFonts w:cs="Arial"/>
          <w:bCs/>
          <w:kern w:val="28"/>
          <w:szCs w:val="24"/>
          <w:lang w:val="es-ES"/>
        </w:rPr>
        <w:t xml:space="preserve"> por la organización de la reunión y a la</w:t>
      </w:r>
      <w:r w:rsidRPr="003221C4">
        <w:rPr>
          <w:rFonts w:cs="Arial"/>
          <w:bCs/>
          <w:kern w:val="28"/>
          <w:szCs w:val="24"/>
          <w:lang w:val="es-ES"/>
        </w:rPr>
        <w:t xml:space="preserve"> Secretaría del MERCOSUR por la colaboración prestada</w:t>
      </w:r>
      <w:r w:rsidR="00F74421" w:rsidRPr="003221C4">
        <w:rPr>
          <w:rFonts w:cs="Arial"/>
          <w:bCs/>
          <w:kern w:val="28"/>
          <w:szCs w:val="24"/>
          <w:lang w:val="es-ES"/>
        </w:rPr>
        <w:t>.</w:t>
      </w:r>
    </w:p>
    <w:p w14:paraId="4853E753" w14:textId="77777777" w:rsidR="00FB1784" w:rsidRPr="003221C4" w:rsidRDefault="00FB1784" w:rsidP="00E44944">
      <w:pPr>
        <w:widowControl w:val="0"/>
        <w:tabs>
          <w:tab w:val="left" w:pos="425"/>
        </w:tabs>
        <w:overflowPunct w:val="0"/>
        <w:adjustRightInd w:val="0"/>
        <w:jc w:val="both"/>
        <w:rPr>
          <w:rFonts w:cs="Arial"/>
          <w:b/>
          <w:bCs/>
          <w:kern w:val="28"/>
          <w:szCs w:val="24"/>
          <w:highlight w:val="yellow"/>
          <w:lang w:val="es-ES"/>
        </w:rPr>
      </w:pPr>
    </w:p>
    <w:p w14:paraId="674ADC31" w14:textId="775D10A1" w:rsidR="00E44944" w:rsidRPr="003221C4" w:rsidRDefault="00E44944" w:rsidP="00E44944">
      <w:pPr>
        <w:widowControl w:val="0"/>
        <w:tabs>
          <w:tab w:val="left" w:pos="425"/>
        </w:tabs>
        <w:overflowPunct w:val="0"/>
        <w:adjustRightInd w:val="0"/>
        <w:jc w:val="both"/>
        <w:rPr>
          <w:rFonts w:cs="Arial"/>
          <w:b/>
          <w:bCs/>
          <w:kern w:val="28"/>
          <w:szCs w:val="24"/>
          <w:lang w:val="es-ES"/>
        </w:rPr>
      </w:pPr>
      <w:r w:rsidRPr="003221C4">
        <w:rPr>
          <w:rFonts w:cs="Arial"/>
          <w:b/>
          <w:bCs/>
          <w:kern w:val="28"/>
          <w:szCs w:val="24"/>
          <w:lang w:val="es-ES"/>
        </w:rPr>
        <w:t>PRÓXIMA REUNIÓN</w:t>
      </w:r>
    </w:p>
    <w:p w14:paraId="3DEE2C41" w14:textId="77777777" w:rsidR="00E44944" w:rsidRPr="003221C4" w:rsidRDefault="00E44944" w:rsidP="00E44944">
      <w:pPr>
        <w:widowControl w:val="0"/>
        <w:tabs>
          <w:tab w:val="left" w:pos="1134"/>
        </w:tabs>
        <w:overflowPunct w:val="0"/>
        <w:adjustRightInd w:val="0"/>
        <w:jc w:val="both"/>
        <w:rPr>
          <w:rFonts w:cs="Arial"/>
          <w:kern w:val="28"/>
          <w:szCs w:val="24"/>
          <w:highlight w:val="yellow"/>
          <w:lang w:val="es-ES"/>
        </w:rPr>
      </w:pPr>
    </w:p>
    <w:p w14:paraId="7524836A" w14:textId="77777777" w:rsidR="00E44944" w:rsidRPr="003221C4" w:rsidRDefault="00E44944" w:rsidP="00671F92">
      <w:pPr>
        <w:widowControl w:val="0"/>
        <w:overflowPunct w:val="0"/>
        <w:adjustRightInd w:val="0"/>
        <w:jc w:val="both"/>
        <w:rPr>
          <w:rFonts w:cs="Arial"/>
          <w:bCs/>
          <w:kern w:val="28"/>
          <w:szCs w:val="24"/>
          <w:lang w:val="es-ES"/>
        </w:rPr>
      </w:pPr>
      <w:r w:rsidRPr="003221C4">
        <w:rPr>
          <w:rFonts w:cs="Arial"/>
          <w:bCs/>
          <w:kern w:val="28"/>
          <w:szCs w:val="24"/>
          <w:lang w:val="es-ES"/>
        </w:rPr>
        <w:t>La próxima reunión ordinaria del</w:t>
      </w:r>
      <w:r w:rsidR="00CD6F69" w:rsidRPr="003221C4">
        <w:rPr>
          <w:rFonts w:cs="Arial"/>
          <w:bCs/>
          <w:kern w:val="28"/>
          <w:szCs w:val="24"/>
          <w:lang w:val="es-ES"/>
        </w:rPr>
        <w:t xml:space="preserve"> </w:t>
      </w:r>
      <w:r w:rsidR="00671F92" w:rsidRPr="003221C4">
        <w:rPr>
          <w:rFonts w:cs="Arial"/>
          <w:bCs/>
          <w:kern w:val="28"/>
          <w:szCs w:val="24"/>
          <w:lang w:val="es-ES"/>
        </w:rPr>
        <w:t>SGT N° 4, será convocada oportunamente por la PPT.</w:t>
      </w:r>
    </w:p>
    <w:p w14:paraId="14D2767E" w14:textId="77777777" w:rsidR="00671F92" w:rsidRPr="003221C4" w:rsidRDefault="00671F92" w:rsidP="00671F92">
      <w:pPr>
        <w:widowControl w:val="0"/>
        <w:overflowPunct w:val="0"/>
        <w:adjustRightInd w:val="0"/>
        <w:jc w:val="both"/>
        <w:rPr>
          <w:rFonts w:cs="Arial"/>
          <w:bCs/>
          <w:kern w:val="28"/>
          <w:szCs w:val="24"/>
          <w:highlight w:val="yellow"/>
          <w:lang w:val="es-ES"/>
        </w:rPr>
      </w:pPr>
    </w:p>
    <w:p w14:paraId="31FF2A58" w14:textId="77777777" w:rsidR="00F74421" w:rsidRPr="003221C4" w:rsidRDefault="00F74421" w:rsidP="00671F92">
      <w:pPr>
        <w:widowControl w:val="0"/>
        <w:overflowPunct w:val="0"/>
        <w:adjustRightInd w:val="0"/>
        <w:jc w:val="both"/>
        <w:rPr>
          <w:rFonts w:cs="Arial"/>
          <w:bCs/>
          <w:kern w:val="28"/>
          <w:szCs w:val="24"/>
          <w:highlight w:val="yellow"/>
          <w:lang w:val="es-ES"/>
        </w:rPr>
      </w:pPr>
    </w:p>
    <w:p w14:paraId="4A2325C4" w14:textId="77777777" w:rsidR="00F74421" w:rsidRPr="003221C4" w:rsidRDefault="00F74421" w:rsidP="00671F92">
      <w:pPr>
        <w:widowControl w:val="0"/>
        <w:overflowPunct w:val="0"/>
        <w:adjustRightInd w:val="0"/>
        <w:jc w:val="both"/>
        <w:rPr>
          <w:rFonts w:cs="Arial"/>
          <w:bCs/>
          <w:kern w:val="28"/>
          <w:szCs w:val="24"/>
          <w:highlight w:val="yellow"/>
          <w:lang w:val="es-ES"/>
        </w:rPr>
      </w:pPr>
    </w:p>
    <w:p w14:paraId="7F27BC2F" w14:textId="77777777" w:rsidR="00F74421" w:rsidRPr="003221C4" w:rsidRDefault="00F74421" w:rsidP="00671F92">
      <w:pPr>
        <w:widowControl w:val="0"/>
        <w:overflowPunct w:val="0"/>
        <w:adjustRightInd w:val="0"/>
        <w:jc w:val="both"/>
        <w:rPr>
          <w:rFonts w:cs="Arial"/>
          <w:bCs/>
          <w:kern w:val="28"/>
          <w:szCs w:val="24"/>
          <w:highlight w:val="yellow"/>
          <w:lang w:val="es-ES"/>
        </w:rPr>
      </w:pPr>
    </w:p>
    <w:p w14:paraId="7890536F" w14:textId="77777777" w:rsidR="00E44944" w:rsidRPr="003221C4" w:rsidRDefault="00E44944" w:rsidP="00E44944">
      <w:pPr>
        <w:widowControl w:val="0"/>
        <w:tabs>
          <w:tab w:val="left" w:pos="425"/>
        </w:tabs>
        <w:overflowPunct w:val="0"/>
        <w:adjustRightInd w:val="0"/>
        <w:jc w:val="both"/>
        <w:rPr>
          <w:rFonts w:cs="Arial"/>
          <w:b/>
          <w:kern w:val="28"/>
          <w:szCs w:val="24"/>
          <w:lang w:val="es-ES"/>
        </w:rPr>
      </w:pPr>
      <w:r w:rsidRPr="003221C4">
        <w:rPr>
          <w:rFonts w:cs="Arial"/>
          <w:b/>
          <w:kern w:val="28"/>
          <w:szCs w:val="24"/>
          <w:lang w:val="es-ES"/>
        </w:rPr>
        <w:lastRenderedPageBreak/>
        <w:t>ANEXOS</w:t>
      </w:r>
    </w:p>
    <w:p w14:paraId="53DDB96B" w14:textId="77777777" w:rsidR="00E44944" w:rsidRPr="003221C4" w:rsidRDefault="00E44944" w:rsidP="00E44944">
      <w:pPr>
        <w:widowControl w:val="0"/>
        <w:tabs>
          <w:tab w:val="left" w:pos="425"/>
        </w:tabs>
        <w:overflowPunct w:val="0"/>
        <w:adjustRightInd w:val="0"/>
        <w:jc w:val="both"/>
        <w:rPr>
          <w:rFonts w:cs="Arial"/>
          <w:kern w:val="28"/>
          <w:szCs w:val="24"/>
          <w:lang w:val="es-ES"/>
        </w:rPr>
      </w:pPr>
    </w:p>
    <w:p w14:paraId="7C1F0D84" w14:textId="77777777" w:rsidR="00E44944" w:rsidRPr="003221C4" w:rsidRDefault="00E44944" w:rsidP="00E44944">
      <w:pPr>
        <w:widowControl w:val="0"/>
        <w:tabs>
          <w:tab w:val="left" w:pos="425"/>
        </w:tabs>
        <w:overflowPunct w:val="0"/>
        <w:adjustRightInd w:val="0"/>
        <w:jc w:val="both"/>
        <w:rPr>
          <w:rFonts w:cs="Arial"/>
          <w:kern w:val="28"/>
          <w:szCs w:val="24"/>
          <w:lang w:val="es-ES"/>
        </w:rPr>
      </w:pPr>
      <w:r w:rsidRPr="003221C4">
        <w:rPr>
          <w:rFonts w:cs="Arial"/>
          <w:kern w:val="28"/>
          <w:szCs w:val="24"/>
          <w:lang w:val="es-ES"/>
        </w:rPr>
        <w:t xml:space="preserve">Los Anexos que forman parte de la presente Acta son los siguientes:  </w:t>
      </w:r>
    </w:p>
    <w:p w14:paraId="4E568460" w14:textId="77777777" w:rsidR="00E44944" w:rsidRPr="003221C4" w:rsidRDefault="00E44944" w:rsidP="00E44944">
      <w:pPr>
        <w:widowControl w:val="0"/>
        <w:overflowPunct w:val="0"/>
        <w:adjustRightInd w:val="0"/>
        <w:jc w:val="both"/>
        <w:rPr>
          <w:rFonts w:cs="Arial"/>
          <w:b/>
          <w:bCs/>
          <w:kern w:val="28"/>
          <w:szCs w:val="24"/>
          <w:highlight w:val="yellow"/>
          <w:lang w:val="es-ES"/>
        </w:rPr>
      </w:pPr>
    </w:p>
    <w:tbl>
      <w:tblPr>
        <w:tblW w:w="92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4A0" w:firstRow="1" w:lastRow="0" w:firstColumn="1" w:lastColumn="0" w:noHBand="0" w:noVBand="1"/>
      </w:tblPr>
      <w:tblGrid>
        <w:gridCol w:w="1881"/>
        <w:gridCol w:w="7329"/>
      </w:tblGrid>
      <w:tr w:rsidR="003221C4" w:rsidRPr="003221C4" w14:paraId="311B4DE2"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hideMark/>
          </w:tcPr>
          <w:p w14:paraId="682147CA" w14:textId="77777777" w:rsidR="00E44944" w:rsidRPr="003221C4" w:rsidRDefault="00E44944" w:rsidP="00E44944">
            <w:pPr>
              <w:widowControl w:val="0"/>
              <w:overflowPunct w:val="0"/>
              <w:adjustRightInd w:val="0"/>
              <w:jc w:val="both"/>
              <w:rPr>
                <w:rFonts w:cs="Arial"/>
                <w:kern w:val="28"/>
                <w:szCs w:val="24"/>
                <w:lang w:val="es-ES"/>
              </w:rPr>
            </w:pPr>
            <w:r w:rsidRPr="003221C4">
              <w:rPr>
                <w:rFonts w:cs="Arial"/>
                <w:b/>
                <w:bCs/>
                <w:kern w:val="28"/>
                <w:szCs w:val="24"/>
                <w:lang w:val="es-ES_tradnl"/>
              </w:rPr>
              <w:t xml:space="preserve">Anexo I </w:t>
            </w:r>
            <w:r w:rsidRPr="003221C4">
              <w:rPr>
                <w:rFonts w:cs="Arial"/>
                <w:b/>
                <w:bCs/>
                <w:kern w:val="28"/>
                <w:szCs w:val="24"/>
                <w:lang w:val="es-ES_tradnl"/>
              </w:rPr>
              <w:tab/>
            </w:r>
          </w:p>
        </w:tc>
        <w:tc>
          <w:tcPr>
            <w:tcW w:w="7329" w:type="dxa"/>
            <w:tcBorders>
              <w:top w:val="single" w:sz="4" w:space="0" w:color="auto"/>
              <w:left w:val="single" w:sz="4" w:space="0" w:color="auto"/>
              <w:bottom w:val="single" w:sz="4" w:space="0" w:color="auto"/>
              <w:right w:val="single" w:sz="4" w:space="0" w:color="auto"/>
            </w:tcBorders>
            <w:hideMark/>
          </w:tcPr>
          <w:p w14:paraId="5FCC0651" w14:textId="77777777" w:rsidR="00E44944" w:rsidRPr="003221C4" w:rsidRDefault="00E44944" w:rsidP="00E44944">
            <w:pPr>
              <w:widowControl w:val="0"/>
              <w:overflowPunct w:val="0"/>
              <w:adjustRightInd w:val="0"/>
              <w:jc w:val="both"/>
              <w:rPr>
                <w:rFonts w:cs="Arial"/>
                <w:kern w:val="28"/>
                <w:szCs w:val="24"/>
                <w:lang w:val="es-ES_tradnl"/>
              </w:rPr>
            </w:pPr>
            <w:r w:rsidRPr="003221C4">
              <w:rPr>
                <w:rFonts w:cs="Arial"/>
                <w:kern w:val="28"/>
                <w:szCs w:val="24"/>
                <w:lang w:val="es-ES_tradnl"/>
              </w:rPr>
              <w:t>Lista de Participantes</w:t>
            </w:r>
          </w:p>
        </w:tc>
      </w:tr>
      <w:tr w:rsidR="003221C4" w:rsidRPr="003221C4" w14:paraId="5246F1AE"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hideMark/>
          </w:tcPr>
          <w:p w14:paraId="7F87A59F" w14:textId="77777777" w:rsidR="00E44944" w:rsidRPr="003221C4" w:rsidRDefault="00E44944" w:rsidP="00E44944">
            <w:pPr>
              <w:widowControl w:val="0"/>
              <w:overflowPunct w:val="0"/>
              <w:adjustRightInd w:val="0"/>
              <w:jc w:val="both"/>
              <w:rPr>
                <w:rFonts w:cs="Arial"/>
                <w:kern w:val="28"/>
                <w:szCs w:val="24"/>
                <w:lang w:val="es-ES"/>
              </w:rPr>
            </w:pPr>
            <w:r w:rsidRPr="003221C4">
              <w:rPr>
                <w:rFonts w:cs="Arial"/>
                <w:b/>
                <w:bCs/>
                <w:kern w:val="28"/>
                <w:szCs w:val="24"/>
                <w:lang w:val="es-ES_tradnl"/>
              </w:rPr>
              <w:t xml:space="preserve">Anexo II </w:t>
            </w:r>
          </w:p>
        </w:tc>
        <w:tc>
          <w:tcPr>
            <w:tcW w:w="7329" w:type="dxa"/>
            <w:tcBorders>
              <w:top w:val="single" w:sz="4" w:space="0" w:color="auto"/>
              <w:left w:val="single" w:sz="4" w:space="0" w:color="auto"/>
              <w:bottom w:val="single" w:sz="4" w:space="0" w:color="auto"/>
              <w:right w:val="single" w:sz="4" w:space="0" w:color="auto"/>
            </w:tcBorders>
            <w:hideMark/>
          </w:tcPr>
          <w:p w14:paraId="11E9D2C1" w14:textId="77777777" w:rsidR="00E44944" w:rsidRPr="003221C4" w:rsidRDefault="00E44944" w:rsidP="00E44944">
            <w:pPr>
              <w:widowControl w:val="0"/>
              <w:overflowPunct w:val="0"/>
              <w:adjustRightInd w:val="0"/>
              <w:jc w:val="both"/>
              <w:rPr>
                <w:rFonts w:cs="Arial"/>
                <w:kern w:val="28"/>
                <w:szCs w:val="24"/>
                <w:lang w:val="es-ES_tradnl"/>
              </w:rPr>
            </w:pPr>
            <w:r w:rsidRPr="003221C4">
              <w:rPr>
                <w:rFonts w:cs="Arial"/>
                <w:kern w:val="28"/>
                <w:szCs w:val="24"/>
                <w:lang w:val="es-ES_tradnl"/>
              </w:rPr>
              <w:t xml:space="preserve">Agenda </w:t>
            </w:r>
          </w:p>
        </w:tc>
      </w:tr>
      <w:tr w:rsidR="003221C4" w:rsidRPr="003221C4" w14:paraId="57B49972"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hideMark/>
          </w:tcPr>
          <w:p w14:paraId="06B28990" w14:textId="77777777" w:rsidR="00E44944" w:rsidRPr="003221C4" w:rsidRDefault="00E44944" w:rsidP="00E44944">
            <w:pPr>
              <w:widowControl w:val="0"/>
              <w:overflowPunct w:val="0"/>
              <w:adjustRightInd w:val="0"/>
              <w:jc w:val="both"/>
              <w:rPr>
                <w:rFonts w:cs="Arial"/>
                <w:kern w:val="28"/>
                <w:szCs w:val="24"/>
                <w:lang w:val="es-ES"/>
              </w:rPr>
            </w:pPr>
            <w:r w:rsidRPr="003221C4">
              <w:rPr>
                <w:rFonts w:cs="Arial"/>
                <w:b/>
                <w:bCs/>
                <w:kern w:val="28"/>
                <w:szCs w:val="24"/>
                <w:lang w:val="es-ES_tradnl"/>
              </w:rPr>
              <w:t>Anexo III</w:t>
            </w:r>
          </w:p>
        </w:tc>
        <w:tc>
          <w:tcPr>
            <w:tcW w:w="7329" w:type="dxa"/>
            <w:tcBorders>
              <w:top w:val="single" w:sz="4" w:space="0" w:color="auto"/>
              <w:left w:val="single" w:sz="4" w:space="0" w:color="auto"/>
              <w:bottom w:val="single" w:sz="4" w:space="0" w:color="auto"/>
              <w:right w:val="single" w:sz="4" w:space="0" w:color="auto"/>
            </w:tcBorders>
            <w:hideMark/>
          </w:tcPr>
          <w:p w14:paraId="0A541BA1" w14:textId="77777777" w:rsidR="00E44944" w:rsidRPr="003221C4" w:rsidRDefault="00E44944" w:rsidP="00E44944">
            <w:pPr>
              <w:widowControl w:val="0"/>
              <w:overflowPunct w:val="0"/>
              <w:adjustRightInd w:val="0"/>
              <w:jc w:val="both"/>
              <w:rPr>
                <w:rFonts w:cs="Arial"/>
                <w:kern w:val="28"/>
                <w:szCs w:val="24"/>
                <w:lang w:val="es-ES"/>
              </w:rPr>
            </w:pPr>
            <w:r w:rsidRPr="003221C4">
              <w:rPr>
                <w:rFonts w:cs="Arial"/>
                <w:kern w:val="28"/>
                <w:szCs w:val="24"/>
                <w:lang w:val="es-ES"/>
              </w:rPr>
              <w:t>Resumen del Acta</w:t>
            </w:r>
          </w:p>
        </w:tc>
      </w:tr>
      <w:tr w:rsidR="003221C4" w:rsidRPr="003221C4" w14:paraId="6EBE98AC"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hideMark/>
          </w:tcPr>
          <w:p w14:paraId="466F9FD4" w14:textId="77777777" w:rsidR="00E44944" w:rsidRPr="003221C4" w:rsidRDefault="00E44944" w:rsidP="00E44944">
            <w:pPr>
              <w:widowControl w:val="0"/>
              <w:overflowPunct w:val="0"/>
              <w:adjustRightInd w:val="0"/>
              <w:jc w:val="both"/>
              <w:rPr>
                <w:rFonts w:cs="Arial"/>
                <w:b/>
                <w:bCs/>
                <w:kern w:val="28"/>
                <w:szCs w:val="24"/>
                <w:lang w:val="es-ES_tradnl"/>
              </w:rPr>
            </w:pPr>
            <w:r w:rsidRPr="003221C4">
              <w:rPr>
                <w:rFonts w:cs="Arial"/>
                <w:b/>
                <w:bCs/>
                <w:kern w:val="28"/>
                <w:szCs w:val="24"/>
                <w:lang w:val="es-ES_tradnl"/>
              </w:rPr>
              <w:t>Anexo IV</w:t>
            </w:r>
          </w:p>
        </w:tc>
        <w:tc>
          <w:tcPr>
            <w:tcW w:w="7329" w:type="dxa"/>
            <w:tcBorders>
              <w:top w:val="single" w:sz="4" w:space="0" w:color="auto"/>
              <w:left w:val="single" w:sz="4" w:space="0" w:color="auto"/>
              <w:bottom w:val="single" w:sz="4" w:space="0" w:color="auto"/>
              <w:right w:val="single" w:sz="4" w:space="0" w:color="auto"/>
            </w:tcBorders>
          </w:tcPr>
          <w:p w14:paraId="435353B1" w14:textId="7B72091D" w:rsidR="00E44944" w:rsidRPr="003221C4" w:rsidRDefault="00FB1784" w:rsidP="002A26B8">
            <w:pPr>
              <w:widowControl w:val="0"/>
              <w:overflowPunct w:val="0"/>
              <w:adjustRightInd w:val="0"/>
              <w:jc w:val="both"/>
              <w:rPr>
                <w:rFonts w:cs="Arial"/>
                <w:kern w:val="28"/>
                <w:szCs w:val="24"/>
                <w:highlight w:val="yellow"/>
                <w:lang w:val="es-ES"/>
              </w:rPr>
            </w:pPr>
            <w:r w:rsidRPr="00757106">
              <w:rPr>
                <w:rFonts w:cs="Arial"/>
                <w:b/>
                <w:bCs/>
                <w:kern w:val="28"/>
                <w:szCs w:val="24"/>
                <w:lang w:val="es-ES"/>
              </w:rPr>
              <w:t>RESERVA</w:t>
            </w:r>
            <w:r w:rsidRPr="003221C4">
              <w:rPr>
                <w:rFonts w:cs="Arial"/>
                <w:b/>
                <w:bCs/>
                <w:kern w:val="28"/>
                <w:szCs w:val="24"/>
                <w:lang w:val="es-ES"/>
              </w:rPr>
              <w:t>DO</w:t>
            </w:r>
            <w:r w:rsidRPr="003221C4">
              <w:rPr>
                <w:rFonts w:cs="Arial"/>
                <w:kern w:val="28"/>
                <w:szCs w:val="24"/>
                <w:lang w:val="es-ES"/>
              </w:rPr>
              <w:t xml:space="preserve"> – </w:t>
            </w:r>
            <w:r w:rsidR="002A26B8" w:rsidRPr="003221C4">
              <w:rPr>
                <w:rFonts w:cs="Arial"/>
                <w:kern w:val="28"/>
                <w:szCs w:val="24"/>
                <w:lang w:val="es-ES"/>
              </w:rPr>
              <w:t xml:space="preserve">Protocolo sobre Pagos y Transferencias Corrientes y Movimientos de Capital en el </w:t>
            </w:r>
            <w:r w:rsidR="007770D6" w:rsidRPr="003221C4">
              <w:rPr>
                <w:rFonts w:cs="Arial"/>
                <w:kern w:val="28"/>
                <w:szCs w:val="24"/>
                <w:lang w:val="es-ES"/>
              </w:rPr>
              <w:t>MERCOSUR</w:t>
            </w:r>
            <w:r w:rsidRPr="003221C4">
              <w:rPr>
                <w:rFonts w:cs="Arial"/>
                <w:kern w:val="28"/>
                <w:szCs w:val="24"/>
                <w:lang w:val="es-ES"/>
              </w:rPr>
              <w:t>.</w:t>
            </w:r>
          </w:p>
        </w:tc>
      </w:tr>
      <w:tr w:rsidR="003221C4" w:rsidRPr="003221C4" w14:paraId="6FE74EBF"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hideMark/>
          </w:tcPr>
          <w:p w14:paraId="20F3E37D" w14:textId="77777777" w:rsidR="00381FF2" w:rsidRPr="003221C4" w:rsidRDefault="00381FF2" w:rsidP="00381FF2">
            <w:pPr>
              <w:widowControl w:val="0"/>
              <w:overflowPunct w:val="0"/>
              <w:adjustRightInd w:val="0"/>
              <w:jc w:val="both"/>
              <w:rPr>
                <w:rFonts w:cs="Arial"/>
                <w:b/>
                <w:bCs/>
                <w:kern w:val="28"/>
                <w:szCs w:val="24"/>
                <w:highlight w:val="yellow"/>
                <w:lang w:val="es-ES_tradnl"/>
              </w:rPr>
            </w:pPr>
            <w:r w:rsidRPr="003221C4">
              <w:rPr>
                <w:rFonts w:cs="Arial"/>
                <w:b/>
                <w:bCs/>
                <w:kern w:val="28"/>
                <w:szCs w:val="24"/>
                <w:lang w:val="es-ES_tradnl"/>
              </w:rPr>
              <w:t>Anexo V</w:t>
            </w:r>
          </w:p>
        </w:tc>
        <w:tc>
          <w:tcPr>
            <w:tcW w:w="7329" w:type="dxa"/>
            <w:tcBorders>
              <w:top w:val="single" w:sz="4" w:space="0" w:color="auto"/>
              <w:left w:val="single" w:sz="4" w:space="0" w:color="auto"/>
              <w:bottom w:val="single" w:sz="4" w:space="0" w:color="auto"/>
              <w:right w:val="single" w:sz="4" w:space="0" w:color="auto"/>
            </w:tcBorders>
          </w:tcPr>
          <w:p w14:paraId="476B068E" w14:textId="510029DC" w:rsidR="00381FF2" w:rsidRPr="003221C4" w:rsidRDefault="00381FF2" w:rsidP="00381FF2">
            <w:pPr>
              <w:widowControl w:val="0"/>
              <w:overflowPunct w:val="0"/>
              <w:adjustRightInd w:val="0"/>
              <w:jc w:val="both"/>
              <w:rPr>
                <w:rFonts w:cs="Arial"/>
                <w:kern w:val="28"/>
                <w:szCs w:val="24"/>
                <w:lang w:val="es-ES"/>
              </w:rPr>
            </w:pPr>
            <w:r w:rsidRPr="003221C4">
              <w:rPr>
                <w:rFonts w:cs="Arial"/>
                <w:kern w:val="28"/>
                <w:szCs w:val="24"/>
                <w:lang w:val="es-ES"/>
              </w:rPr>
              <w:t xml:space="preserve">Acta de la </w:t>
            </w:r>
            <w:r w:rsidR="002246E1" w:rsidRPr="003221C4">
              <w:rPr>
                <w:rFonts w:cs="Arial"/>
                <w:kern w:val="28"/>
                <w:szCs w:val="24"/>
                <w:lang w:val="es-ES"/>
              </w:rPr>
              <w:t>C</w:t>
            </w:r>
            <w:r w:rsidRPr="003221C4">
              <w:rPr>
                <w:rFonts w:cs="Arial"/>
                <w:kern w:val="28"/>
                <w:szCs w:val="24"/>
                <w:lang w:val="es-ES"/>
              </w:rPr>
              <w:t>omisión de Presentación de Estados Contables</w:t>
            </w:r>
            <w:r w:rsidR="002246E1" w:rsidRPr="003221C4">
              <w:t xml:space="preserve"> </w:t>
            </w:r>
            <w:r w:rsidR="002246E1" w:rsidRPr="003221C4">
              <w:rPr>
                <w:rFonts w:cs="Arial"/>
                <w:kern w:val="28"/>
                <w:szCs w:val="24"/>
                <w:lang w:val="es-ES"/>
              </w:rPr>
              <w:t>del Sistema Bancario (CPECSB)</w:t>
            </w:r>
          </w:p>
        </w:tc>
      </w:tr>
      <w:tr w:rsidR="003221C4" w:rsidRPr="003221C4" w14:paraId="30E9FEC7"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hideMark/>
          </w:tcPr>
          <w:p w14:paraId="17C4FB70" w14:textId="77777777" w:rsidR="00381FF2" w:rsidRPr="003221C4" w:rsidRDefault="00381FF2" w:rsidP="00381FF2">
            <w:pPr>
              <w:widowControl w:val="0"/>
              <w:overflowPunct w:val="0"/>
              <w:adjustRightInd w:val="0"/>
              <w:jc w:val="both"/>
              <w:rPr>
                <w:rFonts w:cs="Arial"/>
                <w:b/>
                <w:bCs/>
                <w:kern w:val="28"/>
                <w:szCs w:val="24"/>
                <w:lang w:val="es-ES_tradnl"/>
              </w:rPr>
            </w:pPr>
            <w:r w:rsidRPr="003221C4">
              <w:rPr>
                <w:rFonts w:cs="Arial"/>
                <w:b/>
                <w:bCs/>
                <w:kern w:val="28"/>
                <w:szCs w:val="24"/>
                <w:lang w:val="es-ES_tradnl"/>
              </w:rPr>
              <w:t>Anexo VI</w:t>
            </w:r>
          </w:p>
        </w:tc>
        <w:tc>
          <w:tcPr>
            <w:tcW w:w="7329" w:type="dxa"/>
            <w:tcBorders>
              <w:top w:val="single" w:sz="4" w:space="0" w:color="auto"/>
              <w:left w:val="single" w:sz="4" w:space="0" w:color="auto"/>
              <w:bottom w:val="single" w:sz="4" w:space="0" w:color="auto"/>
              <w:right w:val="single" w:sz="4" w:space="0" w:color="auto"/>
            </w:tcBorders>
          </w:tcPr>
          <w:p w14:paraId="7AEEA983" w14:textId="0553CD2E" w:rsidR="00381FF2" w:rsidRPr="003221C4" w:rsidRDefault="00381FF2" w:rsidP="00381FF2">
            <w:pPr>
              <w:widowControl w:val="0"/>
              <w:overflowPunct w:val="0"/>
              <w:adjustRightInd w:val="0"/>
              <w:jc w:val="both"/>
              <w:rPr>
                <w:rFonts w:cs="Arial"/>
                <w:kern w:val="28"/>
                <w:szCs w:val="24"/>
                <w:lang w:val="es-ES"/>
              </w:rPr>
            </w:pPr>
            <w:r w:rsidRPr="003221C4">
              <w:rPr>
                <w:rFonts w:cs="Arial"/>
                <w:kern w:val="28"/>
                <w:szCs w:val="24"/>
                <w:lang w:val="es-ES"/>
              </w:rPr>
              <w:t>Acta de la Comisión de Mercado de Valores</w:t>
            </w:r>
            <w:r w:rsidR="002246E1" w:rsidRPr="003221C4">
              <w:rPr>
                <w:rFonts w:cs="Arial"/>
                <w:kern w:val="28"/>
                <w:szCs w:val="24"/>
                <w:lang w:val="es-ES"/>
              </w:rPr>
              <w:t xml:space="preserve"> (CMV)</w:t>
            </w:r>
          </w:p>
        </w:tc>
      </w:tr>
      <w:tr w:rsidR="001B6288" w:rsidRPr="003221C4" w14:paraId="475DDF11"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tcPr>
          <w:p w14:paraId="1A187D32" w14:textId="685BEEB5" w:rsidR="001B6288" w:rsidRPr="003221C4" w:rsidRDefault="00667A25" w:rsidP="00381FF2">
            <w:pPr>
              <w:widowControl w:val="0"/>
              <w:overflowPunct w:val="0"/>
              <w:adjustRightInd w:val="0"/>
              <w:jc w:val="both"/>
              <w:rPr>
                <w:rFonts w:cs="Arial"/>
                <w:b/>
                <w:bCs/>
                <w:kern w:val="28"/>
                <w:szCs w:val="24"/>
                <w:lang w:val="es-ES_tradnl"/>
              </w:rPr>
            </w:pPr>
            <w:r w:rsidRPr="003221C4">
              <w:rPr>
                <w:rFonts w:cs="Arial"/>
                <w:b/>
                <w:bCs/>
                <w:kern w:val="28"/>
                <w:szCs w:val="24"/>
                <w:lang w:val="es-ES_tradnl"/>
              </w:rPr>
              <w:t>Anexo VII</w:t>
            </w:r>
          </w:p>
        </w:tc>
        <w:tc>
          <w:tcPr>
            <w:tcW w:w="7329" w:type="dxa"/>
            <w:tcBorders>
              <w:top w:val="single" w:sz="4" w:space="0" w:color="auto"/>
              <w:left w:val="single" w:sz="4" w:space="0" w:color="auto"/>
              <w:bottom w:val="single" w:sz="4" w:space="0" w:color="auto"/>
              <w:right w:val="single" w:sz="4" w:space="0" w:color="auto"/>
            </w:tcBorders>
          </w:tcPr>
          <w:p w14:paraId="3887A8A7" w14:textId="1978E882" w:rsidR="001B6288" w:rsidRPr="003221C4" w:rsidRDefault="00667A25" w:rsidP="00381FF2">
            <w:pPr>
              <w:widowControl w:val="0"/>
              <w:overflowPunct w:val="0"/>
              <w:adjustRightInd w:val="0"/>
              <w:jc w:val="both"/>
              <w:rPr>
                <w:rFonts w:cs="Arial"/>
                <w:kern w:val="28"/>
                <w:szCs w:val="24"/>
                <w:lang w:val="es-ES"/>
              </w:rPr>
            </w:pPr>
            <w:r w:rsidRPr="003221C4">
              <w:rPr>
                <w:rFonts w:cs="Arial"/>
                <w:kern w:val="28"/>
                <w:szCs w:val="24"/>
                <w:lang w:val="es-ES"/>
              </w:rPr>
              <w:t>Nota de los Coordinadores Nacionales del GMC al Coordinador Nacional de Bolivia ante el GMC</w:t>
            </w:r>
          </w:p>
        </w:tc>
      </w:tr>
      <w:tr w:rsidR="003221C4" w:rsidRPr="003221C4" w14:paraId="5C796FDE"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hideMark/>
          </w:tcPr>
          <w:p w14:paraId="1BDFD942" w14:textId="7E0405A9" w:rsidR="00667A25" w:rsidRPr="003221C4" w:rsidRDefault="00667A25" w:rsidP="00667A25">
            <w:pPr>
              <w:widowControl w:val="0"/>
              <w:overflowPunct w:val="0"/>
              <w:adjustRightInd w:val="0"/>
              <w:jc w:val="both"/>
              <w:rPr>
                <w:rFonts w:cs="Arial"/>
                <w:b/>
                <w:bCs/>
                <w:kern w:val="28"/>
                <w:szCs w:val="24"/>
                <w:lang w:val="es-ES_tradnl"/>
              </w:rPr>
            </w:pPr>
            <w:r w:rsidRPr="003221C4">
              <w:rPr>
                <w:rFonts w:cs="Arial"/>
                <w:b/>
                <w:bCs/>
                <w:kern w:val="28"/>
                <w:szCs w:val="24"/>
                <w:lang w:val="es-ES_tradnl"/>
              </w:rPr>
              <w:t>Anexo VIII</w:t>
            </w:r>
          </w:p>
        </w:tc>
        <w:tc>
          <w:tcPr>
            <w:tcW w:w="7329" w:type="dxa"/>
            <w:tcBorders>
              <w:top w:val="single" w:sz="4" w:space="0" w:color="auto"/>
              <w:left w:val="single" w:sz="4" w:space="0" w:color="auto"/>
              <w:bottom w:val="single" w:sz="4" w:space="0" w:color="auto"/>
              <w:right w:val="single" w:sz="4" w:space="0" w:color="auto"/>
            </w:tcBorders>
          </w:tcPr>
          <w:p w14:paraId="759E7EF5" w14:textId="0061B665" w:rsidR="00667A25" w:rsidRPr="003221C4" w:rsidRDefault="00667A25" w:rsidP="00667A25">
            <w:pPr>
              <w:widowControl w:val="0"/>
              <w:overflowPunct w:val="0"/>
              <w:adjustRightInd w:val="0"/>
              <w:jc w:val="both"/>
              <w:rPr>
                <w:rFonts w:cs="Arial"/>
                <w:kern w:val="28"/>
                <w:szCs w:val="24"/>
                <w:lang w:val="es-ES"/>
              </w:rPr>
            </w:pPr>
            <w:r w:rsidRPr="003221C4">
              <w:rPr>
                <w:rFonts w:cs="Arial"/>
                <w:kern w:val="28"/>
                <w:szCs w:val="24"/>
                <w:lang w:val="es-ES"/>
              </w:rPr>
              <w:t>Acta de la Comisión de Seguros (CS)</w:t>
            </w:r>
          </w:p>
        </w:tc>
      </w:tr>
      <w:tr w:rsidR="003221C4" w:rsidRPr="003221C4" w14:paraId="6043BB6F" w14:textId="77777777" w:rsidTr="00667A25">
        <w:trPr>
          <w:trHeight w:val="283"/>
        </w:trPr>
        <w:tc>
          <w:tcPr>
            <w:tcW w:w="1881" w:type="dxa"/>
            <w:tcBorders>
              <w:top w:val="single" w:sz="4" w:space="0" w:color="auto"/>
              <w:left w:val="single" w:sz="4" w:space="0" w:color="auto"/>
              <w:bottom w:val="single" w:sz="4" w:space="0" w:color="auto"/>
              <w:right w:val="single" w:sz="4" w:space="0" w:color="auto"/>
            </w:tcBorders>
          </w:tcPr>
          <w:p w14:paraId="39C58305" w14:textId="7B5A13BC" w:rsidR="00667A25" w:rsidRPr="003221C4" w:rsidRDefault="00667A25" w:rsidP="00667A25">
            <w:pPr>
              <w:widowControl w:val="0"/>
              <w:overflowPunct w:val="0"/>
              <w:adjustRightInd w:val="0"/>
              <w:jc w:val="both"/>
              <w:rPr>
                <w:rFonts w:cs="Arial"/>
                <w:b/>
                <w:bCs/>
                <w:kern w:val="28"/>
                <w:szCs w:val="24"/>
                <w:highlight w:val="yellow"/>
                <w:lang w:val="es-ES_tradnl"/>
              </w:rPr>
            </w:pPr>
            <w:r w:rsidRPr="003221C4">
              <w:rPr>
                <w:rFonts w:cs="Arial"/>
                <w:b/>
                <w:bCs/>
                <w:kern w:val="28"/>
                <w:szCs w:val="24"/>
                <w:lang w:val="es-ES_tradnl"/>
              </w:rPr>
              <w:t>Anexo IX</w:t>
            </w:r>
          </w:p>
        </w:tc>
        <w:tc>
          <w:tcPr>
            <w:tcW w:w="7329" w:type="dxa"/>
            <w:tcBorders>
              <w:top w:val="single" w:sz="4" w:space="0" w:color="auto"/>
              <w:left w:val="single" w:sz="4" w:space="0" w:color="auto"/>
              <w:bottom w:val="single" w:sz="4" w:space="0" w:color="auto"/>
              <w:right w:val="single" w:sz="4" w:space="0" w:color="auto"/>
            </w:tcBorders>
          </w:tcPr>
          <w:p w14:paraId="69403BD1" w14:textId="2598A971" w:rsidR="00667A25" w:rsidRPr="003221C4" w:rsidRDefault="00667A25" w:rsidP="00667A25">
            <w:pPr>
              <w:widowControl w:val="0"/>
              <w:overflowPunct w:val="0"/>
              <w:adjustRightInd w:val="0"/>
              <w:jc w:val="both"/>
              <w:rPr>
                <w:rFonts w:cs="Arial"/>
                <w:kern w:val="28"/>
                <w:szCs w:val="24"/>
                <w:lang w:val="es-UY"/>
              </w:rPr>
            </w:pPr>
            <w:r w:rsidRPr="003221C4">
              <w:rPr>
                <w:rFonts w:cs="Arial"/>
                <w:kern w:val="28"/>
                <w:szCs w:val="24"/>
                <w:lang w:val="es-ES"/>
              </w:rPr>
              <w:t>Acta de la Comisión del Sistema Bancario (CSB)</w:t>
            </w:r>
          </w:p>
        </w:tc>
      </w:tr>
      <w:tr w:rsidR="003221C4" w:rsidRPr="003221C4" w14:paraId="65ECF9D5" w14:textId="77777777" w:rsidTr="00667A25">
        <w:trPr>
          <w:trHeight w:val="283"/>
        </w:trPr>
        <w:tc>
          <w:tcPr>
            <w:tcW w:w="1881" w:type="dxa"/>
            <w:tcBorders>
              <w:top w:val="single" w:sz="4" w:space="0" w:color="auto"/>
              <w:left w:val="single" w:sz="4" w:space="0" w:color="auto"/>
              <w:bottom w:val="single" w:sz="4" w:space="0" w:color="auto"/>
              <w:right w:val="single" w:sz="4" w:space="0" w:color="auto"/>
            </w:tcBorders>
          </w:tcPr>
          <w:p w14:paraId="217A6A7E" w14:textId="498FD227" w:rsidR="008B1894" w:rsidRPr="003221C4" w:rsidRDefault="008B1894" w:rsidP="008B1894">
            <w:pPr>
              <w:widowControl w:val="0"/>
              <w:overflowPunct w:val="0"/>
              <w:adjustRightInd w:val="0"/>
              <w:jc w:val="both"/>
              <w:rPr>
                <w:rFonts w:cs="Arial"/>
                <w:b/>
                <w:bCs/>
                <w:kern w:val="28"/>
                <w:szCs w:val="24"/>
                <w:lang w:val="es-ES_tradnl"/>
              </w:rPr>
            </w:pPr>
            <w:r w:rsidRPr="003221C4">
              <w:rPr>
                <w:rFonts w:cs="Arial"/>
                <w:b/>
                <w:bCs/>
                <w:kern w:val="28"/>
                <w:szCs w:val="24"/>
                <w:lang w:val="es-ES_tradnl"/>
              </w:rPr>
              <w:t>Anexo X</w:t>
            </w:r>
          </w:p>
        </w:tc>
        <w:tc>
          <w:tcPr>
            <w:tcW w:w="7329" w:type="dxa"/>
            <w:tcBorders>
              <w:top w:val="single" w:sz="4" w:space="0" w:color="auto"/>
              <w:left w:val="single" w:sz="4" w:space="0" w:color="auto"/>
              <w:bottom w:val="single" w:sz="4" w:space="0" w:color="auto"/>
              <w:right w:val="single" w:sz="4" w:space="0" w:color="auto"/>
            </w:tcBorders>
          </w:tcPr>
          <w:p w14:paraId="70541D17" w14:textId="23A6B297" w:rsidR="008B1894" w:rsidRPr="003221C4" w:rsidRDefault="008B1894" w:rsidP="008B1894">
            <w:pPr>
              <w:widowControl w:val="0"/>
              <w:overflowPunct w:val="0"/>
              <w:adjustRightInd w:val="0"/>
              <w:jc w:val="both"/>
              <w:rPr>
                <w:rFonts w:cs="Arial"/>
                <w:kern w:val="28"/>
                <w:szCs w:val="24"/>
                <w:lang w:val="es-UY"/>
              </w:rPr>
            </w:pPr>
            <w:r w:rsidRPr="003221C4">
              <w:rPr>
                <w:rFonts w:cs="Arial"/>
                <w:kern w:val="28"/>
                <w:szCs w:val="24"/>
                <w:lang w:val="es-UY"/>
              </w:rPr>
              <w:t xml:space="preserve">Acta de la Comisión de Prevención del Lavado de Dinero y Financiamiento al Terrorismo </w:t>
            </w:r>
            <w:r w:rsidRPr="003221C4">
              <w:rPr>
                <w:rFonts w:cs="Arial"/>
                <w:kern w:val="28"/>
                <w:szCs w:val="24"/>
                <w:lang w:val="es-UY"/>
              </w:rPr>
              <w:t>(CPLDFT)</w:t>
            </w:r>
          </w:p>
        </w:tc>
      </w:tr>
      <w:tr w:rsidR="003221C4" w:rsidRPr="003221C4" w14:paraId="3757A8BB" w14:textId="77777777" w:rsidTr="008B1894">
        <w:trPr>
          <w:trHeight w:val="283"/>
        </w:trPr>
        <w:tc>
          <w:tcPr>
            <w:tcW w:w="1881" w:type="dxa"/>
            <w:tcBorders>
              <w:top w:val="single" w:sz="4" w:space="0" w:color="auto"/>
              <w:left w:val="single" w:sz="4" w:space="0" w:color="auto"/>
              <w:bottom w:val="single" w:sz="4" w:space="0" w:color="auto"/>
              <w:right w:val="single" w:sz="4" w:space="0" w:color="auto"/>
            </w:tcBorders>
          </w:tcPr>
          <w:p w14:paraId="4F395198" w14:textId="2D7E0E4A" w:rsidR="008B1894" w:rsidRPr="003221C4" w:rsidRDefault="008B1894" w:rsidP="008B1894">
            <w:pPr>
              <w:widowControl w:val="0"/>
              <w:overflowPunct w:val="0"/>
              <w:adjustRightInd w:val="0"/>
              <w:jc w:val="both"/>
              <w:rPr>
                <w:rFonts w:cs="Arial"/>
                <w:b/>
                <w:bCs/>
                <w:kern w:val="28"/>
                <w:szCs w:val="24"/>
                <w:lang w:val="es-ES_tradnl"/>
              </w:rPr>
            </w:pPr>
            <w:r w:rsidRPr="003221C4">
              <w:rPr>
                <w:rFonts w:cs="Arial"/>
                <w:b/>
                <w:bCs/>
                <w:kern w:val="28"/>
                <w:szCs w:val="24"/>
                <w:lang w:val="es-ES_tradnl"/>
              </w:rPr>
              <w:t>Anexo XI</w:t>
            </w:r>
          </w:p>
        </w:tc>
        <w:tc>
          <w:tcPr>
            <w:tcW w:w="7329" w:type="dxa"/>
            <w:tcBorders>
              <w:top w:val="single" w:sz="4" w:space="0" w:color="auto"/>
              <w:left w:val="single" w:sz="4" w:space="0" w:color="auto"/>
              <w:bottom w:val="single" w:sz="4" w:space="0" w:color="auto"/>
              <w:right w:val="single" w:sz="4" w:space="0" w:color="auto"/>
            </w:tcBorders>
          </w:tcPr>
          <w:p w14:paraId="64FC1FAA" w14:textId="45BFC82C" w:rsidR="008B1894" w:rsidRPr="003221C4" w:rsidRDefault="00CF70C4" w:rsidP="008B1894">
            <w:pPr>
              <w:widowControl w:val="0"/>
              <w:overflowPunct w:val="0"/>
              <w:adjustRightInd w:val="0"/>
              <w:jc w:val="both"/>
              <w:rPr>
                <w:rFonts w:cs="Arial"/>
                <w:kern w:val="28"/>
                <w:szCs w:val="24"/>
                <w:lang w:val="es-UY"/>
              </w:rPr>
            </w:pPr>
            <w:r w:rsidRPr="003221C4">
              <w:rPr>
                <w:rFonts w:cs="Arial"/>
                <w:b/>
                <w:bCs/>
                <w:kern w:val="28"/>
                <w:szCs w:val="24"/>
                <w:lang w:val="es-UY"/>
              </w:rPr>
              <w:t>RESERVADO</w:t>
            </w:r>
            <w:r w:rsidRPr="003221C4">
              <w:rPr>
                <w:rFonts w:cs="Arial"/>
                <w:kern w:val="28"/>
                <w:szCs w:val="24"/>
                <w:lang w:val="es-UY"/>
              </w:rPr>
              <w:t>-</w:t>
            </w:r>
            <w:r w:rsidRPr="003221C4">
              <w:rPr>
                <w:rFonts w:cs="Arial"/>
                <w:kern w:val="28"/>
                <w:szCs w:val="24"/>
                <w:lang w:val="es-UY"/>
              </w:rPr>
              <w:t>Respuesta de la CPLDFT a la CSPT</w:t>
            </w:r>
          </w:p>
        </w:tc>
      </w:tr>
      <w:tr w:rsidR="008B1894" w:rsidRPr="003221C4" w14:paraId="5401088C" w14:textId="77777777" w:rsidTr="008B1894">
        <w:trPr>
          <w:trHeight w:val="283"/>
        </w:trPr>
        <w:tc>
          <w:tcPr>
            <w:tcW w:w="1881" w:type="dxa"/>
            <w:tcBorders>
              <w:top w:val="single" w:sz="4" w:space="0" w:color="auto"/>
              <w:left w:val="single" w:sz="4" w:space="0" w:color="auto"/>
              <w:bottom w:val="single" w:sz="4" w:space="0" w:color="auto"/>
              <w:right w:val="single" w:sz="4" w:space="0" w:color="auto"/>
            </w:tcBorders>
          </w:tcPr>
          <w:p w14:paraId="4CE38007" w14:textId="689FFA85" w:rsidR="008B1894" w:rsidRPr="003221C4" w:rsidRDefault="008B1894" w:rsidP="008B1894">
            <w:pPr>
              <w:widowControl w:val="0"/>
              <w:overflowPunct w:val="0"/>
              <w:adjustRightInd w:val="0"/>
              <w:jc w:val="both"/>
              <w:rPr>
                <w:rFonts w:cs="Arial"/>
                <w:b/>
                <w:bCs/>
                <w:kern w:val="28"/>
                <w:szCs w:val="24"/>
                <w:lang w:val="es-ES_tradnl"/>
              </w:rPr>
            </w:pPr>
            <w:r w:rsidRPr="003221C4">
              <w:rPr>
                <w:rFonts w:cs="Arial"/>
                <w:b/>
                <w:bCs/>
                <w:kern w:val="28"/>
                <w:szCs w:val="24"/>
                <w:lang w:val="es-ES_tradnl"/>
              </w:rPr>
              <w:t>Anexo XII</w:t>
            </w:r>
          </w:p>
        </w:tc>
        <w:tc>
          <w:tcPr>
            <w:tcW w:w="7329" w:type="dxa"/>
            <w:tcBorders>
              <w:top w:val="single" w:sz="4" w:space="0" w:color="auto"/>
              <w:left w:val="single" w:sz="4" w:space="0" w:color="auto"/>
              <w:bottom w:val="single" w:sz="4" w:space="0" w:color="auto"/>
              <w:right w:val="single" w:sz="4" w:space="0" w:color="auto"/>
            </w:tcBorders>
          </w:tcPr>
          <w:p w14:paraId="4EB36A47" w14:textId="531007B8" w:rsidR="008B1894" w:rsidRPr="003221C4" w:rsidRDefault="008B1894" w:rsidP="008B1894">
            <w:pPr>
              <w:widowControl w:val="0"/>
              <w:overflowPunct w:val="0"/>
              <w:adjustRightInd w:val="0"/>
              <w:jc w:val="both"/>
              <w:rPr>
                <w:rFonts w:cs="Arial"/>
                <w:kern w:val="28"/>
                <w:szCs w:val="24"/>
                <w:lang w:val="es-UY"/>
              </w:rPr>
            </w:pPr>
            <w:r w:rsidRPr="003221C4">
              <w:rPr>
                <w:rFonts w:cs="Arial"/>
                <w:kern w:val="28"/>
                <w:szCs w:val="24"/>
                <w:lang w:val="es-UY"/>
              </w:rPr>
              <w:t>Acta de la Comisión de Sistemas de Pagos Transfronterizos</w:t>
            </w:r>
          </w:p>
        </w:tc>
      </w:tr>
      <w:tr w:rsidR="003221C4" w:rsidRPr="003221C4" w14:paraId="40C72D13"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tcPr>
          <w:p w14:paraId="1B08BC59" w14:textId="5D701464" w:rsidR="008B1894" w:rsidRPr="003221C4" w:rsidRDefault="008B1894" w:rsidP="008B1894">
            <w:pPr>
              <w:widowControl w:val="0"/>
              <w:overflowPunct w:val="0"/>
              <w:adjustRightInd w:val="0"/>
              <w:jc w:val="both"/>
              <w:rPr>
                <w:rFonts w:cs="Arial"/>
                <w:b/>
                <w:bCs/>
                <w:kern w:val="28"/>
                <w:szCs w:val="24"/>
                <w:lang w:val="es-ES_tradnl"/>
              </w:rPr>
            </w:pPr>
            <w:r w:rsidRPr="003221C4">
              <w:rPr>
                <w:rFonts w:cs="Arial"/>
                <w:b/>
                <w:bCs/>
                <w:kern w:val="28"/>
                <w:szCs w:val="24"/>
                <w:lang w:val="es-ES_tradnl"/>
              </w:rPr>
              <w:t>Anexo XIII</w:t>
            </w:r>
          </w:p>
        </w:tc>
        <w:tc>
          <w:tcPr>
            <w:tcW w:w="7329" w:type="dxa"/>
            <w:tcBorders>
              <w:top w:val="single" w:sz="4" w:space="0" w:color="auto"/>
              <w:left w:val="single" w:sz="4" w:space="0" w:color="auto"/>
              <w:bottom w:val="single" w:sz="4" w:space="0" w:color="auto"/>
              <w:right w:val="single" w:sz="4" w:space="0" w:color="auto"/>
            </w:tcBorders>
          </w:tcPr>
          <w:p w14:paraId="392E5031" w14:textId="3CC80171" w:rsidR="008B1894" w:rsidRPr="003221C4" w:rsidRDefault="008B1894" w:rsidP="008B1894">
            <w:pPr>
              <w:widowControl w:val="0"/>
              <w:overflowPunct w:val="0"/>
              <w:adjustRightInd w:val="0"/>
              <w:jc w:val="both"/>
              <w:rPr>
                <w:rFonts w:cs="Arial"/>
                <w:kern w:val="28"/>
                <w:szCs w:val="24"/>
                <w:lang w:val="es-UY"/>
              </w:rPr>
            </w:pPr>
            <w:r w:rsidRPr="003221C4">
              <w:rPr>
                <w:rFonts w:cs="Arial"/>
                <w:kern w:val="28"/>
                <w:szCs w:val="24"/>
                <w:lang w:val="es-UY"/>
              </w:rPr>
              <w:t>Presentación sobre Finanzas Abiertas y Pagos Rápidos</w:t>
            </w:r>
          </w:p>
        </w:tc>
      </w:tr>
      <w:tr w:rsidR="008B1894" w:rsidRPr="003221C4" w14:paraId="7AF46101"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tcPr>
          <w:p w14:paraId="342A6387" w14:textId="2FCB2316" w:rsidR="008B1894" w:rsidRPr="003221C4" w:rsidRDefault="008B1894" w:rsidP="008B1894">
            <w:pPr>
              <w:widowControl w:val="0"/>
              <w:overflowPunct w:val="0"/>
              <w:adjustRightInd w:val="0"/>
              <w:jc w:val="both"/>
              <w:rPr>
                <w:rFonts w:cs="Arial"/>
                <w:b/>
                <w:bCs/>
                <w:kern w:val="28"/>
                <w:szCs w:val="24"/>
                <w:highlight w:val="yellow"/>
                <w:lang w:val="es-ES_tradnl"/>
              </w:rPr>
            </w:pPr>
            <w:r w:rsidRPr="003221C4">
              <w:rPr>
                <w:rFonts w:cs="Arial"/>
                <w:b/>
                <w:bCs/>
                <w:kern w:val="28"/>
                <w:szCs w:val="24"/>
                <w:lang w:val="es-ES_tradnl"/>
              </w:rPr>
              <w:t>Anexo XIV</w:t>
            </w:r>
          </w:p>
        </w:tc>
        <w:tc>
          <w:tcPr>
            <w:tcW w:w="7329" w:type="dxa"/>
            <w:tcBorders>
              <w:top w:val="single" w:sz="4" w:space="0" w:color="auto"/>
              <w:left w:val="single" w:sz="4" w:space="0" w:color="auto"/>
              <w:bottom w:val="single" w:sz="4" w:space="0" w:color="auto"/>
              <w:right w:val="single" w:sz="4" w:space="0" w:color="auto"/>
            </w:tcBorders>
          </w:tcPr>
          <w:p w14:paraId="59390151" w14:textId="6BF4ACD4" w:rsidR="008B1894" w:rsidRPr="003221C4" w:rsidRDefault="008B1894" w:rsidP="008B1894">
            <w:pPr>
              <w:widowControl w:val="0"/>
              <w:overflowPunct w:val="0"/>
              <w:adjustRightInd w:val="0"/>
              <w:jc w:val="both"/>
              <w:rPr>
                <w:rFonts w:cs="Arial"/>
                <w:kern w:val="28"/>
                <w:szCs w:val="24"/>
                <w:lang w:val="es-UY"/>
              </w:rPr>
            </w:pPr>
            <w:r w:rsidRPr="003221C4">
              <w:rPr>
                <w:rFonts w:cs="Arial"/>
                <w:kern w:val="28"/>
                <w:szCs w:val="24"/>
                <w:lang w:val="es-UY"/>
              </w:rPr>
              <w:t>Informe de cumplimiento del Programa de Trabajo 2023-2024</w:t>
            </w:r>
          </w:p>
        </w:tc>
      </w:tr>
      <w:tr w:rsidR="003221C4" w:rsidRPr="003221C4" w14:paraId="674AFEAC"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tcPr>
          <w:p w14:paraId="11E1B2B7" w14:textId="1F0DC5E8" w:rsidR="008B1894" w:rsidRPr="003221C4" w:rsidRDefault="008B1894" w:rsidP="008B1894">
            <w:pPr>
              <w:widowControl w:val="0"/>
              <w:overflowPunct w:val="0"/>
              <w:adjustRightInd w:val="0"/>
              <w:jc w:val="both"/>
              <w:rPr>
                <w:rFonts w:cs="Arial"/>
                <w:b/>
                <w:bCs/>
                <w:kern w:val="28"/>
                <w:szCs w:val="24"/>
                <w:highlight w:val="yellow"/>
                <w:lang w:val="es-ES_tradnl"/>
              </w:rPr>
            </w:pPr>
            <w:r w:rsidRPr="003221C4">
              <w:rPr>
                <w:rFonts w:cs="Arial"/>
                <w:b/>
                <w:bCs/>
                <w:kern w:val="28"/>
                <w:szCs w:val="24"/>
                <w:lang w:val="es-ES_tradnl"/>
              </w:rPr>
              <w:t>Anexo XV</w:t>
            </w:r>
          </w:p>
        </w:tc>
        <w:tc>
          <w:tcPr>
            <w:tcW w:w="7329" w:type="dxa"/>
            <w:tcBorders>
              <w:top w:val="single" w:sz="4" w:space="0" w:color="auto"/>
              <w:left w:val="single" w:sz="4" w:space="0" w:color="auto"/>
              <w:bottom w:val="single" w:sz="4" w:space="0" w:color="auto"/>
              <w:right w:val="single" w:sz="4" w:space="0" w:color="auto"/>
            </w:tcBorders>
          </w:tcPr>
          <w:p w14:paraId="1A91D2A7" w14:textId="0FAFF4AF" w:rsidR="008B1894" w:rsidRPr="003221C4" w:rsidRDefault="008B1894" w:rsidP="008B1894">
            <w:pPr>
              <w:widowControl w:val="0"/>
              <w:overflowPunct w:val="0"/>
              <w:adjustRightInd w:val="0"/>
              <w:jc w:val="both"/>
              <w:rPr>
                <w:rFonts w:cs="Arial"/>
                <w:kern w:val="28"/>
                <w:szCs w:val="24"/>
                <w:lang w:val="es-UY"/>
              </w:rPr>
            </w:pPr>
            <w:r w:rsidRPr="003221C4">
              <w:rPr>
                <w:rFonts w:cs="Arial"/>
                <w:kern w:val="28"/>
                <w:szCs w:val="24"/>
                <w:lang w:val="es-UY"/>
              </w:rPr>
              <w:t>Programa de trabajo 2025-2026</w:t>
            </w:r>
          </w:p>
        </w:tc>
      </w:tr>
      <w:tr w:rsidR="003221C4" w:rsidRPr="003221C4" w14:paraId="25D6E317" w14:textId="77777777" w:rsidTr="00E44944">
        <w:trPr>
          <w:trHeight w:val="283"/>
        </w:trPr>
        <w:tc>
          <w:tcPr>
            <w:tcW w:w="1881" w:type="dxa"/>
            <w:tcBorders>
              <w:top w:val="single" w:sz="4" w:space="0" w:color="auto"/>
              <w:left w:val="single" w:sz="4" w:space="0" w:color="auto"/>
              <w:bottom w:val="single" w:sz="4" w:space="0" w:color="auto"/>
              <w:right w:val="single" w:sz="4" w:space="0" w:color="auto"/>
            </w:tcBorders>
          </w:tcPr>
          <w:p w14:paraId="2B9D5986" w14:textId="1433A551" w:rsidR="000209BB" w:rsidRPr="003221C4" w:rsidRDefault="000209BB" w:rsidP="000209BB">
            <w:pPr>
              <w:widowControl w:val="0"/>
              <w:overflowPunct w:val="0"/>
              <w:adjustRightInd w:val="0"/>
              <w:jc w:val="both"/>
              <w:rPr>
                <w:rFonts w:cs="Arial"/>
                <w:b/>
                <w:bCs/>
                <w:kern w:val="28"/>
                <w:szCs w:val="24"/>
                <w:highlight w:val="yellow"/>
                <w:lang w:val="es-ES_tradnl"/>
              </w:rPr>
            </w:pPr>
            <w:r w:rsidRPr="003221C4">
              <w:rPr>
                <w:b/>
                <w:lang w:val="es-ES_tradnl"/>
              </w:rPr>
              <w:t>Anexo XV</w:t>
            </w:r>
            <w:r w:rsidRPr="003221C4">
              <w:rPr>
                <w:b/>
                <w:lang w:val="es-ES_tradnl"/>
              </w:rPr>
              <w:t>I</w:t>
            </w:r>
          </w:p>
        </w:tc>
        <w:tc>
          <w:tcPr>
            <w:tcW w:w="7329" w:type="dxa"/>
            <w:tcBorders>
              <w:top w:val="single" w:sz="4" w:space="0" w:color="auto"/>
              <w:left w:val="single" w:sz="4" w:space="0" w:color="auto"/>
              <w:bottom w:val="single" w:sz="4" w:space="0" w:color="auto"/>
              <w:right w:val="single" w:sz="4" w:space="0" w:color="auto"/>
            </w:tcBorders>
          </w:tcPr>
          <w:p w14:paraId="4E8029F8" w14:textId="2F3E1ECB" w:rsidR="000209BB" w:rsidRPr="003221C4" w:rsidRDefault="000209BB" w:rsidP="000209BB">
            <w:pPr>
              <w:widowControl w:val="0"/>
              <w:overflowPunct w:val="0"/>
              <w:adjustRightInd w:val="0"/>
              <w:jc w:val="both"/>
              <w:rPr>
                <w:rFonts w:cs="Arial"/>
                <w:kern w:val="28"/>
                <w:szCs w:val="24"/>
                <w:lang w:val="es-UY"/>
              </w:rPr>
            </w:pPr>
            <w:r w:rsidRPr="003221C4">
              <w:rPr>
                <w:rFonts w:cs="Arial"/>
                <w:kern w:val="28"/>
                <w:szCs w:val="24"/>
                <w:lang w:val="es-UY"/>
              </w:rPr>
              <w:t>Nota de Prensa</w:t>
            </w:r>
          </w:p>
        </w:tc>
      </w:tr>
    </w:tbl>
    <w:p w14:paraId="0B7FD98C" w14:textId="77777777" w:rsidR="00E44944" w:rsidRPr="003221C4" w:rsidRDefault="00E44944" w:rsidP="00E44944">
      <w:pPr>
        <w:widowControl w:val="0"/>
        <w:overflowPunct w:val="0"/>
        <w:adjustRightInd w:val="0"/>
        <w:jc w:val="both"/>
        <w:rPr>
          <w:rFonts w:cs="Arial"/>
          <w:b/>
          <w:bCs/>
          <w:kern w:val="28"/>
          <w:szCs w:val="24"/>
          <w:highlight w:val="yellow"/>
          <w:lang w:val="es-ES"/>
        </w:rPr>
      </w:pPr>
    </w:p>
    <w:p w14:paraId="42C985A8" w14:textId="77777777" w:rsidR="00E44944" w:rsidRPr="003221C4" w:rsidRDefault="00E44944" w:rsidP="00E44944">
      <w:pPr>
        <w:widowControl w:val="0"/>
        <w:overflowPunct w:val="0"/>
        <w:adjustRightInd w:val="0"/>
        <w:jc w:val="both"/>
        <w:rPr>
          <w:rFonts w:cs="Arial"/>
          <w:b/>
          <w:bCs/>
          <w:kern w:val="28"/>
          <w:szCs w:val="24"/>
          <w:highlight w:val="yellow"/>
          <w:lang w:val="es-ES"/>
        </w:rPr>
      </w:pPr>
    </w:p>
    <w:p w14:paraId="481967E8" w14:textId="77777777" w:rsidR="00671F92" w:rsidRPr="003221C4" w:rsidRDefault="00671F92" w:rsidP="00671F92">
      <w:pPr>
        <w:widowControl w:val="0"/>
        <w:overflowPunct w:val="0"/>
        <w:adjustRightInd w:val="0"/>
        <w:jc w:val="both"/>
        <w:rPr>
          <w:rFonts w:cs="Arial"/>
          <w:b/>
          <w:bCs/>
          <w:kern w:val="28"/>
          <w:szCs w:val="24"/>
          <w:highlight w:val="yellow"/>
          <w:lang w:val="es-ES"/>
        </w:rPr>
      </w:pPr>
    </w:p>
    <w:p w14:paraId="11B3FC03" w14:textId="77777777" w:rsidR="00671F92" w:rsidRPr="003221C4" w:rsidRDefault="00671F92" w:rsidP="00671F92">
      <w:pPr>
        <w:widowControl w:val="0"/>
        <w:overflowPunct w:val="0"/>
        <w:adjustRightInd w:val="0"/>
        <w:jc w:val="both"/>
        <w:rPr>
          <w:rFonts w:cs="Arial"/>
          <w:b/>
          <w:bCs/>
          <w:kern w:val="28"/>
          <w:szCs w:val="24"/>
          <w:highlight w:val="yellow"/>
          <w:lang w:val="es-UY"/>
        </w:rPr>
      </w:pPr>
    </w:p>
    <w:tbl>
      <w:tblPr>
        <w:tblW w:w="9390" w:type="dxa"/>
        <w:jc w:val="center"/>
        <w:tblLayout w:type="fixed"/>
        <w:tblCellMar>
          <w:left w:w="180" w:type="dxa"/>
          <w:right w:w="180" w:type="dxa"/>
        </w:tblCellMar>
        <w:tblLook w:val="04A0" w:firstRow="1" w:lastRow="0" w:firstColumn="1" w:lastColumn="0" w:noHBand="0" w:noVBand="1"/>
      </w:tblPr>
      <w:tblGrid>
        <w:gridCol w:w="4454"/>
        <w:gridCol w:w="4936"/>
      </w:tblGrid>
      <w:tr w:rsidR="003221C4" w:rsidRPr="003221C4" w14:paraId="70FBDE1F" w14:textId="77777777" w:rsidTr="00671F92">
        <w:trPr>
          <w:trHeight w:val="930"/>
          <w:jc w:val="center"/>
        </w:trPr>
        <w:tc>
          <w:tcPr>
            <w:tcW w:w="4454" w:type="dxa"/>
          </w:tcPr>
          <w:p w14:paraId="40D7B291" w14:textId="77777777" w:rsidR="00671F92" w:rsidRPr="003221C4" w:rsidRDefault="00671F92" w:rsidP="00581666">
            <w:pPr>
              <w:widowControl w:val="0"/>
              <w:overflowPunct w:val="0"/>
              <w:autoSpaceDE w:val="0"/>
              <w:autoSpaceDN w:val="0"/>
              <w:adjustRightInd w:val="0"/>
              <w:jc w:val="center"/>
              <w:rPr>
                <w:rFonts w:ascii="Calibri" w:hAnsi="Calibri"/>
                <w:sz w:val="22"/>
                <w:szCs w:val="22"/>
                <w:lang w:val="es-UY"/>
              </w:rPr>
            </w:pPr>
            <w:r w:rsidRPr="003221C4">
              <w:rPr>
                <w:rFonts w:cs="Arial"/>
                <w:bCs/>
                <w:kern w:val="28"/>
                <w:szCs w:val="24"/>
                <w:lang w:val="es-UY"/>
              </w:rPr>
              <w:t>___________________________</w:t>
            </w:r>
          </w:p>
          <w:p w14:paraId="2DEA3659" w14:textId="77777777" w:rsidR="00671F92" w:rsidRPr="003221C4" w:rsidRDefault="00671F92" w:rsidP="00581666">
            <w:pPr>
              <w:widowControl w:val="0"/>
              <w:overflowPunct w:val="0"/>
              <w:autoSpaceDE w:val="0"/>
              <w:autoSpaceDN w:val="0"/>
              <w:adjustRightInd w:val="0"/>
              <w:jc w:val="center"/>
              <w:rPr>
                <w:rFonts w:cs="Arial"/>
                <w:kern w:val="28"/>
                <w:szCs w:val="24"/>
                <w:lang w:val="es-UY"/>
              </w:rPr>
            </w:pPr>
            <w:r w:rsidRPr="003221C4">
              <w:rPr>
                <w:rFonts w:cs="Arial"/>
                <w:kern w:val="28"/>
                <w:szCs w:val="24"/>
                <w:lang w:val="es-UY"/>
              </w:rPr>
              <w:t>Por la delegación de Argentina</w:t>
            </w:r>
          </w:p>
          <w:p w14:paraId="0D33CDBA" w14:textId="77777777" w:rsidR="00671F92" w:rsidRPr="003221C4" w:rsidRDefault="00671F92" w:rsidP="00581666">
            <w:pPr>
              <w:widowControl w:val="0"/>
              <w:overflowPunct w:val="0"/>
              <w:autoSpaceDE w:val="0"/>
              <w:autoSpaceDN w:val="0"/>
              <w:adjustRightInd w:val="0"/>
              <w:jc w:val="center"/>
              <w:rPr>
                <w:rFonts w:cs="Arial"/>
                <w:b/>
                <w:kern w:val="28"/>
                <w:szCs w:val="24"/>
                <w:lang w:val="es-UY"/>
              </w:rPr>
            </w:pPr>
            <w:r w:rsidRPr="003221C4">
              <w:rPr>
                <w:rFonts w:cs="Arial"/>
                <w:b/>
                <w:kern w:val="28"/>
                <w:szCs w:val="24"/>
                <w:lang w:val="es-UY"/>
              </w:rPr>
              <w:t>Juan Abelardo Larralde Hernández</w:t>
            </w:r>
          </w:p>
          <w:p w14:paraId="1768006F" w14:textId="77777777" w:rsidR="00671F92" w:rsidRPr="003221C4" w:rsidRDefault="00671F92" w:rsidP="00581666">
            <w:pPr>
              <w:widowControl w:val="0"/>
              <w:overflowPunct w:val="0"/>
              <w:autoSpaceDE w:val="0"/>
              <w:autoSpaceDN w:val="0"/>
              <w:adjustRightInd w:val="0"/>
              <w:jc w:val="center"/>
              <w:rPr>
                <w:rFonts w:cs="Arial"/>
                <w:b/>
                <w:kern w:val="28"/>
                <w:szCs w:val="24"/>
                <w:lang w:val="es-UY"/>
              </w:rPr>
            </w:pPr>
          </w:p>
          <w:p w14:paraId="39B8075E" w14:textId="77777777" w:rsidR="00671F92" w:rsidRPr="003221C4" w:rsidRDefault="00671F92" w:rsidP="00581666">
            <w:pPr>
              <w:widowControl w:val="0"/>
              <w:overflowPunct w:val="0"/>
              <w:autoSpaceDE w:val="0"/>
              <w:autoSpaceDN w:val="0"/>
              <w:adjustRightInd w:val="0"/>
              <w:jc w:val="center"/>
              <w:rPr>
                <w:rFonts w:cs="Arial"/>
                <w:b/>
                <w:kern w:val="28"/>
                <w:szCs w:val="24"/>
                <w:lang w:val="es-UY"/>
              </w:rPr>
            </w:pPr>
          </w:p>
        </w:tc>
        <w:tc>
          <w:tcPr>
            <w:tcW w:w="4936" w:type="dxa"/>
          </w:tcPr>
          <w:p w14:paraId="63FF7B83" w14:textId="77777777" w:rsidR="00671F92" w:rsidRPr="003221C4" w:rsidRDefault="00671F92" w:rsidP="00581666">
            <w:pPr>
              <w:widowControl w:val="0"/>
              <w:overflowPunct w:val="0"/>
              <w:autoSpaceDE w:val="0"/>
              <w:autoSpaceDN w:val="0"/>
              <w:adjustRightInd w:val="0"/>
              <w:jc w:val="center"/>
              <w:rPr>
                <w:rFonts w:cs="Arial"/>
                <w:bCs/>
                <w:kern w:val="28"/>
                <w:szCs w:val="24"/>
                <w:lang w:val="es-UY"/>
              </w:rPr>
            </w:pPr>
            <w:r w:rsidRPr="003221C4">
              <w:rPr>
                <w:rFonts w:cs="Arial"/>
                <w:bCs/>
                <w:kern w:val="28"/>
                <w:szCs w:val="24"/>
                <w:lang w:val="es-UY"/>
              </w:rPr>
              <w:t>___________________________</w:t>
            </w:r>
          </w:p>
          <w:p w14:paraId="5B322CAD" w14:textId="77777777" w:rsidR="00671F92" w:rsidRPr="003221C4" w:rsidRDefault="00671F92" w:rsidP="00581666">
            <w:pPr>
              <w:widowControl w:val="0"/>
              <w:overflowPunct w:val="0"/>
              <w:adjustRightInd w:val="0"/>
              <w:jc w:val="center"/>
              <w:rPr>
                <w:rFonts w:cs="Arial"/>
                <w:kern w:val="28"/>
                <w:szCs w:val="24"/>
                <w:lang w:val="es-UY"/>
              </w:rPr>
            </w:pPr>
            <w:r w:rsidRPr="003221C4">
              <w:rPr>
                <w:rFonts w:cs="Arial"/>
                <w:kern w:val="28"/>
                <w:szCs w:val="24"/>
                <w:lang w:val="es-UY"/>
              </w:rPr>
              <w:t>Por la delegación de Brasil</w:t>
            </w:r>
          </w:p>
          <w:p w14:paraId="2EE8CBC1" w14:textId="79506B72" w:rsidR="00671F92" w:rsidRPr="003221C4" w:rsidRDefault="00C817FF" w:rsidP="00581666">
            <w:pPr>
              <w:widowControl w:val="0"/>
              <w:overflowPunct w:val="0"/>
              <w:adjustRightInd w:val="0"/>
              <w:jc w:val="center"/>
              <w:rPr>
                <w:rFonts w:cs="Arial"/>
                <w:b/>
                <w:kern w:val="28"/>
                <w:szCs w:val="24"/>
                <w:lang w:val="es-UY"/>
              </w:rPr>
            </w:pPr>
            <w:r w:rsidRPr="003221C4">
              <w:rPr>
                <w:rFonts w:cs="Arial"/>
                <w:b/>
                <w:kern w:val="28"/>
                <w:szCs w:val="24"/>
                <w:lang w:val="es-UY"/>
              </w:rPr>
              <w:t xml:space="preserve">Bianca </w:t>
            </w:r>
            <w:r w:rsidR="00196904" w:rsidRPr="003221C4">
              <w:rPr>
                <w:rFonts w:cs="Arial"/>
                <w:b/>
                <w:kern w:val="28"/>
                <w:szCs w:val="24"/>
                <w:lang w:val="es-UY"/>
              </w:rPr>
              <w:t xml:space="preserve">Viana </w:t>
            </w:r>
            <w:r w:rsidRPr="003221C4">
              <w:rPr>
                <w:rFonts w:cs="Arial"/>
                <w:b/>
                <w:kern w:val="28"/>
                <w:szCs w:val="24"/>
                <w:lang w:val="es-UY"/>
              </w:rPr>
              <w:t>Cardo</w:t>
            </w:r>
            <w:r w:rsidR="00196904" w:rsidRPr="003221C4">
              <w:rPr>
                <w:rFonts w:cs="Arial"/>
                <w:b/>
                <w:kern w:val="28"/>
                <w:szCs w:val="24"/>
                <w:lang w:val="es-UY"/>
              </w:rPr>
              <w:t>s</w:t>
            </w:r>
            <w:r w:rsidRPr="003221C4">
              <w:rPr>
                <w:rFonts w:cs="Arial"/>
                <w:b/>
                <w:kern w:val="28"/>
                <w:szCs w:val="24"/>
                <w:lang w:val="es-UY"/>
              </w:rPr>
              <w:t>o</w:t>
            </w:r>
            <w:r w:rsidR="00196904" w:rsidRPr="003221C4">
              <w:rPr>
                <w:rFonts w:cs="Arial"/>
                <w:b/>
                <w:kern w:val="28"/>
                <w:szCs w:val="24"/>
                <w:lang w:val="es-UY"/>
              </w:rPr>
              <w:t xml:space="preserve"> </w:t>
            </w:r>
            <w:proofErr w:type="spellStart"/>
            <w:r w:rsidR="00196904" w:rsidRPr="003221C4">
              <w:rPr>
                <w:rFonts w:cs="Arial"/>
                <w:b/>
                <w:kern w:val="28"/>
                <w:szCs w:val="24"/>
                <w:lang w:val="es-UY"/>
              </w:rPr>
              <w:t>Kivel</w:t>
            </w:r>
            <w:proofErr w:type="spellEnd"/>
          </w:p>
          <w:p w14:paraId="33DD7BF6" w14:textId="77777777" w:rsidR="00671F92" w:rsidRPr="003221C4" w:rsidRDefault="00671F92" w:rsidP="00581666">
            <w:pPr>
              <w:widowControl w:val="0"/>
              <w:overflowPunct w:val="0"/>
              <w:adjustRightInd w:val="0"/>
              <w:jc w:val="center"/>
              <w:rPr>
                <w:rFonts w:cs="Arial"/>
                <w:bCs/>
                <w:kern w:val="28"/>
                <w:szCs w:val="24"/>
                <w:lang w:val="es-UY"/>
              </w:rPr>
            </w:pPr>
          </w:p>
          <w:p w14:paraId="52E965D5" w14:textId="77777777" w:rsidR="00671F92" w:rsidRPr="003221C4" w:rsidRDefault="00671F92" w:rsidP="00581666">
            <w:pPr>
              <w:widowControl w:val="0"/>
              <w:overflowPunct w:val="0"/>
              <w:adjustRightInd w:val="0"/>
              <w:rPr>
                <w:rFonts w:cs="Arial"/>
                <w:bCs/>
                <w:kern w:val="28"/>
                <w:szCs w:val="24"/>
                <w:lang w:val="es-UY"/>
              </w:rPr>
            </w:pPr>
          </w:p>
          <w:p w14:paraId="5EF47192" w14:textId="77777777" w:rsidR="00671F92" w:rsidRPr="003221C4" w:rsidRDefault="00671F92" w:rsidP="00581666">
            <w:pPr>
              <w:widowControl w:val="0"/>
              <w:overflowPunct w:val="0"/>
              <w:adjustRightInd w:val="0"/>
              <w:rPr>
                <w:rFonts w:cs="Arial"/>
                <w:bCs/>
                <w:kern w:val="28"/>
                <w:szCs w:val="24"/>
                <w:lang w:val="es-UY"/>
              </w:rPr>
            </w:pPr>
          </w:p>
          <w:p w14:paraId="62B5DC08" w14:textId="77777777" w:rsidR="00671F92" w:rsidRPr="003221C4" w:rsidRDefault="00671F92" w:rsidP="00581666">
            <w:pPr>
              <w:widowControl w:val="0"/>
              <w:overflowPunct w:val="0"/>
              <w:adjustRightInd w:val="0"/>
              <w:jc w:val="center"/>
              <w:rPr>
                <w:rFonts w:cs="Arial"/>
                <w:bCs/>
                <w:kern w:val="28"/>
                <w:szCs w:val="24"/>
                <w:lang w:val="es-UY"/>
              </w:rPr>
            </w:pPr>
          </w:p>
          <w:p w14:paraId="75C7119E" w14:textId="77777777" w:rsidR="00671F92" w:rsidRPr="003221C4" w:rsidRDefault="00671F92" w:rsidP="00581666">
            <w:pPr>
              <w:widowControl w:val="0"/>
              <w:overflowPunct w:val="0"/>
              <w:adjustRightInd w:val="0"/>
              <w:jc w:val="center"/>
              <w:rPr>
                <w:rFonts w:cs="Arial"/>
                <w:bCs/>
                <w:kern w:val="28"/>
                <w:szCs w:val="24"/>
                <w:lang w:val="es-UY"/>
              </w:rPr>
            </w:pPr>
          </w:p>
        </w:tc>
      </w:tr>
      <w:tr w:rsidR="003221C4" w:rsidRPr="003221C4" w14:paraId="547F24B7" w14:textId="77777777" w:rsidTr="00671F92">
        <w:trPr>
          <w:trHeight w:val="930"/>
          <w:jc w:val="center"/>
        </w:trPr>
        <w:tc>
          <w:tcPr>
            <w:tcW w:w="4454" w:type="dxa"/>
            <w:hideMark/>
          </w:tcPr>
          <w:p w14:paraId="098531B1" w14:textId="77777777" w:rsidR="00671F92" w:rsidRPr="003221C4" w:rsidRDefault="00671F92" w:rsidP="00581666">
            <w:pPr>
              <w:widowControl w:val="0"/>
              <w:overflowPunct w:val="0"/>
              <w:autoSpaceDE w:val="0"/>
              <w:autoSpaceDN w:val="0"/>
              <w:adjustRightInd w:val="0"/>
              <w:jc w:val="center"/>
              <w:rPr>
                <w:rFonts w:cs="Arial"/>
                <w:bCs/>
                <w:kern w:val="28"/>
                <w:szCs w:val="24"/>
                <w:lang w:val="es-UY"/>
              </w:rPr>
            </w:pPr>
            <w:bookmarkStart w:id="4" w:name="_Hlk117585788"/>
            <w:r w:rsidRPr="003221C4">
              <w:rPr>
                <w:rFonts w:cs="Arial"/>
                <w:bCs/>
                <w:kern w:val="28"/>
                <w:szCs w:val="24"/>
                <w:lang w:val="es-UY"/>
              </w:rPr>
              <w:t>___________________________</w:t>
            </w:r>
          </w:p>
          <w:p w14:paraId="55D01277" w14:textId="77777777" w:rsidR="00671F92" w:rsidRPr="003221C4" w:rsidRDefault="00671F92" w:rsidP="00581666">
            <w:pPr>
              <w:widowControl w:val="0"/>
              <w:overflowPunct w:val="0"/>
              <w:autoSpaceDE w:val="0"/>
              <w:autoSpaceDN w:val="0"/>
              <w:adjustRightInd w:val="0"/>
              <w:jc w:val="center"/>
              <w:rPr>
                <w:rFonts w:cs="Arial"/>
                <w:kern w:val="28"/>
                <w:szCs w:val="24"/>
                <w:lang w:val="es-UY"/>
              </w:rPr>
            </w:pPr>
            <w:r w:rsidRPr="003221C4">
              <w:rPr>
                <w:rFonts w:cs="Arial"/>
                <w:kern w:val="28"/>
                <w:szCs w:val="24"/>
                <w:lang w:val="es-UY"/>
              </w:rPr>
              <w:t>Por la delegación de Paraguay</w:t>
            </w:r>
            <w:bookmarkEnd w:id="4"/>
          </w:p>
          <w:p w14:paraId="2A613DCB" w14:textId="77777777" w:rsidR="00671F92" w:rsidRPr="003221C4" w:rsidRDefault="00671F92" w:rsidP="00581666">
            <w:pPr>
              <w:widowControl w:val="0"/>
              <w:overflowPunct w:val="0"/>
              <w:autoSpaceDE w:val="0"/>
              <w:autoSpaceDN w:val="0"/>
              <w:adjustRightInd w:val="0"/>
              <w:jc w:val="center"/>
              <w:rPr>
                <w:rFonts w:cs="Arial"/>
                <w:b/>
                <w:bCs/>
                <w:kern w:val="28"/>
                <w:szCs w:val="24"/>
                <w:lang w:val="es-UY"/>
              </w:rPr>
            </w:pPr>
            <w:r w:rsidRPr="003221C4">
              <w:rPr>
                <w:rFonts w:cs="Arial"/>
                <w:b/>
                <w:bCs/>
                <w:kern w:val="28"/>
                <w:szCs w:val="24"/>
                <w:lang w:val="es-UY"/>
              </w:rPr>
              <w:t xml:space="preserve">Eduardo José </w:t>
            </w:r>
            <w:proofErr w:type="spellStart"/>
            <w:r w:rsidRPr="003221C4">
              <w:rPr>
                <w:rFonts w:cs="Arial"/>
                <w:b/>
                <w:bCs/>
                <w:kern w:val="28"/>
                <w:szCs w:val="24"/>
                <w:lang w:val="es-UY"/>
              </w:rPr>
              <w:t>Feschenko</w:t>
            </w:r>
            <w:proofErr w:type="spellEnd"/>
            <w:r w:rsidRPr="003221C4">
              <w:rPr>
                <w:rFonts w:cs="Arial"/>
                <w:b/>
                <w:bCs/>
                <w:kern w:val="28"/>
                <w:szCs w:val="24"/>
                <w:lang w:val="es-UY"/>
              </w:rPr>
              <w:t xml:space="preserve"> </w:t>
            </w:r>
            <w:proofErr w:type="spellStart"/>
            <w:r w:rsidRPr="003221C4">
              <w:rPr>
                <w:rFonts w:cs="Arial"/>
                <w:b/>
                <w:bCs/>
                <w:kern w:val="28"/>
                <w:szCs w:val="24"/>
                <w:lang w:val="es-UY"/>
              </w:rPr>
              <w:t>Gilardoni</w:t>
            </w:r>
            <w:proofErr w:type="spellEnd"/>
          </w:p>
        </w:tc>
        <w:tc>
          <w:tcPr>
            <w:tcW w:w="4936" w:type="dxa"/>
            <w:hideMark/>
          </w:tcPr>
          <w:p w14:paraId="6F8C5110" w14:textId="77777777" w:rsidR="00671F92" w:rsidRPr="003221C4" w:rsidRDefault="00671F92" w:rsidP="00581666">
            <w:pPr>
              <w:widowControl w:val="0"/>
              <w:overflowPunct w:val="0"/>
              <w:autoSpaceDE w:val="0"/>
              <w:autoSpaceDN w:val="0"/>
              <w:adjustRightInd w:val="0"/>
              <w:jc w:val="center"/>
              <w:rPr>
                <w:rFonts w:cs="Arial"/>
                <w:bCs/>
                <w:kern w:val="28"/>
                <w:szCs w:val="24"/>
                <w:lang w:val="es-UY"/>
              </w:rPr>
            </w:pPr>
            <w:r w:rsidRPr="003221C4">
              <w:rPr>
                <w:rFonts w:cs="Arial"/>
                <w:bCs/>
                <w:kern w:val="28"/>
                <w:szCs w:val="24"/>
                <w:lang w:val="es-UY"/>
              </w:rPr>
              <w:t>___________________________</w:t>
            </w:r>
          </w:p>
          <w:p w14:paraId="750EB51E" w14:textId="77777777" w:rsidR="00671F92" w:rsidRPr="003221C4" w:rsidRDefault="00671F92" w:rsidP="00581666">
            <w:pPr>
              <w:widowControl w:val="0"/>
              <w:overflowPunct w:val="0"/>
              <w:adjustRightInd w:val="0"/>
              <w:jc w:val="center"/>
              <w:rPr>
                <w:rFonts w:cs="Arial"/>
                <w:kern w:val="28"/>
                <w:szCs w:val="24"/>
                <w:lang w:val="es-UY"/>
              </w:rPr>
            </w:pPr>
            <w:r w:rsidRPr="003221C4">
              <w:rPr>
                <w:rFonts w:cs="Arial"/>
                <w:kern w:val="28"/>
                <w:szCs w:val="24"/>
                <w:lang w:val="es-UY"/>
              </w:rPr>
              <w:t>Por la delegación de Uruguay</w:t>
            </w:r>
          </w:p>
          <w:p w14:paraId="504725BA" w14:textId="00088F85" w:rsidR="00671F92" w:rsidRPr="003221C4" w:rsidRDefault="00671F92" w:rsidP="00581666">
            <w:pPr>
              <w:widowControl w:val="0"/>
              <w:overflowPunct w:val="0"/>
              <w:adjustRightInd w:val="0"/>
              <w:jc w:val="center"/>
              <w:rPr>
                <w:rFonts w:cs="Arial"/>
                <w:b/>
                <w:bCs/>
                <w:kern w:val="28"/>
                <w:szCs w:val="24"/>
                <w:lang w:val="es-UY"/>
              </w:rPr>
            </w:pPr>
            <w:r w:rsidRPr="003221C4">
              <w:rPr>
                <w:rFonts w:cs="Arial"/>
                <w:b/>
                <w:bCs/>
                <w:kern w:val="28"/>
                <w:szCs w:val="24"/>
                <w:lang w:val="es-UY"/>
              </w:rPr>
              <w:t>Cecilia</w:t>
            </w:r>
            <w:r w:rsidR="003C1229" w:rsidRPr="003221C4">
              <w:rPr>
                <w:rFonts w:cs="Arial"/>
                <w:b/>
                <w:bCs/>
                <w:kern w:val="28"/>
                <w:szCs w:val="24"/>
                <w:lang w:val="es-UY"/>
              </w:rPr>
              <w:t xml:space="preserve"> Mariana</w:t>
            </w:r>
            <w:r w:rsidRPr="003221C4">
              <w:rPr>
                <w:rFonts w:cs="Arial"/>
                <w:b/>
                <w:bCs/>
                <w:kern w:val="28"/>
                <w:szCs w:val="24"/>
                <w:lang w:val="es-UY"/>
              </w:rPr>
              <w:t xml:space="preserve"> </w:t>
            </w:r>
            <w:proofErr w:type="spellStart"/>
            <w:r w:rsidRPr="003221C4">
              <w:rPr>
                <w:rFonts w:cs="Arial"/>
                <w:b/>
                <w:bCs/>
                <w:kern w:val="28"/>
                <w:szCs w:val="24"/>
                <w:lang w:val="es-UY"/>
              </w:rPr>
              <w:t>Molinari</w:t>
            </w:r>
            <w:proofErr w:type="spellEnd"/>
            <w:r w:rsidR="003C1229" w:rsidRPr="003221C4">
              <w:rPr>
                <w:rFonts w:cs="Arial"/>
                <w:b/>
                <w:bCs/>
                <w:kern w:val="28"/>
                <w:szCs w:val="24"/>
                <w:lang w:val="es-UY"/>
              </w:rPr>
              <w:t xml:space="preserve"> </w:t>
            </w:r>
            <w:proofErr w:type="spellStart"/>
            <w:r w:rsidR="003C1229" w:rsidRPr="003221C4">
              <w:rPr>
                <w:rFonts w:cs="Arial"/>
                <w:b/>
                <w:bCs/>
                <w:kern w:val="28"/>
                <w:szCs w:val="24"/>
                <w:lang w:val="es-UY"/>
              </w:rPr>
              <w:t>Barili</w:t>
            </w:r>
            <w:proofErr w:type="spellEnd"/>
          </w:p>
        </w:tc>
      </w:tr>
      <w:tr w:rsidR="003221C4" w:rsidRPr="003221C4" w14:paraId="434DB8F0" w14:textId="77777777" w:rsidTr="00671F92">
        <w:trPr>
          <w:trHeight w:val="930"/>
          <w:jc w:val="center"/>
        </w:trPr>
        <w:tc>
          <w:tcPr>
            <w:tcW w:w="4454" w:type="dxa"/>
          </w:tcPr>
          <w:p w14:paraId="2CB059A6" w14:textId="77777777" w:rsidR="00671F92" w:rsidRPr="003221C4" w:rsidRDefault="00671F92" w:rsidP="00581666">
            <w:pPr>
              <w:widowControl w:val="0"/>
              <w:overflowPunct w:val="0"/>
              <w:autoSpaceDE w:val="0"/>
              <w:autoSpaceDN w:val="0"/>
              <w:adjustRightInd w:val="0"/>
              <w:jc w:val="both"/>
              <w:rPr>
                <w:rFonts w:cs="Arial"/>
                <w:bCs/>
                <w:kern w:val="28"/>
                <w:szCs w:val="24"/>
                <w:lang w:val="es-UY"/>
              </w:rPr>
            </w:pPr>
          </w:p>
          <w:p w14:paraId="046BEEA1" w14:textId="77777777" w:rsidR="00671F92" w:rsidRPr="003221C4" w:rsidRDefault="00671F92" w:rsidP="00581666">
            <w:pPr>
              <w:widowControl w:val="0"/>
              <w:overflowPunct w:val="0"/>
              <w:autoSpaceDE w:val="0"/>
              <w:autoSpaceDN w:val="0"/>
              <w:adjustRightInd w:val="0"/>
              <w:jc w:val="both"/>
              <w:rPr>
                <w:rFonts w:cs="Arial"/>
                <w:bCs/>
                <w:kern w:val="28"/>
                <w:szCs w:val="24"/>
                <w:lang w:val="es-UY"/>
              </w:rPr>
            </w:pPr>
          </w:p>
          <w:p w14:paraId="783D7752" w14:textId="77777777" w:rsidR="00671F92" w:rsidRPr="003221C4" w:rsidRDefault="00671F92" w:rsidP="00581666">
            <w:pPr>
              <w:widowControl w:val="0"/>
              <w:overflowPunct w:val="0"/>
              <w:autoSpaceDE w:val="0"/>
              <w:autoSpaceDN w:val="0"/>
              <w:adjustRightInd w:val="0"/>
              <w:jc w:val="both"/>
              <w:rPr>
                <w:rFonts w:cs="Arial"/>
                <w:bCs/>
                <w:kern w:val="28"/>
                <w:szCs w:val="24"/>
                <w:lang w:val="es-UY"/>
              </w:rPr>
            </w:pPr>
          </w:p>
        </w:tc>
        <w:tc>
          <w:tcPr>
            <w:tcW w:w="4936" w:type="dxa"/>
          </w:tcPr>
          <w:p w14:paraId="691770C2" w14:textId="77777777" w:rsidR="00671F92" w:rsidRPr="003221C4" w:rsidRDefault="00671F92" w:rsidP="00581666">
            <w:pPr>
              <w:widowControl w:val="0"/>
              <w:overflowPunct w:val="0"/>
              <w:autoSpaceDE w:val="0"/>
              <w:autoSpaceDN w:val="0"/>
              <w:adjustRightInd w:val="0"/>
              <w:jc w:val="both"/>
              <w:rPr>
                <w:rFonts w:cs="Arial"/>
                <w:bCs/>
                <w:kern w:val="28"/>
                <w:szCs w:val="24"/>
                <w:lang w:val="es-UY"/>
              </w:rPr>
            </w:pPr>
          </w:p>
        </w:tc>
      </w:tr>
    </w:tbl>
    <w:p w14:paraId="17BCAFB3" w14:textId="77777777" w:rsidR="00671F92" w:rsidRPr="003221C4" w:rsidRDefault="00671F92" w:rsidP="00671F92">
      <w:pPr>
        <w:widowControl w:val="0"/>
        <w:overflowPunct w:val="0"/>
        <w:autoSpaceDE w:val="0"/>
        <w:autoSpaceDN w:val="0"/>
        <w:adjustRightInd w:val="0"/>
        <w:jc w:val="center"/>
        <w:rPr>
          <w:rFonts w:cs="Arial"/>
          <w:bCs/>
          <w:kern w:val="28"/>
          <w:szCs w:val="24"/>
          <w:lang w:val="es-ES"/>
        </w:rPr>
      </w:pPr>
      <w:r w:rsidRPr="003221C4">
        <w:rPr>
          <w:rFonts w:cs="Arial"/>
          <w:bCs/>
          <w:kern w:val="28"/>
          <w:szCs w:val="24"/>
          <w:lang w:val="es-ES"/>
        </w:rPr>
        <w:t>___________________________</w:t>
      </w:r>
    </w:p>
    <w:p w14:paraId="3CAD17B5" w14:textId="77777777" w:rsidR="00671F92" w:rsidRPr="003221C4" w:rsidRDefault="00671F92" w:rsidP="00671F92">
      <w:pPr>
        <w:widowControl w:val="0"/>
        <w:overflowPunct w:val="0"/>
        <w:autoSpaceDE w:val="0"/>
        <w:autoSpaceDN w:val="0"/>
        <w:adjustRightInd w:val="0"/>
        <w:jc w:val="center"/>
        <w:rPr>
          <w:rFonts w:cs="Arial"/>
          <w:kern w:val="28"/>
          <w:szCs w:val="24"/>
          <w:lang w:val="es-ES"/>
        </w:rPr>
      </w:pPr>
      <w:r w:rsidRPr="003221C4">
        <w:rPr>
          <w:rFonts w:cs="Arial"/>
          <w:kern w:val="28"/>
          <w:szCs w:val="24"/>
          <w:lang w:val="es-ES"/>
        </w:rPr>
        <w:t>Por la delegación de Bolivia</w:t>
      </w:r>
    </w:p>
    <w:p w14:paraId="437B6485" w14:textId="326B6344" w:rsidR="00FB1784" w:rsidRPr="003221C4" w:rsidRDefault="009900F3">
      <w:pPr>
        <w:rPr>
          <w:rFonts w:cs="Arial"/>
          <w:b/>
          <w:bCs/>
          <w:kern w:val="28"/>
          <w:szCs w:val="24"/>
          <w:highlight w:val="yellow"/>
          <w:lang w:val="es-ES"/>
        </w:rPr>
      </w:pPr>
      <w:r w:rsidRPr="003221C4">
        <w:rPr>
          <w:rFonts w:cs="Arial"/>
          <w:b/>
          <w:bCs/>
          <w:kern w:val="28"/>
          <w:szCs w:val="24"/>
          <w:lang w:val="es-ES"/>
        </w:rPr>
        <w:t xml:space="preserve">                                   </w:t>
      </w:r>
      <w:r w:rsidRPr="003221C4">
        <w:rPr>
          <w:rFonts w:cs="Arial"/>
          <w:b/>
          <w:bCs/>
          <w:kern w:val="28"/>
          <w:szCs w:val="24"/>
          <w:lang w:val="es-ES"/>
        </w:rPr>
        <w:t xml:space="preserve">Manuel Alejandro Pareja </w:t>
      </w:r>
      <w:proofErr w:type="spellStart"/>
      <w:r w:rsidRPr="003221C4">
        <w:rPr>
          <w:rFonts w:cs="Arial"/>
          <w:b/>
          <w:bCs/>
          <w:kern w:val="28"/>
          <w:szCs w:val="24"/>
          <w:lang w:val="es-ES"/>
        </w:rPr>
        <w:t>Chavez</w:t>
      </w:r>
      <w:proofErr w:type="spellEnd"/>
    </w:p>
    <w:sectPr w:rsidR="00FB1784" w:rsidRPr="003221C4" w:rsidSect="0089603A">
      <w:footerReference w:type="default" r:id="rId11"/>
      <w:pgSz w:w="11906" w:h="16838"/>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27DC" w14:textId="77777777" w:rsidR="0089603A" w:rsidRDefault="0089603A" w:rsidP="0089603A">
      <w:r>
        <w:separator/>
      </w:r>
    </w:p>
  </w:endnote>
  <w:endnote w:type="continuationSeparator" w:id="0">
    <w:p w14:paraId="457952D2" w14:textId="77777777" w:rsidR="0089603A" w:rsidRDefault="0089603A" w:rsidP="0089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565868"/>
      <w:docPartObj>
        <w:docPartGallery w:val="Page Numbers (Bottom of Page)"/>
        <w:docPartUnique/>
      </w:docPartObj>
    </w:sdtPr>
    <w:sdtContent>
      <w:p w14:paraId="6C026747" w14:textId="3DC5BA93" w:rsidR="0089603A" w:rsidRDefault="0089603A">
        <w:pPr>
          <w:pStyle w:val="Piedepgina"/>
          <w:jc w:val="right"/>
        </w:pPr>
        <w:r>
          <w:fldChar w:fldCharType="begin"/>
        </w:r>
        <w:r>
          <w:instrText>PAGE   \* MERGEFORMAT</w:instrText>
        </w:r>
        <w:r>
          <w:fldChar w:fldCharType="separate"/>
        </w:r>
        <w:r>
          <w:rPr>
            <w:lang w:val="es-ES"/>
          </w:rPr>
          <w:t>2</w:t>
        </w:r>
        <w:r>
          <w:fldChar w:fldCharType="end"/>
        </w:r>
      </w:p>
    </w:sdtContent>
  </w:sdt>
  <w:p w14:paraId="1120C8BA" w14:textId="77777777" w:rsidR="0089603A" w:rsidRDefault="008960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68DA" w14:textId="77777777" w:rsidR="0089603A" w:rsidRDefault="0089603A" w:rsidP="0089603A">
      <w:r>
        <w:separator/>
      </w:r>
    </w:p>
  </w:footnote>
  <w:footnote w:type="continuationSeparator" w:id="0">
    <w:p w14:paraId="3AEB2D46" w14:textId="77777777" w:rsidR="0089603A" w:rsidRDefault="0089603A" w:rsidP="00896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E2DBD"/>
    <w:multiLevelType w:val="multilevel"/>
    <w:tmpl w:val="BC1621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8CD4BFC"/>
    <w:multiLevelType w:val="multilevel"/>
    <w:tmpl w:val="72185D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0751742"/>
    <w:multiLevelType w:val="hybridMultilevel"/>
    <w:tmpl w:val="102EFEB2"/>
    <w:lvl w:ilvl="0" w:tplc="BBB0DD3A">
      <w:start w:val="1"/>
      <w:numFmt w:val="decimal"/>
      <w:lvlText w:val="%1."/>
      <w:lvlJc w:val="left"/>
      <w:pPr>
        <w:ind w:left="720" w:hanging="360"/>
      </w:pPr>
      <w:rPr>
        <w:rFonts w:hint="default"/>
        <w:b w:val="0"/>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450C2F19"/>
    <w:multiLevelType w:val="hybridMultilevel"/>
    <w:tmpl w:val="0AA6027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48D6730D"/>
    <w:multiLevelType w:val="hybridMultilevel"/>
    <w:tmpl w:val="1062F24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56A83D25"/>
    <w:multiLevelType w:val="multilevel"/>
    <w:tmpl w:val="02E0B0C2"/>
    <w:lvl w:ilvl="0">
      <w:start w:val="4"/>
      <w:numFmt w:val="decimal"/>
      <w:lvlText w:val="%1."/>
      <w:lvlJc w:val="left"/>
      <w:pPr>
        <w:ind w:left="720" w:hanging="360"/>
      </w:pPr>
      <w:rPr>
        <w:rFonts w:hint="default"/>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16cid:durableId="516505061">
    <w:abstractNumId w:val="1"/>
  </w:num>
  <w:num w:numId="2" w16cid:durableId="1645816755">
    <w:abstractNumId w:val="0"/>
  </w:num>
  <w:num w:numId="3" w16cid:durableId="1398550591">
    <w:abstractNumId w:val="3"/>
  </w:num>
  <w:num w:numId="4" w16cid:durableId="284233559">
    <w:abstractNumId w:val="5"/>
  </w:num>
  <w:num w:numId="5" w16cid:durableId="1136490862">
    <w:abstractNumId w:val="4"/>
  </w:num>
  <w:num w:numId="6" w16cid:durableId="243993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16"/>
    <w:rsid w:val="00010916"/>
    <w:rsid w:val="00014336"/>
    <w:rsid w:val="000164B3"/>
    <w:rsid w:val="000209BB"/>
    <w:rsid w:val="000212F7"/>
    <w:rsid w:val="00033BD5"/>
    <w:rsid w:val="00035202"/>
    <w:rsid w:val="000410DF"/>
    <w:rsid w:val="00041F7E"/>
    <w:rsid w:val="00043561"/>
    <w:rsid w:val="00056732"/>
    <w:rsid w:val="000641B5"/>
    <w:rsid w:val="0006614F"/>
    <w:rsid w:val="00066B5A"/>
    <w:rsid w:val="00067410"/>
    <w:rsid w:val="000713C1"/>
    <w:rsid w:val="000833BC"/>
    <w:rsid w:val="00091EC1"/>
    <w:rsid w:val="000A09C3"/>
    <w:rsid w:val="000A6F37"/>
    <w:rsid w:val="000B275C"/>
    <w:rsid w:val="000C5194"/>
    <w:rsid w:val="000C7B00"/>
    <w:rsid w:val="000E131D"/>
    <w:rsid w:val="000F032F"/>
    <w:rsid w:val="000F1481"/>
    <w:rsid w:val="000F225D"/>
    <w:rsid w:val="001555FE"/>
    <w:rsid w:val="001721BD"/>
    <w:rsid w:val="00180B8D"/>
    <w:rsid w:val="00196904"/>
    <w:rsid w:val="001A4C55"/>
    <w:rsid w:val="001A5137"/>
    <w:rsid w:val="001A6C39"/>
    <w:rsid w:val="001B1454"/>
    <w:rsid w:val="001B1CC4"/>
    <w:rsid w:val="001B24F8"/>
    <w:rsid w:val="001B2660"/>
    <w:rsid w:val="001B6288"/>
    <w:rsid w:val="001C2DDA"/>
    <w:rsid w:val="001C4655"/>
    <w:rsid w:val="001C4EBE"/>
    <w:rsid w:val="001C53F6"/>
    <w:rsid w:val="001C7E18"/>
    <w:rsid w:val="001D0FE1"/>
    <w:rsid w:val="001D3454"/>
    <w:rsid w:val="001D62B3"/>
    <w:rsid w:val="001E0B7C"/>
    <w:rsid w:val="001F787D"/>
    <w:rsid w:val="00202838"/>
    <w:rsid w:val="002062D3"/>
    <w:rsid w:val="00207C69"/>
    <w:rsid w:val="002170C8"/>
    <w:rsid w:val="00221658"/>
    <w:rsid w:val="002246E1"/>
    <w:rsid w:val="002321A7"/>
    <w:rsid w:val="00251CC0"/>
    <w:rsid w:val="002523CD"/>
    <w:rsid w:val="002607E2"/>
    <w:rsid w:val="00297312"/>
    <w:rsid w:val="002A26B8"/>
    <w:rsid w:val="002A7685"/>
    <w:rsid w:val="002B0551"/>
    <w:rsid w:val="002B5CA5"/>
    <w:rsid w:val="002C0E9A"/>
    <w:rsid w:val="002C22E2"/>
    <w:rsid w:val="002C5A16"/>
    <w:rsid w:val="002C68F4"/>
    <w:rsid w:val="002D4AE7"/>
    <w:rsid w:val="002E3207"/>
    <w:rsid w:val="002F0EFE"/>
    <w:rsid w:val="002F632E"/>
    <w:rsid w:val="002F71CE"/>
    <w:rsid w:val="003171A7"/>
    <w:rsid w:val="0032184B"/>
    <w:rsid w:val="003221C4"/>
    <w:rsid w:val="00324106"/>
    <w:rsid w:val="00324F71"/>
    <w:rsid w:val="00326547"/>
    <w:rsid w:val="0036576A"/>
    <w:rsid w:val="00371B4B"/>
    <w:rsid w:val="00373E50"/>
    <w:rsid w:val="00381FF2"/>
    <w:rsid w:val="00382129"/>
    <w:rsid w:val="003833FF"/>
    <w:rsid w:val="00391110"/>
    <w:rsid w:val="003968D1"/>
    <w:rsid w:val="00396C2F"/>
    <w:rsid w:val="003A3A01"/>
    <w:rsid w:val="003B1C4C"/>
    <w:rsid w:val="003C0582"/>
    <w:rsid w:val="003C1229"/>
    <w:rsid w:val="003C7A69"/>
    <w:rsid w:val="003D08BF"/>
    <w:rsid w:val="003D1CDA"/>
    <w:rsid w:val="003E117A"/>
    <w:rsid w:val="003E63D5"/>
    <w:rsid w:val="003F50F4"/>
    <w:rsid w:val="00415110"/>
    <w:rsid w:val="00420366"/>
    <w:rsid w:val="004275DA"/>
    <w:rsid w:val="00432B5A"/>
    <w:rsid w:val="0043703F"/>
    <w:rsid w:val="0043719E"/>
    <w:rsid w:val="00467E9F"/>
    <w:rsid w:val="0048749F"/>
    <w:rsid w:val="004A4064"/>
    <w:rsid w:val="004B68A9"/>
    <w:rsid w:val="004C5C78"/>
    <w:rsid w:val="004C6D49"/>
    <w:rsid w:val="004D0434"/>
    <w:rsid w:val="004D639E"/>
    <w:rsid w:val="004E7D75"/>
    <w:rsid w:val="00505EA0"/>
    <w:rsid w:val="005068BB"/>
    <w:rsid w:val="0050748E"/>
    <w:rsid w:val="00507FC5"/>
    <w:rsid w:val="005111F7"/>
    <w:rsid w:val="00520307"/>
    <w:rsid w:val="00522477"/>
    <w:rsid w:val="00523AD4"/>
    <w:rsid w:val="00527FCC"/>
    <w:rsid w:val="00534B45"/>
    <w:rsid w:val="005360A5"/>
    <w:rsid w:val="005373BC"/>
    <w:rsid w:val="00540D6C"/>
    <w:rsid w:val="00546EBA"/>
    <w:rsid w:val="00550ECA"/>
    <w:rsid w:val="00551397"/>
    <w:rsid w:val="00555AC1"/>
    <w:rsid w:val="00555D2D"/>
    <w:rsid w:val="00560E12"/>
    <w:rsid w:val="00562B4B"/>
    <w:rsid w:val="00563FD8"/>
    <w:rsid w:val="005647FF"/>
    <w:rsid w:val="00573831"/>
    <w:rsid w:val="00581666"/>
    <w:rsid w:val="0059115C"/>
    <w:rsid w:val="00591FAE"/>
    <w:rsid w:val="005949B6"/>
    <w:rsid w:val="00595807"/>
    <w:rsid w:val="005B430F"/>
    <w:rsid w:val="005B6BBF"/>
    <w:rsid w:val="005B77C4"/>
    <w:rsid w:val="005D248A"/>
    <w:rsid w:val="005D32B6"/>
    <w:rsid w:val="005E2E94"/>
    <w:rsid w:val="00600BB8"/>
    <w:rsid w:val="00601B19"/>
    <w:rsid w:val="00605C2F"/>
    <w:rsid w:val="006158DB"/>
    <w:rsid w:val="00623CFE"/>
    <w:rsid w:val="0063549C"/>
    <w:rsid w:val="006374DD"/>
    <w:rsid w:val="00641A38"/>
    <w:rsid w:val="00642AF1"/>
    <w:rsid w:val="0065159B"/>
    <w:rsid w:val="00652B06"/>
    <w:rsid w:val="00653687"/>
    <w:rsid w:val="00663A3F"/>
    <w:rsid w:val="00667A25"/>
    <w:rsid w:val="006700B0"/>
    <w:rsid w:val="00670B4D"/>
    <w:rsid w:val="00671662"/>
    <w:rsid w:val="00671F92"/>
    <w:rsid w:val="00682153"/>
    <w:rsid w:val="006947B0"/>
    <w:rsid w:val="006A0855"/>
    <w:rsid w:val="006A2E11"/>
    <w:rsid w:val="006A4625"/>
    <w:rsid w:val="006A4812"/>
    <w:rsid w:val="006A54BA"/>
    <w:rsid w:val="006B3CF3"/>
    <w:rsid w:val="006C2393"/>
    <w:rsid w:val="006C2DD8"/>
    <w:rsid w:val="006C74EF"/>
    <w:rsid w:val="00702195"/>
    <w:rsid w:val="00704FF8"/>
    <w:rsid w:val="0071299A"/>
    <w:rsid w:val="00722F93"/>
    <w:rsid w:val="00742422"/>
    <w:rsid w:val="00757106"/>
    <w:rsid w:val="007609E2"/>
    <w:rsid w:val="00767219"/>
    <w:rsid w:val="007747BB"/>
    <w:rsid w:val="007770D6"/>
    <w:rsid w:val="00784B21"/>
    <w:rsid w:val="0079635D"/>
    <w:rsid w:val="0079679A"/>
    <w:rsid w:val="007A272B"/>
    <w:rsid w:val="007B4E51"/>
    <w:rsid w:val="008065A6"/>
    <w:rsid w:val="008118BE"/>
    <w:rsid w:val="00816A6D"/>
    <w:rsid w:val="00827C6A"/>
    <w:rsid w:val="00832814"/>
    <w:rsid w:val="00833486"/>
    <w:rsid w:val="00834E1E"/>
    <w:rsid w:val="00840FC8"/>
    <w:rsid w:val="008536FD"/>
    <w:rsid w:val="00855A07"/>
    <w:rsid w:val="0085727C"/>
    <w:rsid w:val="00873132"/>
    <w:rsid w:val="00876A50"/>
    <w:rsid w:val="008836B0"/>
    <w:rsid w:val="008873F1"/>
    <w:rsid w:val="0089603A"/>
    <w:rsid w:val="008B1894"/>
    <w:rsid w:val="008C215C"/>
    <w:rsid w:val="008D21D1"/>
    <w:rsid w:val="008D288D"/>
    <w:rsid w:val="008D786A"/>
    <w:rsid w:val="008F139A"/>
    <w:rsid w:val="008F2F6C"/>
    <w:rsid w:val="00905DC9"/>
    <w:rsid w:val="00913080"/>
    <w:rsid w:val="0091312F"/>
    <w:rsid w:val="009164EB"/>
    <w:rsid w:val="00946D78"/>
    <w:rsid w:val="00951A37"/>
    <w:rsid w:val="0095451F"/>
    <w:rsid w:val="009548B0"/>
    <w:rsid w:val="00954E30"/>
    <w:rsid w:val="00962710"/>
    <w:rsid w:val="00964633"/>
    <w:rsid w:val="009759E2"/>
    <w:rsid w:val="00977D00"/>
    <w:rsid w:val="00982CB9"/>
    <w:rsid w:val="0098367C"/>
    <w:rsid w:val="0098695E"/>
    <w:rsid w:val="009900F3"/>
    <w:rsid w:val="009961DC"/>
    <w:rsid w:val="009A585C"/>
    <w:rsid w:val="009B3232"/>
    <w:rsid w:val="009B5B05"/>
    <w:rsid w:val="009C10B6"/>
    <w:rsid w:val="009C202C"/>
    <w:rsid w:val="009C55A2"/>
    <w:rsid w:val="009D0A23"/>
    <w:rsid w:val="009E08A4"/>
    <w:rsid w:val="009F5AB7"/>
    <w:rsid w:val="009F6FE5"/>
    <w:rsid w:val="009F7416"/>
    <w:rsid w:val="00A028E6"/>
    <w:rsid w:val="00A070CF"/>
    <w:rsid w:val="00A11370"/>
    <w:rsid w:val="00A132B3"/>
    <w:rsid w:val="00A15397"/>
    <w:rsid w:val="00A2529A"/>
    <w:rsid w:val="00A35A08"/>
    <w:rsid w:val="00A46A87"/>
    <w:rsid w:val="00A52032"/>
    <w:rsid w:val="00A54ED8"/>
    <w:rsid w:val="00A731E9"/>
    <w:rsid w:val="00A748BF"/>
    <w:rsid w:val="00A80FB7"/>
    <w:rsid w:val="00A81BC9"/>
    <w:rsid w:val="00A832FF"/>
    <w:rsid w:val="00A8605E"/>
    <w:rsid w:val="00A92139"/>
    <w:rsid w:val="00A92AC9"/>
    <w:rsid w:val="00A934B6"/>
    <w:rsid w:val="00A975D2"/>
    <w:rsid w:val="00AA63E3"/>
    <w:rsid w:val="00AB0D50"/>
    <w:rsid w:val="00AF3CB0"/>
    <w:rsid w:val="00AF74F9"/>
    <w:rsid w:val="00B011F1"/>
    <w:rsid w:val="00B07715"/>
    <w:rsid w:val="00B12232"/>
    <w:rsid w:val="00B233B2"/>
    <w:rsid w:val="00B3765E"/>
    <w:rsid w:val="00B42F39"/>
    <w:rsid w:val="00B57E21"/>
    <w:rsid w:val="00B606D5"/>
    <w:rsid w:val="00B606F5"/>
    <w:rsid w:val="00B7749F"/>
    <w:rsid w:val="00B909C0"/>
    <w:rsid w:val="00BA5B7E"/>
    <w:rsid w:val="00BB1726"/>
    <w:rsid w:val="00BB5F39"/>
    <w:rsid w:val="00BC5052"/>
    <w:rsid w:val="00BD103A"/>
    <w:rsid w:val="00BE6864"/>
    <w:rsid w:val="00BE7CC7"/>
    <w:rsid w:val="00BF3A17"/>
    <w:rsid w:val="00C066D1"/>
    <w:rsid w:val="00C07F52"/>
    <w:rsid w:val="00C12717"/>
    <w:rsid w:val="00C16E14"/>
    <w:rsid w:val="00C200C6"/>
    <w:rsid w:val="00C31088"/>
    <w:rsid w:val="00C344DA"/>
    <w:rsid w:val="00C44A8D"/>
    <w:rsid w:val="00C45C81"/>
    <w:rsid w:val="00C4736E"/>
    <w:rsid w:val="00C5549B"/>
    <w:rsid w:val="00C56701"/>
    <w:rsid w:val="00C60BC5"/>
    <w:rsid w:val="00C63577"/>
    <w:rsid w:val="00C63FEE"/>
    <w:rsid w:val="00C65502"/>
    <w:rsid w:val="00C66C73"/>
    <w:rsid w:val="00C7573E"/>
    <w:rsid w:val="00C817FF"/>
    <w:rsid w:val="00C87E52"/>
    <w:rsid w:val="00C93D67"/>
    <w:rsid w:val="00C95AD6"/>
    <w:rsid w:val="00C9727B"/>
    <w:rsid w:val="00CA0577"/>
    <w:rsid w:val="00CA7728"/>
    <w:rsid w:val="00CC6BB9"/>
    <w:rsid w:val="00CD3395"/>
    <w:rsid w:val="00CD6F69"/>
    <w:rsid w:val="00CE04BE"/>
    <w:rsid w:val="00CE6BBC"/>
    <w:rsid w:val="00CF0978"/>
    <w:rsid w:val="00CF70C4"/>
    <w:rsid w:val="00CF70E1"/>
    <w:rsid w:val="00D0294E"/>
    <w:rsid w:val="00D14169"/>
    <w:rsid w:val="00D14B0F"/>
    <w:rsid w:val="00D1699B"/>
    <w:rsid w:val="00D20BAD"/>
    <w:rsid w:val="00D2537F"/>
    <w:rsid w:val="00D30E27"/>
    <w:rsid w:val="00D32FF1"/>
    <w:rsid w:val="00D50381"/>
    <w:rsid w:val="00D5085F"/>
    <w:rsid w:val="00D55220"/>
    <w:rsid w:val="00D71E8E"/>
    <w:rsid w:val="00D83347"/>
    <w:rsid w:val="00D937A6"/>
    <w:rsid w:val="00DA17A4"/>
    <w:rsid w:val="00DB20C1"/>
    <w:rsid w:val="00DB4B14"/>
    <w:rsid w:val="00DC16C4"/>
    <w:rsid w:val="00DD5037"/>
    <w:rsid w:val="00DE4911"/>
    <w:rsid w:val="00DF0E6D"/>
    <w:rsid w:val="00DF4230"/>
    <w:rsid w:val="00E055A3"/>
    <w:rsid w:val="00E07AF4"/>
    <w:rsid w:val="00E207B0"/>
    <w:rsid w:val="00E2717F"/>
    <w:rsid w:val="00E3107E"/>
    <w:rsid w:val="00E43D4A"/>
    <w:rsid w:val="00E44944"/>
    <w:rsid w:val="00E53DCD"/>
    <w:rsid w:val="00E63684"/>
    <w:rsid w:val="00E93C76"/>
    <w:rsid w:val="00E944B6"/>
    <w:rsid w:val="00EB0707"/>
    <w:rsid w:val="00ED087A"/>
    <w:rsid w:val="00EE7E72"/>
    <w:rsid w:val="00EF589E"/>
    <w:rsid w:val="00EF63F8"/>
    <w:rsid w:val="00F02261"/>
    <w:rsid w:val="00F0731D"/>
    <w:rsid w:val="00F13632"/>
    <w:rsid w:val="00F211AB"/>
    <w:rsid w:val="00F237B3"/>
    <w:rsid w:val="00F25B11"/>
    <w:rsid w:val="00F36F2C"/>
    <w:rsid w:val="00F41993"/>
    <w:rsid w:val="00F71613"/>
    <w:rsid w:val="00F74421"/>
    <w:rsid w:val="00F75B69"/>
    <w:rsid w:val="00F81F13"/>
    <w:rsid w:val="00F86D6F"/>
    <w:rsid w:val="00F95E51"/>
    <w:rsid w:val="00FA2712"/>
    <w:rsid w:val="00FA367F"/>
    <w:rsid w:val="00FA48F0"/>
    <w:rsid w:val="00FB1784"/>
    <w:rsid w:val="00FB2931"/>
    <w:rsid w:val="00FB2BB8"/>
    <w:rsid w:val="00FD3D5C"/>
    <w:rsid w:val="00FD7D89"/>
    <w:rsid w:val="00FF21A6"/>
    <w:rsid w:val="00FF4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65570"/>
  <w15:chartTrackingRefBased/>
  <w15:docId w15:val="{7E0284EA-D306-4F14-BFEF-1D4BCC16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2FF"/>
    <w:rPr>
      <w:rFonts w:ascii="Arial" w:hAnsi="Arial"/>
      <w:sz w:val="24"/>
      <w:lang w:val="es-PY" w:eastAsia="es-UY"/>
    </w:rPr>
  </w:style>
  <w:style w:type="paragraph" w:styleId="Ttulo1">
    <w:name w:val="heading 1"/>
    <w:basedOn w:val="Normal"/>
    <w:next w:val="Normal"/>
    <w:qFormat/>
    <w:pPr>
      <w:keepNext/>
      <w:widowControl w:val="0"/>
      <w:tabs>
        <w:tab w:val="left" w:pos="5040"/>
      </w:tabs>
      <w:jc w:val="both"/>
      <w:outlineLvl w:val="0"/>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540"/>
      <w:jc w:val="both"/>
    </w:pPr>
    <w:rPr>
      <w:rFonts w:ascii="Times New Roman" w:hAnsi="Times New Roman"/>
      <w:lang w:val="es-ES"/>
    </w:rPr>
  </w:style>
  <w:style w:type="paragraph" w:styleId="Textoindependiente2">
    <w:name w:val="Body Text 2"/>
    <w:basedOn w:val="Normal"/>
    <w:semiHidden/>
    <w:pPr>
      <w:jc w:val="both"/>
    </w:pPr>
    <w:rPr>
      <w:lang w:val="es-ES"/>
    </w:rPr>
  </w:style>
  <w:style w:type="table" w:styleId="Tablaconcuadrcula">
    <w:name w:val="Table Grid"/>
    <w:basedOn w:val="Tablanormal"/>
    <w:uiPriority w:val="39"/>
    <w:rsid w:val="00010916"/>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3CFE"/>
    <w:pPr>
      <w:ind w:left="720"/>
      <w:contextualSpacing/>
    </w:pPr>
  </w:style>
  <w:style w:type="character" w:styleId="Hipervnculo">
    <w:name w:val="Hyperlink"/>
    <w:basedOn w:val="Fuentedeprrafopredeter"/>
    <w:uiPriority w:val="99"/>
    <w:unhideWhenUsed/>
    <w:rsid w:val="00D50381"/>
    <w:rPr>
      <w:color w:val="0563C1" w:themeColor="hyperlink"/>
      <w:u w:val="single"/>
    </w:rPr>
  </w:style>
  <w:style w:type="character" w:customStyle="1" w:styleId="Mencinsinresolver1">
    <w:name w:val="Mención sin resolver1"/>
    <w:basedOn w:val="Fuentedeprrafopredeter"/>
    <w:uiPriority w:val="99"/>
    <w:semiHidden/>
    <w:unhideWhenUsed/>
    <w:rsid w:val="00D50381"/>
    <w:rPr>
      <w:color w:val="605E5C"/>
      <w:shd w:val="clear" w:color="auto" w:fill="E1DFDD"/>
    </w:rPr>
  </w:style>
  <w:style w:type="character" w:customStyle="1" w:styleId="ui-provider">
    <w:name w:val="ui-provider"/>
    <w:basedOn w:val="Fuentedeprrafopredeter"/>
    <w:rsid w:val="00954E30"/>
  </w:style>
  <w:style w:type="character" w:styleId="Refdecomentario">
    <w:name w:val="annotation reference"/>
    <w:basedOn w:val="Fuentedeprrafopredeter"/>
    <w:uiPriority w:val="99"/>
    <w:semiHidden/>
    <w:unhideWhenUsed/>
    <w:rsid w:val="00977D00"/>
    <w:rPr>
      <w:sz w:val="16"/>
      <w:szCs w:val="16"/>
    </w:rPr>
  </w:style>
  <w:style w:type="paragraph" w:styleId="Textocomentario">
    <w:name w:val="annotation text"/>
    <w:basedOn w:val="Normal"/>
    <w:link w:val="TextocomentarioCar"/>
    <w:uiPriority w:val="99"/>
    <w:unhideWhenUsed/>
    <w:rsid w:val="00977D00"/>
    <w:rPr>
      <w:sz w:val="20"/>
    </w:rPr>
  </w:style>
  <w:style w:type="character" w:customStyle="1" w:styleId="TextocomentarioCar">
    <w:name w:val="Texto comentario Car"/>
    <w:basedOn w:val="Fuentedeprrafopredeter"/>
    <w:link w:val="Textocomentario"/>
    <w:uiPriority w:val="99"/>
    <w:rsid w:val="00977D00"/>
    <w:rPr>
      <w:rFonts w:ascii="Arial" w:hAnsi="Arial"/>
      <w:lang w:val="es-PY" w:eastAsia="es-UY"/>
    </w:rPr>
  </w:style>
  <w:style w:type="paragraph" w:styleId="Asuntodelcomentario">
    <w:name w:val="annotation subject"/>
    <w:basedOn w:val="Textocomentario"/>
    <w:next w:val="Textocomentario"/>
    <w:link w:val="AsuntodelcomentarioCar"/>
    <w:uiPriority w:val="99"/>
    <w:semiHidden/>
    <w:unhideWhenUsed/>
    <w:rsid w:val="00977D00"/>
    <w:rPr>
      <w:b/>
      <w:bCs/>
    </w:rPr>
  </w:style>
  <w:style w:type="character" w:customStyle="1" w:styleId="AsuntodelcomentarioCar">
    <w:name w:val="Asunto del comentario Car"/>
    <w:basedOn w:val="TextocomentarioCar"/>
    <w:link w:val="Asuntodelcomentario"/>
    <w:uiPriority w:val="99"/>
    <w:semiHidden/>
    <w:rsid w:val="00977D00"/>
    <w:rPr>
      <w:rFonts w:ascii="Arial" w:hAnsi="Arial"/>
      <w:b/>
      <w:bCs/>
      <w:lang w:val="es-PY" w:eastAsia="es-UY"/>
    </w:rPr>
  </w:style>
  <w:style w:type="paragraph" w:styleId="Textodeglobo">
    <w:name w:val="Balloon Text"/>
    <w:basedOn w:val="Normal"/>
    <w:link w:val="TextodegloboCar"/>
    <w:uiPriority w:val="99"/>
    <w:semiHidden/>
    <w:unhideWhenUsed/>
    <w:rsid w:val="00977D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D00"/>
    <w:rPr>
      <w:rFonts w:ascii="Segoe UI" w:hAnsi="Segoe UI" w:cs="Segoe UI"/>
      <w:sz w:val="18"/>
      <w:szCs w:val="18"/>
      <w:lang w:val="es-PY" w:eastAsia="es-UY"/>
    </w:rPr>
  </w:style>
  <w:style w:type="paragraph" w:styleId="NormalWeb">
    <w:name w:val="Normal (Web)"/>
    <w:basedOn w:val="Normal"/>
    <w:uiPriority w:val="99"/>
    <w:semiHidden/>
    <w:unhideWhenUsed/>
    <w:rsid w:val="00A975D2"/>
    <w:rPr>
      <w:rFonts w:ascii="Times New Roman" w:hAnsi="Times New Roman"/>
      <w:szCs w:val="24"/>
      <w:lang w:val="es-UY"/>
    </w:rPr>
  </w:style>
  <w:style w:type="character" w:styleId="Mencinsinresolver">
    <w:name w:val="Unresolved Mention"/>
    <w:basedOn w:val="Fuentedeprrafopredeter"/>
    <w:uiPriority w:val="99"/>
    <w:semiHidden/>
    <w:unhideWhenUsed/>
    <w:rsid w:val="006158DB"/>
    <w:rPr>
      <w:color w:val="605E5C"/>
      <w:shd w:val="clear" w:color="auto" w:fill="E1DFDD"/>
    </w:rPr>
  </w:style>
  <w:style w:type="paragraph" w:styleId="Encabezado">
    <w:name w:val="header"/>
    <w:basedOn w:val="Normal"/>
    <w:link w:val="EncabezadoCar"/>
    <w:uiPriority w:val="99"/>
    <w:unhideWhenUsed/>
    <w:rsid w:val="0089603A"/>
    <w:pPr>
      <w:tabs>
        <w:tab w:val="center" w:pos="4252"/>
        <w:tab w:val="right" w:pos="8504"/>
      </w:tabs>
    </w:pPr>
  </w:style>
  <w:style w:type="character" w:customStyle="1" w:styleId="EncabezadoCar">
    <w:name w:val="Encabezado Car"/>
    <w:basedOn w:val="Fuentedeprrafopredeter"/>
    <w:link w:val="Encabezado"/>
    <w:uiPriority w:val="99"/>
    <w:rsid w:val="0089603A"/>
    <w:rPr>
      <w:rFonts w:ascii="Arial" w:hAnsi="Arial"/>
      <w:sz w:val="24"/>
      <w:lang w:val="es-PY" w:eastAsia="es-UY"/>
    </w:rPr>
  </w:style>
  <w:style w:type="paragraph" w:styleId="Piedepgina">
    <w:name w:val="footer"/>
    <w:basedOn w:val="Normal"/>
    <w:link w:val="PiedepginaCar"/>
    <w:uiPriority w:val="99"/>
    <w:unhideWhenUsed/>
    <w:rsid w:val="0089603A"/>
    <w:pPr>
      <w:tabs>
        <w:tab w:val="center" w:pos="4252"/>
        <w:tab w:val="right" w:pos="8504"/>
      </w:tabs>
    </w:pPr>
  </w:style>
  <w:style w:type="character" w:customStyle="1" w:styleId="PiedepginaCar">
    <w:name w:val="Pie de página Car"/>
    <w:basedOn w:val="Fuentedeprrafopredeter"/>
    <w:link w:val="Piedepgina"/>
    <w:uiPriority w:val="99"/>
    <w:rsid w:val="0089603A"/>
    <w:rPr>
      <w:rFonts w:ascii="Arial" w:hAnsi="Arial"/>
      <w:sz w:val="24"/>
      <w:lang w:val="es-P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00307">
      <w:bodyDiv w:val="1"/>
      <w:marLeft w:val="240"/>
      <w:marRight w:val="240"/>
      <w:marTop w:val="240"/>
      <w:marBottom w:val="60"/>
      <w:divBdr>
        <w:top w:val="none" w:sz="0" w:space="0" w:color="auto"/>
        <w:left w:val="none" w:sz="0" w:space="0" w:color="auto"/>
        <w:bottom w:val="none" w:sz="0" w:space="0" w:color="auto"/>
        <w:right w:val="none" w:sz="0" w:space="0" w:color="auto"/>
      </w:divBdr>
      <w:divsChild>
        <w:div w:id="2141066829">
          <w:marLeft w:val="0"/>
          <w:marRight w:val="0"/>
          <w:marTop w:val="0"/>
          <w:marBottom w:val="0"/>
          <w:divBdr>
            <w:top w:val="none" w:sz="0" w:space="0" w:color="auto"/>
            <w:left w:val="none" w:sz="0" w:space="0" w:color="auto"/>
            <w:bottom w:val="none" w:sz="0" w:space="0" w:color="auto"/>
            <w:right w:val="none" w:sz="0" w:space="0" w:color="auto"/>
          </w:divBdr>
        </w:div>
      </w:divsChild>
    </w:div>
    <w:div w:id="578253206">
      <w:bodyDiv w:val="1"/>
      <w:marLeft w:val="0"/>
      <w:marRight w:val="0"/>
      <w:marTop w:val="0"/>
      <w:marBottom w:val="0"/>
      <w:divBdr>
        <w:top w:val="none" w:sz="0" w:space="0" w:color="auto"/>
        <w:left w:val="none" w:sz="0" w:space="0" w:color="auto"/>
        <w:bottom w:val="none" w:sz="0" w:space="0" w:color="auto"/>
        <w:right w:val="none" w:sz="0" w:space="0" w:color="auto"/>
      </w:divBdr>
    </w:div>
    <w:div w:id="861169037">
      <w:bodyDiv w:val="1"/>
      <w:marLeft w:val="0"/>
      <w:marRight w:val="0"/>
      <w:marTop w:val="0"/>
      <w:marBottom w:val="0"/>
      <w:divBdr>
        <w:top w:val="none" w:sz="0" w:space="0" w:color="auto"/>
        <w:left w:val="none" w:sz="0" w:space="0" w:color="auto"/>
        <w:bottom w:val="none" w:sz="0" w:space="0" w:color="auto"/>
        <w:right w:val="none" w:sz="0" w:space="0" w:color="auto"/>
      </w:divBdr>
    </w:div>
    <w:div w:id="1015426260">
      <w:bodyDiv w:val="1"/>
      <w:marLeft w:val="0"/>
      <w:marRight w:val="0"/>
      <w:marTop w:val="0"/>
      <w:marBottom w:val="0"/>
      <w:divBdr>
        <w:top w:val="none" w:sz="0" w:space="0" w:color="auto"/>
        <w:left w:val="none" w:sz="0" w:space="0" w:color="auto"/>
        <w:bottom w:val="none" w:sz="0" w:space="0" w:color="auto"/>
        <w:right w:val="none" w:sz="0" w:space="0" w:color="auto"/>
      </w:divBdr>
    </w:div>
    <w:div w:id="1383478114">
      <w:bodyDiv w:val="1"/>
      <w:marLeft w:val="0"/>
      <w:marRight w:val="0"/>
      <w:marTop w:val="0"/>
      <w:marBottom w:val="0"/>
      <w:divBdr>
        <w:top w:val="none" w:sz="0" w:space="0" w:color="auto"/>
        <w:left w:val="none" w:sz="0" w:space="0" w:color="auto"/>
        <w:bottom w:val="none" w:sz="0" w:space="0" w:color="auto"/>
        <w:right w:val="none" w:sz="0" w:space="0" w:color="auto"/>
      </w:divBdr>
    </w:div>
    <w:div w:id="1673336624">
      <w:bodyDiv w:val="1"/>
      <w:marLeft w:val="0"/>
      <w:marRight w:val="0"/>
      <w:marTop w:val="0"/>
      <w:marBottom w:val="0"/>
      <w:divBdr>
        <w:top w:val="none" w:sz="0" w:space="0" w:color="auto"/>
        <w:left w:val="none" w:sz="0" w:space="0" w:color="auto"/>
        <w:bottom w:val="none" w:sz="0" w:space="0" w:color="auto"/>
        <w:right w:val="none" w:sz="0" w:space="0" w:color="auto"/>
      </w:divBdr>
    </w:div>
    <w:div w:id="1702631140">
      <w:bodyDiv w:val="1"/>
      <w:marLeft w:val="0"/>
      <w:marRight w:val="0"/>
      <w:marTop w:val="0"/>
      <w:marBottom w:val="0"/>
      <w:divBdr>
        <w:top w:val="none" w:sz="0" w:space="0" w:color="auto"/>
        <w:left w:val="none" w:sz="0" w:space="0" w:color="auto"/>
        <w:bottom w:val="none" w:sz="0" w:space="0" w:color="auto"/>
        <w:right w:val="none" w:sz="0" w:space="0" w:color="auto"/>
      </w:divBdr>
    </w:div>
    <w:div w:id="1836459519">
      <w:bodyDiv w:val="1"/>
      <w:marLeft w:val="0"/>
      <w:marRight w:val="0"/>
      <w:marTop w:val="0"/>
      <w:marBottom w:val="0"/>
      <w:divBdr>
        <w:top w:val="none" w:sz="0" w:space="0" w:color="auto"/>
        <w:left w:val="none" w:sz="0" w:space="0" w:color="auto"/>
        <w:bottom w:val="none" w:sz="0" w:space="0" w:color="auto"/>
        <w:right w:val="none" w:sz="0" w:space="0" w:color="auto"/>
      </w:divBdr>
    </w:div>
    <w:div w:id="20787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ube.mercosur.int/index.ph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4A9F-D4FE-448B-AD55-860D0FDB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3282</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MERCOSUR/GMC/GRUPO Ad-Hoc Azúcar/ Acta No</vt:lpstr>
    </vt:vector>
  </TitlesOfParts>
  <Company>SAM</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MERCOSUR/GMC/GRUPO Ad-Hoc Azúcar/ Acta No</dc:title>
  <dc:subject/>
  <dc:creator>Informática</dc:creator>
  <cp:keywords/>
  <cp:lastModifiedBy>Ruth Mencia</cp:lastModifiedBy>
  <cp:revision>2</cp:revision>
  <dcterms:created xsi:type="dcterms:W3CDTF">2024-11-01T21:40:00Z</dcterms:created>
  <dcterms:modified xsi:type="dcterms:W3CDTF">2024-11-01T21:40:00Z</dcterms:modified>
</cp:coreProperties>
</file>